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8" w:rsidRDefault="00C27058" w:rsidP="00C27058">
      <w:pPr>
        <w:pStyle w:val="zFileRef"/>
        <w:jc w:val="both"/>
      </w:pPr>
      <w:r>
        <w:rPr>
          <w:noProof/>
          <w:lang w:eastAsia="en-NZ"/>
        </w:rPr>
        <w:drawing>
          <wp:inline distT="0" distB="0" distL="0" distR="0">
            <wp:extent cx="2181225" cy="657225"/>
            <wp:effectExtent l="0" t="0" r="9525" b="9525"/>
            <wp:docPr id="1" name="Picture 1" descr="ComComN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omNZ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58" w:rsidRDefault="00C27058" w:rsidP="00C27058">
      <w:pPr>
        <w:pStyle w:val="zFileRef"/>
      </w:pPr>
    </w:p>
    <w:p w:rsidR="00C27058" w:rsidRDefault="00C27058" w:rsidP="00C27058">
      <w:pPr>
        <w:pStyle w:val="zFileRef"/>
      </w:pPr>
    </w:p>
    <w:p w:rsidR="00C27058" w:rsidRDefault="00606164" w:rsidP="00C27058">
      <w:pPr>
        <w:pStyle w:val="zFileRef"/>
      </w:pPr>
      <w:r>
        <w:t>ISSN 1178-2560</w:t>
      </w:r>
    </w:p>
    <w:p w:rsidR="00C27058" w:rsidRDefault="00C27058" w:rsidP="00C27058">
      <w:pPr>
        <w:pStyle w:val="zFileRef"/>
      </w:pPr>
      <w:r>
        <w:t>Project no. 14.09/12683</w:t>
      </w:r>
    </w:p>
    <w:p w:rsidR="00C27058" w:rsidRDefault="00C27058" w:rsidP="00C27058"/>
    <w:p w:rsidR="00C27058" w:rsidRDefault="00C27058" w:rsidP="00C27058">
      <w:pPr>
        <w:pStyle w:val="zFileRef"/>
      </w:pPr>
      <w:r>
        <w:rPr>
          <w:b/>
        </w:rPr>
        <w:t xml:space="preserve">Public </w:t>
      </w:r>
      <w:r w:rsidRPr="00E85587">
        <w:t>version</w:t>
      </w:r>
    </w:p>
    <w:p w:rsidR="00C27058" w:rsidRDefault="00C27058" w:rsidP="00C27058"/>
    <w:p w:rsidR="00C27058" w:rsidRDefault="00C27058" w:rsidP="00C27058"/>
    <w:p w:rsidR="00C27058" w:rsidRDefault="00C27058" w:rsidP="00C27058"/>
    <w:p w:rsidR="00C27058" w:rsidRDefault="00C27058" w:rsidP="00C27058"/>
    <w:p w:rsidR="00C27058" w:rsidRDefault="00C27058" w:rsidP="00C27058"/>
    <w:p w:rsidR="00C27058" w:rsidRPr="00EB32FC" w:rsidRDefault="0084273B" w:rsidP="00C27058">
      <w:pPr>
        <w:pStyle w:val="Title"/>
      </w:pPr>
      <w:r>
        <w:t xml:space="preserve">Draft </w:t>
      </w:r>
      <w:r w:rsidR="00A47888">
        <w:t>Electricity Distribution Input Methodology A</w:t>
      </w:r>
      <w:r w:rsidR="00754EAD">
        <w:t>mendments</w:t>
      </w:r>
      <w:r w:rsidR="00A47888">
        <w:t xml:space="preserve"> </w:t>
      </w:r>
      <w:r>
        <w:t xml:space="preserve">Determination </w:t>
      </w:r>
      <w:r w:rsidR="00C27058">
        <w:t>2014</w:t>
      </w:r>
    </w:p>
    <w:p w:rsidR="005C1208" w:rsidRDefault="005C1208" w:rsidP="00F84C0B">
      <w:pPr>
        <w:pStyle w:val="BodyText"/>
        <w:spacing w:after="120"/>
        <w:rPr>
          <w:rFonts w:eastAsia="Calibri"/>
          <w:szCs w:val="24"/>
        </w:rPr>
      </w:pPr>
    </w:p>
    <w:p w:rsidR="007A2568" w:rsidRDefault="007A2568" w:rsidP="00F84C0B">
      <w:pPr>
        <w:pStyle w:val="BodyText"/>
        <w:spacing w:after="120"/>
        <w:rPr>
          <w:rFonts w:eastAsia="Calibri"/>
          <w:szCs w:val="24"/>
        </w:rPr>
      </w:pPr>
    </w:p>
    <w:p w:rsidR="007A2568" w:rsidRPr="00F1491E" w:rsidRDefault="007A2568" w:rsidP="007A2568">
      <w:pPr>
        <w:pStyle w:val="BodyText"/>
      </w:pPr>
      <w:r>
        <w:t xml:space="preserve">Draft input methodologies </w:t>
      </w:r>
      <w:r w:rsidRPr="0040502A">
        <w:t xml:space="preserve">made under </w:t>
      </w:r>
      <w:r w:rsidRPr="0040502A">
        <w:rPr>
          <w:rFonts w:asciiTheme="minorHAnsi" w:hAnsiTheme="minorHAnsi"/>
          <w:lang w:val="en-AU"/>
        </w:rPr>
        <w:t>s52X</w:t>
      </w:r>
      <w:r>
        <w:t xml:space="preserve"> and s 52V(2) of the Commerce Act 1986 to</w:t>
      </w:r>
      <w:r w:rsidRPr="0040502A">
        <w:t xml:space="preserve"> </w:t>
      </w:r>
      <w:r>
        <w:t xml:space="preserve">input methodologies applicable to electricity distribution businesses </w:t>
      </w:r>
      <w:r>
        <w:rPr>
          <w:rFonts w:eastAsia="Calibri"/>
          <w:szCs w:val="24"/>
        </w:rPr>
        <w:t xml:space="preserve">contained in </w:t>
      </w:r>
      <w:r w:rsidRPr="007B2FAF">
        <w:rPr>
          <w:rFonts w:eastAsia="Calibri"/>
          <w:szCs w:val="24"/>
        </w:rPr>
        <w:t>Decision</w:t>
      </w:r>
      <w:r>
        <w:rPr>
          <w:rFonts w:eastAsia="Calibri"/>
          <w:szCs w:val="24"/>
        </w:rPr>
        <w:t xml:space="preserve"> [2012] NZCC 26.</w:t>
      </w:r>
    </w:p>
    <w:p w:rsidR="007A2568" w:rsidRDefault="007A2568" w:rsidP="00F84C0B">
      <w:pPr>
        <w:pStyle w:val="BodyText"/>
        <w:spacing w:after="120"/>
        <w:rPr>
          <w:rFonts w:eastAsia="Calibr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B342E8" w:rsidTr="00A47888">
        <w:trPr>
          <w:trHeight w:val="709"/>
        </w:trPr>
        <w:tc>
          <w:tcPr>
            <w:tcW w:w="3085" w:type="dxa"/>
          </w:tcPr>
          <w:p w:rsidR="00B342E8" w:rsidRPr="007A2568" w:rsidRDefault="00B342E8">
            <w:pPr>
              <w:pStyle w:val="zContactheadings"/>
            </w:pPr>
            <w:r w:rsidRPr="007A2568">
              <w:t xml:space="preserve">Date of </w:t>
            </w:r>
            <w:r w:rsidR="00A47888" w:rsidRPr="007A2568">
              <w:t xml:space="preserve">draft </w:t>
            </w:r>
            <w:r w:rsidRPr="007A2568">
              <w:t>determination:</w:t>
            </w:r>
          </w:p>
        </w:tc>
        <w:tc>
          <w:tcPr>
            <w:tcW w:w="6157" w:type="dxa"/>
          </w:tcPr>
          <w:p w:rsidR="00B342E8" w:rsidRPr="007A2568" w:rsidRDefault="00F84C0B" w:rsidP="009F701F">
            <w:pPr>
              <w:pStyle w:val="zContactdetails"/>
            </w:pPr>
            <w:r w:rsidRPr="007A2568">
              <w:t>20</w:t>
            </w:r>
            <w:r w:rsidR="00B342E8" w:rsidRPr="007A2568">
              <w:t xml:space="preserve"> </w:t>
            </w:r>
            <w:r w:rsidR="009F701F" w:rsidRPr="007A2568">
              <w:t xml:space="preserve">October </w:t>
            </w:r>
            <w:r w:rsidR="00B342E8" w:rsidRPr="007A2568">
              <w:t>2014</w:t>
            </w:r>
          </w:p>
        </w:tc>
      </w:tr>
      <w:tr w:rsidR="00754EAD" w:rsidTr="00A47888">
        <w:trPr>
          <w:trHeight w:val="709"/>
        </w:trPr>
        <w:tc>
          <w:tcPr>
            <w:tcW w:w="3085" w:type="dxa"/>
          </w:tcPr>
          <w:p w:rsidR="00754EAD" w:rsidRDefault="00754EAD">
            <w:pPr>
              <w:pStyle w:val="zContactheadings"/>
            </w:pPr>
          </w:p>
          <w:p w:rsidR="007A2568" w:rsidRDefault="007A2568">
            <w:pPr>
              <w:pStyle w:val="zContactheadings"/>
            </w:pPr>
          </w:p>
          <w:p w:rsidR="007A2568" w:rsidRDefault="007A2568">
            <w:pPr>
              <w:pStyle w:val="zContactheadings"/>
            </w:pPr>
          </w:p>
          <w:p w:rsidR="007A2568" w:rsidRDefault="007A2568">
            <w:pPr>
              <w:pStyle w:val="zContactheadings"/>
            </w:pPr>
          </w:p>
          <w:p w:rsidR="007A2568" w:rsidRDefault="007A2568">
            <w:pPr>
              <w:pStyle w:val="zContactheadings"/>
            </w:pPr>
          </w:p>
          <w:p w:rsidR="007A2568" w:rsidRDefault="007A2568">
            <w:pPr>
              <w:pStyle w:val="zContactheadings"/>
            </w:pPr>
          </w:p>
          <w:p w:rsidR="007A2568" w:rsidRDefault="007A2568">
            <w:pPr>
              <w:pStyle w:val="zContactheadings"/>
            </w:pPr>
          </w:p>
        </w:tc>
        <w:tc>
          <w:tcPr>
            <w:tcW w:w="6157" w:type="dxa"/>
          </w:tcPr>
          <w:p w:rsidR="00754EAD" w:rsidRDefault="00754EAD">
            <w:pPr>
              <w:pStyle w:val="zContactdetails"/>
            </w:pPr>
          </w:p>
        </w:tc>
      </w:tr>
    </w:tbl>
    <w:p w:rsidR="00754EAD" w:rsidRDefault="00754EAD" w:rsidP="00754EAD">
      <w:pPr>
        <w:pBdr>
          <w:top w:val="single" w:sz="4" w:space="6" w:color="auto"/>
          <w:left w:val="single" w:sz="4" w:space="31" w:color="auto"/>
          <w:bottom w:val="single" w:sz="4" w:space="6" w:color="auto"/>
          <w:right w:val="single" w:sz="4" w:space="4" w:color="auto"/>
        </w:pBdr>
        <w:shd w:val="clear" w:color="auto" w:fill="BFBFBF"/>
        <w:tabs>
          <w:tab w:val="left" w:pos="709"/>
        </w:tabs>
        <w:spacing w:before="240" w:after="240"/>
        <w:ind w:left="709"/>
        <w:rPr>
          <w:b/>
        </w:rPr>
      </w:pPr>
      <w:r>
        <w:rPr>
          <w:b/>
        </w:rPr>
        <w:t>THIS DRAFT DETERMINATION IS FOR CONSULTATION PURPOSES ONLY</w:t>
      </w:r>
    </w:p>
    <w:p w:rsidR="00754EAD" w:rsidRDefault="00754EAD" w:rsidP="00754EAD">
      <w:pPr>
        <w:pBdr>
          <w:top w:val="single" w:sz="4" w:space="6" w:color="auto"/>
          <w:left w:val="single" w:sz="4" w:space="31" w:color="auto"/>
          <w:bottom w:val="single" w:sz="4" w:space="6" w:color="auto"/>
          <w:right w:val="single" w:sz="4" w:space="4" w:color="auto"/>
        </w:pBdr>
        <w:shd w:val="clear" w:color="auto" w:fill="BFBFBF"/>
        <w:tabs>
          <w:tab w:val="left" w:pos="709"/>
        </w:tabs>
        <w:spacing w:before="240" w:after="240"/>
        <w:ind w:left="709"/>
      </w:pPr>
      <w:r>
        <w:t>Regulation Branch, Commerce Commission</w:t>
      </w:r>
    </w:p>
    <w:p w:rsidR="00754EAD" w:rsidRDefault="00754EAD" w:rsidP="00754EAD">
      <w:pPr>
        <w:pBdr>
          <w:top w:val="single" w:sz="4" w:space="6" w:color="auto"/>
          <w:left w:val="single" w:sz="4" w:space="31" w:color="auto"/>
          <w:bottom w:val="single" w:sz="4" w:space="6" w:color="auto"/>
          <w:right w:val="single" w:sz="4" w:space="4" w:color="auto"/>
        </w:pBdr>
        <w:shd w:val="clear" w:color="auto" w:fill="BFBFBF"/>
        <w:tabs>
          <w:tab w:val="left" w:pos="709"/>
        </w:tabs>
        <w:spacing w:before="240" w:after="240"/>
        <w:ind w:left="709"/>
      </w:pPr>
      <w:r>
        <w:t>Wellington, NEW ZEALAND</w:t>
      </w:r>
    </w:p>
    <w:p w:rsidR="00754EAD" w:rsidRDefault="00F84C0B" w:rsidP="00754EAD">
      <w:pPr>
        <w:pBdr>
          <w:top w:val="single" w:sz="4" w:space="6" w:color="auto"/>
          <w:left w:val="single" w:sz="4" w:space="31" w:color="auto"/>
          <w:bottom w:val="single" w:sz="4" w:space="6" w:color="auto"/>
          <w:right w:val="single" w:sz="4" w:space="4" w:color="auto"/>
        </w:pBdr>
        <w:shd w:val="clear" w:color="auto" w:fill="BFBFBF"/>
        <w:tabs>
          <w:tab w:val="left" w:pos="709"/>
        </w:tabs>
        <w:spacing w:before="240" w:after="240"/>
        <w:ind w:left="709"/>
      </w:pPr>
      <w:r w:rsidRPr="007A2568">
        <w:t>20</w:t>
      </w:r>
      <w:r w:rsidR="00754EAD" w:rsidRPr="007A2568">
        <w:t xml:space="preserve"> </w:t>
      </w:r>
      <w:r w:rsidR="009F701F" w:rsidRPr="007A2568">
        <w:t xml:space="preserve">October </w:t>
      </w:r>
      <w:r w:rsidR="00754EAD" w:rsidRPr="007A2568">
        <w:t>2014</w:t>
      </w:r>
    </w:p>
    <w:p w:rsidR="00C27058" w:rsidRDefault="00A008C2" w:rsidP="00A008C2">
      <w:pPr>
        <w:jc w:val="center"/>
      </w:pPr>
      <w:r>
        <w:lastRenderedPageBreak/>
        <w:t>[Blank page]</w:t>
      </w:r>
      <w:r w:rsidR="00C27058">
        <w:br w:type="page"/>
      </w:r>
    </w:p>
    <w:p w:rsidR="0044768C" w:rsidRPr="00EB32FC" w:rsidRDefault="00754EAD" w:rsidP="00090346">
      <w:pPr>
        <w:pStyle w:val="Heading2"/>
        <w:jc w:val="center"/>
      </w:pPr>
      <w:r>
        <w:lastRenderedPageBreak/>
        <w:t>Electricity Distribution</w:t>
      </w:r>
      <w:r w:rsidR="0044768C">
        <w:t xml:space="preserve"> </w:t>
      </w:r>
      <w:r w:rsidR="008024F7">
        <w:t>Input Methodology</w:t>
      </w:r>
      <w:r w:rsidR="0044768C">
        <w:t xml:space="preserve"> Amendments </w:t>
      </w:r>
      <w:r w:rsidR="008024F7">
        <w:t>2014</w:t>
      </w:r>
    </w:p>
    <w:p w:rsidR="00184191" w:rsidRDefault="00184191" w:rsidP="0044768C">
      <w:pPr>
        <w:pStyle w:val="BodyText"/>
      </w:pPr>
      <w:bookmarkStart w:id="0" w:name="_Toc315680060"/>
    </w:p>
    <w:p w:rsidR="0044768C" w:rsidRPr="00792C49" w:rsidRDefault="0044768C" w:rsidP="0044768C">
      <w:pPr>
        <w:pStyle w:val="BodyText"/>
      </w:pPr>
      <w:r w:rsidRPr="00792C49">
        <w:t>Pursuant to Part 4 of the Commerce Act 1986</w:t>
      </w:r>
      <w:r>
        <w:t xml:space="preserve"> (the Act)</w:t>
      </w:r>
      <w:r w:rsidRPr="00792C49">
        <w:t xml:space="preserve"> the Commerce Commission makes the following determination:</w:t>
      </w:r>
    </w:p>
    <w:p w:rsidR="0044768C" w:rsidRDefault="0044768C" w:rsidP="0044768C">
      <w:pPr>
        <w:pStyle w:val="Para1"/>
        <w:rPr>
          <w:b/>
        </w:rPr>
      </w:pPr>
      <w:r>
        <w:rPr>
          <w:b/>
        </w:rPr>
        <w:t>DETERMINATION AMENDED</w:t>
      </w:r>
    </w:p>
    <w:p w:rsidR="0044768C" w:rsidRDefault="0044768C" w:rsidP="00A008C2">
      <w:pPr>
        <w:pStyle w:val="BodyText"/>
        <w:ind w:left="709"/>
      </w:pPr>
      <w:r>
        <w:t xml:space="preserve">This determination amends the </w:t>
      </w:r>
      <w:r w:rsidRPr="0037524D">
        <w:rPr>
          <w:i/>
        </w:rPr>
        <w:t>Electricity Distribution Services Input Methodologies Determination 2012</w:t>
      </w:r>
      <w:r>
        <w:t xml:space="preserve"> [2012] NZCC 26 (the</w:t>
      </w:r>
      <w:r w:rsidRPr="00380319">
        <w:rPr>
          <w:b/>
        </w:rPr>
        <w:t xml:space="preserve"> EDB </w:t>
      </w:r>
      <w:r w:rsidR="008024F7">
        <w:rPr>
          <w:b/>
        </w:rPr>
        <w:t xml:space="preserve">IM </w:t>
      </w:r>
      <w:r w:rsidRPr="001A4EA5">
        <w:rPr>
          <w:b/>
        </w:rPr>
        <w:t>Determination</w:t>
      </w:r>
      <w:r w:rsidR="00A008C2">
        <w:t>).</w:t>
      </w:r>
    </w:p>
    <w:p w:rsidR="0044768C" w:rsidRPr="00B20B82" w:rsidRDefault="0044768C" w:rsidP="0044768C">
      <w:pPr>
        <w:pStyle w:val="Para1"/>
        <w:rPr>
          <w:b/>
        </w:rPr>
      </w:pPr>
      <w:r w:rsidRPr="00B20B82">
        <w:rPr>
          <w:b/>
        </w:rPr>
        <w:t>C</w:t>
      </w:r>
      <w:r>
        <w:rPr>
          <w:b/>
        </w:rPr>
        <w:t>OMMENCEMENT</w:t>
      </w:r>
    </w:p>
    <w:p w:rsidR="0044768C" w:rsidRPr="00792C49" w:rsidRDefault="0044768C" w:rsidP="008024F7">
      <w:pPr>
        <w:pStyle w:val="BodyText"/>
        <w:ind w:left="709"/>
      </w:pPr>
      <w:r w:rsidRPr="00792C49">
        <w:t xml:space="preserve">This </w:t>
      </w:r>
      <w:r w:rsidRPr="00562B61">
        <w:t>determination</w:t>
      </w:r>
      <w:r w:rsidRPr="00792C49">
        <w:t xml:space="preserve"> comes into force on </w:t>
      </w:r>
      <w:r w:rsidR="008024F7">
        <w:t xml:space="preserve">the date on which notice </w:t>
      </w:r>
      <w:r>
        <w:t xml:space="preserve">of the determination is given in the New Zealand Gazette under section </w:t>
      </w:r>
      <w:r w:rsidRPr="00255E35">
        <w:t>52X</w:t>
      </w:r>
      <w:r>
        <w:t xml:space="preserve"> of the Commerce Act 1986</w:t>
      </w:r>
      <w:r w:rsidRPr="00792C49">
        <w:t>.</w:t>
      </w:r>
    </w:p>
    <w:p w:rsidR="0044768C" w:rsidRPr="00B20B82" w:rsidRDefault="0044768C" w:rsidP="0044768C">
      <w:pPr>
        <w:pStyle w:val="Para1"/>
        <w:rPr>
          <w:b/>
        </w:rPr>
      </w:pPr>
      <w:r w:rsidRPr="00B20B82">
        <w:rPr>
          <w:b/>
        </w:rPr>
        <w:t>INTERPRETATION</w:t>
      </w:r>
      <w:bookmarkEnd w:id="0"/>
    </w:p>
    <w:p w:rsidR="0044768C" w:rsidRDefault="0044768C" w:rsidP="008024F7">
      <w:pPr>
        <w:pStyle w:val="Para2"/>
        <w:ind w:left="709"/>
      </w:pPr>
      <w:r>
        <w:t xml:space="preserve">Terms in bold type have the meaning given to those terms in the </w:t>
      </w:r>
      <w:r w:rsidR="008024F7">
        <w:t xml:space="preserve">applicable </w:t>
      </w:r>
      <w:r>
        <w:t>Determination.  Terms</w:t>
      </w:r>
      <w:r w:rsidR="008024F7">
        <w:t xml:space="preserve"> in bold type</w:t>
      </w:r>
      <w:r>
        <w:t xml:space="preserve"> used in this determination that are defined in the Act, but not this determination, have the same meaning as in the Act.</w:t>
      </w:r>
    </w:p>
    <w:p w:rsidR="0044768C" w:rsidRDefault="0044768C" w:rsidP="008024F7">
      <w:pPr>
        <w:pStyle w:val="Para2"/>
        <w:ind w:left="709"/>
      </w:pPr>
      <w:r>
        <w:t xml:space="preserve">Nothing in this determination limits the </w:t>
      </w:r>
      <w:r w:rsidRPr="007D0362">
        <w:rPr>
          <w:b/>
        </w:rPr>
        <w:t>Commission’s</w:t>
      </w:r>
      <w:r>
        <w:t xml:space="preserve"> authority to amend </w:t>
      </w:r>
      <w:r w:rsidR="008024F7">
        <w:t>any</w:t>
      </w:r>
      <w:r>
        <w:t xml:space="preserve"> Determination in accordance with the Act.</w:t>
      </w:r>
    </w:p>
    <w:p w:rsidR="0044768C" w:rsidRPr="00B20B82" w:rsidRDefault="0044768C" w:rsidP="0044768C">
      <w:pPr>
        <w:pStyle w:val="Para1"/>
        <w:rPr>
          <w:b/>
        </w:rPr>
      </w:pPr>
      <w:r>
        <w:rPr>
          <w:b/>
        </w:rPr>
        <w:t>EDB IM AMENDMENTS</w:t>
      </w:r>
    </w:p>
    <w:p w:rsidR="00A8399E" w:rsidRDefault="0044768C" w:rsidP="009F128D">
      <w:pPr>
        <w:pStyle w:val="Para2"/>
        <w:tabs>
          <w:tab w:val="clear" w:pos="1418"/>
        </w:tabs>
        <w:ind w:left="709"/>
      </w:pPr>
      <w:r>
        <w:t xml:space="preserve">In the </w:t>
      </w:r>
      <w:r w:rsidRPr="008024F7">
        <w:rPr>
          <w:b/>
        </w:rPr>
        <w:t xml:space="preserve">EDB </w:t>
      </w:r>
      <w:r w:rsidR="008C1A80">
        <w:rPr>
          <w:b/>
        </w:rPr>
        <w:t xml:space="preserve">IM </w:t>
      </w:r>
      <w:r w:rsidRPr="008024F7">
        <w:rPr>
          <w:b/>
        </w:rPr>
        <w:t>Determination</w:t>
      </w:r>
      <w:r w:rsidR="00A8399E">
        <w:t xml:space="preserve"> amend clause 1.1.4(2) as follows:</w:t>
      </w:r>
    </w:p>
    <w:p w:rsidR="00A8399E" w:rsidRPr="00B518F8" w:rsidRDefault="00A8399E" w:rsidP="00A8399E">
      <w:pPr>
        <w:pStyle w:val="Para4"/>
        <w:tabs>
          <w:tab w:val="clear" w:pos="2835"/>
          <w:tab w:val="num" w:pos="1560"/>
        </w:tabs>
        <w:ind w:left="1560" w:hanging="851"/>
      </w:pPr>
      <w:r w:rsidRPr="00B518F8">
        <w:t xml:space="preserve">replace the reference </w:t>
      </w:r>
      <w:r w:rsidR="00B518F8">
        <w:t xml:space="preserve">to </w:t>
      </w:r>
      <w:r w:rsidR="00B518F8" w:rsidRPr="00B518F8">
        <w:t>“clause 4.3.3(6)”</w:t>
      </w:r>
      <w:r w:rsidR="00B518F8">
        <w:t xml:space="preserve"> </w:t>
      </w:r>
      <w:r w:rsidRPr="00B518F8">
        <w:t xml:space="preserve">in the definition of ‘amortisation of revaluations’ </w:t>
      </w:r>
      <w:r w:rsidR="00B518F8">
        <w:t>with</w:t>
      </w:r>
      <w:r w:rsidRPr="00B518F8">
        <w:t xml:space="preserve"> “clause 4.3.3(5)”;</w:t>
      </w:r>
    </w:p>
    <w:p w:rsidR="00BB5D0D" w:rsidRDefault="00B518F8" w:rsidP="00A8399E">
      <w:pPr>
        <w:pStyle w:val="Para4"/>
        <w:tabs>
          <w:tab w:val="clear" w:pos="2835"/>
          <w:tab w:val="num" w:pos="1560"/>
        </w:tabs>
        <w:ind w:left="1560" w:hanging="851"/>
      </w:pPr>
      <w:r w:rsidRPr="00B518F8">
        <w:t>delete</w:t>
      </w:r>
      <w:r w:rsidR="00A8399E" w:rsidRPr="00B518F8">
        <w:t xml:space="preserve"> paragraph (b) of the definition of </w:t>
      </w:r>
      <w:r w:rsidRPr="00B518F8">
        <w:t>‘</w:t>
      </w:r>
      <w:r w:rsidR="00A8399E" w:rsidRPr="00B518F8">
        <w:t>initial differences in asset values</w:t>
      </w:r>
      <w:r w:rsidRPr="00B518F8">
        <w:t>’</w:t>
      </w:r>
      <w:r w:rsidR="00A8399E" w:rsidRPr="00B518F8">
        <w:t xml:space="preserve"> and renumber paragraph (c)</w:t>
      </w:r>
      <w:r w:rsidRPr="00B518F8">
        <w:t xml:space="preserve"> accordingly</w:t>
      </w:r>
      <w:r w:rsidR="00A8399E" w:rsidRPr="00B518F8">
        <w:t xml:space="preserve">; </w:t>
      </w:r>
    </w:p>
    <w:p w:rsidR="00CE52E5" w:rsidRPr="00CE52E5" w:rsidRDefault="00CE52E5" w:rsidP="00A8399E">
      <w:pPr>
        <w:pStyle w:val="Para4"/>
        <w:tabs>
          <w:tab w:val="clear" w:pos="2835"/>
          <w:tab w:val="num" w:pos="1560"/>
        </w:tabs>
        <w:ind w:left="1560" w:hanging="851"/>
        <w:rPr>
          <w:color w:val="1F497D" w:themeColor="text2"/>
          <w:u w:val="single"/>
        </w:rPr>
      </w:pPr>
      <w:r w:rsidRPr="00CE52E5">
        <w:rPr>
          <w:color w:val="1F497D" w:themeColor="text2"/>
          <w:u w:val="single"/>
        </w:rPr>
        <w:t xml:space="preserve">amend the definition of </w:t>
      </w:r>
      <w:r>
        <w:rPr>
          <w:color w:val="1F497D" w:themeColor="text2"/>
          <w:u w:val="single"/>
        </w:rPr>
        <w:t>‘</w:t>
      </w:r>
      <w:r w:rsidRPr="00CE52E5">
        <w:rPr>
          <w:color w:val="1F497D" w:themeColor="text2"/>
          <w:u w:val="single"/>
        </w:rPr>
        <w:t>base year</w:t>
      </w:r>
      <w:r>
        <w:rPr>
          <w:color w:val="1F497D" w:themeColor="text2"/>
          <w:u w:val="single"/>
        </w:rPr>
        <w:t>’</w:t>
      </w:r>
      <w:r w:rsidRPr="00CE52E5">
        <w:rPr>
          <w:color w:val="1F497D" w:themeColor="text2"/>
          <w:u w:val="single"/>
        </w:rPr>
        <w:t xml:space="preserve"> as follows:</w:t>
      </w:r>
    </w:p>
    <w:p w:rsidR="00CE52E5" w:rsidRPr="00CE52E5" w:rsidRDefault="00CE52E5" w:rsidP="00CE52E5">
      <w:pPr>
        <w:pStyle w:val="Para4"/>
        <w:numPr>
          <w:ilvl w:val="0"/>
          <w:numId w:val="0"/>
        </w:numPr>
        <w:ind w:left="709"/>
        <w:rPr>
          <w:color w:val="1F497D" w:themeColor="text2"/>
          <w:u w:val="single"/>
        </w:rPr>
      </w:pPr>
      <w:r w:rsidRPr="00CE52E5">
        <w:rPr>
          <w:color w:val="1F497D" w:themeColor="text2"/>
          <w:u w:val="single"/>
        </w:rPr>
        <w:t>“</w:t>
      </w:r>
      <w:r w:rsidRPr="00CE52E5">
        <w:rPr>
          <w:b/>
          <w:color w:val="1F497D" w:themeColor="text2"/>
          <w:u w:val="single"/>
        </w:rPr>
        <w:t>base year</w:t>
      </w:r>
      <w:r w:rsidRPr="00CE52E5">
        <w:rPr>
          <w:color w:val="1F497D" w:themeColor="text2"/>
          <w:u w:val="single"/>
        </w:rPr>
        <w:t xml:space="preserve"> means the </w:t>
      </w:r>
      <w:r w:rsidRPr="00CE52E5">
        <w:rPr>
          <w:b/>
          <w:color w:val="1F497D" w:themeColor="text2"/>
          <w:u w:val="single"/>
        </w:rPr>
        <w:t>disclosure year</w:t>
      </w:r>
      <w:r w:rsidRPr="00CE52E5">
        <w:rPr>
          <w:color w:val="1F497D" w:themeColor="text2"/>
          <w:u w:val="single"/>
        </w:rPr>
        <w:t xml:space="preserve"> selected by the </w:t>
      </w:r>
      <w:r w:rsidRPr="00CE52E5">
        <w:rPr>
          <w:b/>
          <w:color w:val="1F497D" w:themeColor="text2"/>
          <w:u w:val="single"/>
        </w:rPr>
        <w:t>Commission</w:t>
      </w:r>
      <w:r w:rsidRPr="00CE52E5">
        <w:rPr>
          <w:color w:val="1F497D" w:themeColor="text2"/>
          <w:u w:val="single"/>
        </w:rPr>
        <w:t xml:space="preserve">, as specified in a </w:t>
      </w:r>
      <w:r w:rsidRPr="00CE52E5">
        <w:rPr>
          <w:b/>
          <w:color w:val="1F497D" w:themeColor="text2"/>
          <w:u w:val="single"/>
        </w:rPr>
        <w:t>DPP determination</w:t>
      </w:r>
      <w:r w:rsidRPr="00CE52E5">
        <w:rPr>
          <w:color w:val="1F497D" w:themeColor="text2"/>
          <w:u w:val="single"/>
        </w:rPr>
        <w:t>”</w:t>
      </w:r>
    </w:p>
    <w:p w:rsidR="00471049" w:rsidRPr="00E46CE9" w:rsidRDefault="002B4091" w:rsidP="00A8399E">
      <w:pPr>
        <w:pStyle w:val="Para4"/>
        <w:tabs>
          <w:tab w:val="clear" w:pos="2835"/>
          <w:tab w:val="num" w:pos="1560"/>
        </w:tabs>
        <w:ind w:left="1560" w:hanging="851"/>
      </w:pPr>
      <w:r>
        <w:t>insert</w:t>
      </w:r>
      <w:r w:rsidR="008024F7">
        <w:t xml:space="preserve"> the </w:t>
      </w:r>
      <w:r w:rsidR="0044768C" w:rsidRPr="00A8399E">
        <w:rPr>
          <w:szCs w:val="24"/>
        </w:rPr>
        <w:t>following</w:t>
      </w:r>
      <w:r w:rsidR="0044768C">
        <w:t xml:space="preserve"> n</w:t>
      </w:r>
      <w:r w:rsidR="00471049" w:rsidRPr="00E46CE9">
        <w:t>ew definition</w:t>
      </w:r>
      <w:r w:rsidR="00E46CE9" w:rsidRPr="00E46CE9">
        <w:t>s</w:t>
      </w:r>
      <w:r w:rsidR="00B518F8">
        <w:t xml:space="preserve"> in alphabetical order</w:t>
      </w:r>
      <w:r w:rsidR="00471049" w:rsidRPr="00E46CE9">
        <w:t>:</w:t>
      </w:r>
    </w:p>
    <w:p w:rsidR="00AA430F" w:rsidRPr="004665AB" w:rsidRDefault="00AA430F" w:rsidP="00B342E8">
      <w:pPr>
        <w:pStyle w:val="BodyText"/>
        <w:ind w:left="709"/>
      </w:pPr>
      <w:r w:rsidRPr="004665AB">
        <w:t>“</w:t>
      </w:r>
      <w:r w:rsidRPr="004665AB">
        <w:rPr>
          <w:b/>
          <w:bCs/>
        </w:rPr>
        <w:t>2013-15 NPV wash-up</w:t>
      </w:r>
      <w:r w:rsidRPr="004665AB">
        <w:rPr>
          <w:b/>
        </w:rPr>
        <w:t xml:space="preserve"> </w:t>
      </w:r>
      <w:r w:rsidRPr="004665AB">
        <w:rPr>
          <w:b/>
          <w:bCs/>
        </w:rPr>
        <w:t>allowance</w:t>
      </w:r>
      <w:r w:rsidRPr="004665AB">
        <w:t xml:space="preserve"> means the amount </w:t>
      </w:r>
      <w:r w:rsidRPr="004665AB">
        <w:rPr>
          <w:szCs w:val="24"/>
        </w:rPr>
        <w:t xml:space="preserve">specified in the </w:t>
      </w:r>
      <w:r w:rsidRPr="00621D77">
        <w:rPr>
          <w:b/>
          <w:bCs/>
          <w:szCs w:val="24"/>
        </w:rPr>
        <w:t>DPP determination</w:t>
      </w:r>
      <w:r w:rsidRPr="004665AB">
        <w:rPr>
          <w:szCs w:val="24"/>
        </w:rPr>
        <w:t xml:space="preserve"> for the </w:t>
      </w:r>
      <w:r w:rsidRPr="00621D77">
        <w:rPr>
          <w:b/>
          <w:bCs/>
          <w:szCs w:val="24"/>
        </w:rPr>
        <w:t>regulatory period</w:t>
      </w:r>
      <w:r w:rsidRPr="004665AB">
        <w:rPr>
          <w:szCs w:val="24"/>
        </w:rPr>
        <w:t xml:space="preserve"> commencing 1 April 2015 for Alpine Energy Limited, Centralines Limited, and Top Energy Limited reflecting the impact of the capped alternative rate of change for those suppliers in the </w:t>
      </w:r>
      <w:r w:rsidRPr="004665AB">
        <w:rPr>
          <w:i/>
          <w:iCs/>
          <w:szCs w:val="24"/>
        </w:rPr>
        <w:t>Electricity Distribution Services Default Price-Quality Path Determination 2012</w:t>
      </w:r>
      <w:r w:rsidRPr="004665AB">
        <w:rPr>
          <w:szCs w:val="24"/>
        </w:rPr>
        <w:t> [2012] NZCC 35</w:t>
      </w:r>
      <w:r w:rsidR="00875B0C">
        <w:rPr>
          <w:szCs w:val="24"/>
        </w:rPr>
        <w:t>;</w:t>
      </w:r>
    </w:p>
    <w:p w:rsidR="00B342E8" w:rsidRPr="004665AB" w:rsidRDefault="00B342E8" w:rsidP="00B342E8">
      <w:pPr>
        <w:pStyle w:val="BodyText"/>
        <w:ind w:left="709"/>
      </w:pPr>
      <w:r w:rsidRPr="004665AB">
        <w:lastRenderedPageBreak/>
        <w:t>“</w:t>
      </w:r>
      <w:r w:rsidR="00035B14">
        <w:rPr>
          <w:b/>
          <w:szCs w:val="24"/>
        </w:rPr>
        <w:t>c</w:t>
      </w:r>
      <w:r w:rsidRPr="004665AB">
        <w:rPr>
          <w:b/>
          <w:szCs w:val="24"/>
        </w:rPr>
        <w:t>apex wash-up</w:t>
      </w:r>
      <w:r w:rsidR="009658DA">
        <w:rPr>
          <w:b/>
          <w:szCs w:val="24"/>
        </w:rPr>
        <w:t xml:space="preserve"> amount</w:t>
      </w:r>
      <w:r w:rsidRPr="004665AB">
        <w:rPr>
          <w:b/>
          <w:szCs w:val="24"/>
        </w:rPr>
        <w:t xml:space="preserve"> </w:t>
      </w:r>
      <w:r w:rsidRPr="007D53EC">
        <w:rPr>
          <w:szCs w:val="24"/>
        </w:rPr>
        <w:t>means</w:t>
      </w:r>
      <w:r w:rsidRPr="004665AB">
        <w:rPr>
          <w:szCs w:val="24"/>
        </w:rPr>
        <w:t xml:space="preserve"> the amount </w:t>
      </w:r>
      <w:r w:rsidR="009658DA">
        <w:rPr>
          <w:szCs w:val="24"/>
        </w:rPr>
        <w:t xml:space="preserve">that is the present value of </w:t>
      </w:r>
      <w:r w:rsidRPr="004665AB">
        <w:rPr>
          <w:szCs w:val="24"/>
        </w:rPr>
        <w:t xml:space="preserve">the difference </w:t>
      </w:r>
      <w:r w:rsidR="00601CC8">
        <w:rPr>
          <w:szCs w:val="24"/>
        </w:rPr>
        <w:t xml:space="preserve">in </w:t>
      </w:r>
      <w:r w:rsidR="009658DA">
        <w:rPr>
          <w:szCs w:val="24"/>
        </w:rPr>
        <w:t xml:space="preserve">building block </w:t>
      </w:r>
      <w:r w:rsidR="00601CC8">
        <w:rPr>
          <w:szCs w:val="24"/>
        </w:rPr>
        <w:t xml:space="preserve">revenues </w:t>
      </w:r>
      <w:r w:rsidRPr="004665AB">
        <w:rPr>
          <w:szCs w:val="24"/>
        </w:rPr>
        <w:t xml:space="preserve">for a </w:t>
      </w:r>
      <w:r w:rsidR="009658DA" w:rsidRPr="00B518F8">
        <w:rPr>
          <w:b/>
          <w:szCs w:val="24"/>
        </w:rPr>
        <w:t xml:space="preserve">DPP </w:t>
      </w:r>
      <w:r w:rsidRPr="00621D77">
        <w:rPr>
          <w:b/>
          <w:szCs w:val="24"/>
        </w:rPr>
        <w:t>regulatory period</w:t>
      </w:r>
      <w:r w:rsidR="009658DA">
        <w:rPr>
          <w:szCs w:val="24"/>
        </w:rPr>
        <w:t xml:space="preserve"> resulting from adopting</w:t>
      </w:r>
      <w:r w:rsidR="007D53EC">
        <w:rPr>
          <w:szCs w:val="24"/>
        </w:rPr>
        <w:t xml:space="preserve"> </w:t>
      </w:r>
      <w:r w:rsidR="009658DA">
        <w:rPr>
          <w:szCs w:val="24"/>
        </w:rPr>
        <w:t xml:space="preserve">actual values of </w:t>
      </w:r>
      <w:r w:rsidR="009658DA" w:rsidRPr="00074ED3">
        <w:rPr>
          <w:b/>
          <w:szCs w:val="24"/>
        </w:rPr>
        <w:t>commissioned</w:t>
      </w:r>
      <w:r w:rsidR="009658DA">
        <w:rPr>
          <w:szCs w:val="24"/>
        </w:rPr>
        <w:t xml:space="preserve"> </w:t>
      </w:r>
      <w:r w:rsidR="009658DA" w:rsidRPr="004665AB">
        <w:rPr>
          <w:szCs w:val="24"/>
        </w:rPr>
        <w:t xml:space="preserve">assets </w:t>
      </w:r>
      <w:r w:rsidR="009658DA">
        <w:rPr>
          <w:szCs w:val="24"/>
        </w:rPr>
        <w:t xml:space="preserve">for a prior </w:t>
      </w:r>
      <w:r w:rsidR="009658DA">
        <w:rPr>
          <w:b/>
          <w:szCs w:val="24"/>
        </w:rPr>
        <w:t>regulatory period</w:t>
      </w:r>
      <w:r w:rsidR="009658DA">
        <w:rPr>
          <w:szCs w:val="24"/>
        </w:rPr>
        <w:t xml:space="preserve"> instead of the </w:t>
      </w:r>
      <w:r w:rsidRPr="004665AB">
        <w:rPr>
          <w:szCs w:val="24"/>
        </w:rPr>
        <w:t xml:space="preserve">forecast </w:t>
      </w:r>
      <w:r w:rsidRPr="00621D77">
        <w:rPr>
          <w:b/>
          <w:szCs w:val="24"/>
        </w:rPr>
        <w:t>commissioned</w:t>
      </w:r>
      <w:r w:rsidRPr="004665AB">
        <w:rPr>
          <w:szCs w:val="24"/>
        </w:rPr>
        <w:t xml:space="preserve"> </w:t>
      </w:r>
      <w:r w:rsidR="00601CC8">
        <w:rPr>
          <w:szCs w:val="24"/>
        </w:rPr>
        <w:t xml:space="preserve">assets </w:t>
      </w:r>
      <w:r w:rsidR="009658DA">
        <w:rPr>
          <w:szCs w:val="24"/>
        </w:rPr>
        <w:t xml:space="preserve">applied </w:t>
      </w:r>
      <w:r w:rsidR="007D53EC">
        <w:rPr>
          <w:szCs w:val="24"/>
        </w:rPr>
        <w:t xml:space="preserve">by the </w:t>
      </w:r>
      <w:r w:rsidR="007D53EC" w:rsidRPr="007D53EC">
        <w:rPr>
          <w:b/>
          <w:szCs w:val="24"/>
        </w:rPr>
        <w:t>Commission</w:t>
      </w:r>
      <w:r w:rsidR="007D53EC">
        <w:rPr>
          <w:szCs w:val="24"/>
        </w:rPr>
        <w:t xml:space="preserve"> </w:t>
      </w:r>
      <w:r w:rsidR="009658DA">
        <w:rPr>
          <w:szCs w:val="24"/>
        </w:rPr>
        <w:t xml:space="preserve">when </w:t>
      </w:r>
      <w:r w:rsidR="007D53EC">
        <w:rPr>
          <w:szCs w:val="24"/>
        </w:rPr>
        <w:t>setting prices</w:t>
      </w:r>
      <w:r w:rsidR="009658DA">
        <w:rPr>
          <w:szCs w:val="24"/>
        </w:rPr>
        <w:t>,</w:t>
      </w:r>
      <w:r w:rsidRPr="004665AB">
        <w:rPr>
          <w:szCs w:val="24"/>
        </w:rPr>
        <w:t xml:space="preserve"> and is calculated in </w:t>
      </w:r>
      <w:r w:rsidR="00DB5513" w:rsidRPr="004665AB">
        <w:rPr>
          <w:szCs w:val="24"/>
        </w:rPr>
        <w:t>accordance with clause 3.1.3(</w:t>
      </w:r>
      <w:r w:rsidR="007D53EC">
        <w:rPr>
          <w:szCs w:val="24"/>
        </w:rPr>
        <w:t>8</w:t>
      </w:r>
      <w:r w:rsidR="00DB5513" w:rsidRPr="004665AB">
        <w:rPr>
          <w:szCs w:val="24"/>
        </w:rPr>
        <w:t>)</w:t>
      </w:r>
      <w:r w:rsidR="00875B0C">
        <w:rPr>
          <w:szCs w:val="24"/>
        </w:rPr>
        <w:t>;</w:t>
      </w:r>
    </w:p>
    <w:p w:rsidR="00B342E8" w:rsidRPr="004665AB" w:rsidRDefault="00B342E8" w:rsidP="00B342E8">
      <w:pPr>
        <w:pStyle w:val="Tablebodytext"/>
        <w:spacing w:line="264" w:lineRule="auto"/>
        <w:ind w:left="709"/>
      </w:pPr>
      <w:r w:rsidRPr="004665AB">
        <w:t>“</w:t>
      </w:r>
      <w:r w:rsidR="00035B14">
        <w:rPr>
          <w:b/>
        </w:rPr>
        <w:t>c</w:t>
      </w:r>
      <w:r w:rsidRPr="004665AB">
        <w:rPr>
          <w:b/>
        </w:rPr>
        <w:t>atastrophic event allowance</w:t>
      </w:r>
      <w:r w:rsidRPr="004665AB">
        <w:t xml:space="preserve"> means the amount determined by the </w:t>
      </w:r>
      <w:r w:rsidRPr="00621D77">
        <w:rPr>
          <w:b/>
        </w:rPr>
        <w:t>Commission</w:t>
      </w:r>
      <w:r w:rsidRPr="004665AB">
        <w:t xml:space="preserve"> for</w:t>
      </w:r>
      <w:r w:rsidR="003B0B55">
        <w:rPr>
          <w:szCs w:val="24"/>
        </w:rPr>
        <w:t>–</w:t>
      </w:r>
    </w:p>
    <w:p w:rsidR="00B342E8" w:rsidRPr="004665AB" w:rsidRDefault="00A008C2" w:rsidP="00282BE7">
      <w:pPr>
        <w:pStyle w:val="BodyText"/>
        <w:ind w:left="2127" w:hanging="709"/>
      </w:pPr>
      <w:r w:rsidRPr="004665AB">
        <w:t>“</w:t>
      </w:r>
      <w:r w:rsidR="00B342E8" w:rsidRPr="004665AB">
        <w:t>(a)</w:t>
      </w:r>
      <w:r w:rsidR="00B342E8" w:rsidRPr="004665AB">
        <w:tab/>
        <w:t xml:space="preserve">additional net costs (over and above those provided for in a </w:t>
      </w:r>
      <w:r w:rsidR="00B342E8" w:rsidRPr="00621D77">
        <w:rPr>
          <w:b/>
        </w:rPr>
        <w:t xml:space="preserve">DPP </w:t>
      </w:r>
      <w:r w:rsidR="00B342E8" w:rsidRPr="005C1208">
        <w:rPr>
          <w:b/>
          <w:szCs w:val="24"/>
        </w:rPr>
        <w:t>determination</w:t>
      </w:r>
      <w:r w:rsidR="00B342E8" w:rsidRPr="004665AB">
        <w:t xml:space="preserve"> or </w:t>
      </w:r>
      <w:r w:rsidR="00B342E8" w:rsidRPr="00621D77">
        <w:rPr>
          <w:b/>
        </w:rPr>
        <w:t>CPP determination</w:t>
      </w:r>
      <w:r w:rsidR="00B342E8" w:rsidRPr="004665AB">
        <w:t xml:space="preserve">) prudently incurred </w:t>
      </w:r>
      <w:r w:rsidR="00282BE7">
        <w:t xml:space="preserve">by an </w:t>
      </w:r>
      <w:r w:rsidR="00282BE7" w:rsidRPr="005C1208">
        <w:rPr>
          <w:b/>
        </w:rPr>
        <w:t>EDB</w:t>
      </w:r>
      <w:r w:rsidR="00282BE7">
        <w:t xml:space="preserve"> </w:t>
      </w:r>
      <w:r w:rsidR="00B342E8" w:rsidRPr="004665AB">
        <w:t xml:space="preserve">in responding to a </w:t>
      </w:r>
      <w:r w:rsidR="00B342E8" w:rsidRPr="00621D77">
        <w:rPr>
          <w:b/>
        </w:rPr>
        <w:t>catastrophic event</w:t>
      </w:r>
      <w:r w:rsidR="00B342E8" w:rsidRPr="004665AB">
        <w:t>, other than costs that are foregone revenue</w:t>
      </w:r>
      <w:r w:rsidR="00875B0C">
        <w:t>;</w:t>
      </w:r>
    </w:p>
    <w:p w:rsidR="00B342E8" w:rsidRPr="00D22A41" w:rsidRDefault="00A008C2" w:rsidP="00282BE7">
      <w:pPr>
        <w:pStyle w:val="BodyText"/>
        <w:ind w:left="2127" w:hanging="709"/>
        <w:rPr>
          <w:b/>
        </w:rPr>
      </w:pPr>
      <w:r w:rsidRPr="004665AB">
        <w:t>“</w:t>
      </w:r>
      <w:r w:rsidR="00B342E8" w:rsidRPr="004665AB">
        <w:t>(b)</w:t>
      </w:r>
      <w:r w:rsidR="00B342E8" w:rsidRPr="004665AB">
        <w:tab/>
      </w:r>
      <w:r w:rsidR="00B342E8" w:rsidRPr="00621D77">
        <w:rPr>
          <w:b/>
        </w:rPr>
        <w:t>recoverable costs</w:t>
      </w:r>
      <w:r w:rsidR="00B342E8" w:rsidRPr="004665AB">
        <w:t xml:space="preserve"> and </w:t>
      </w:r>
      <w:r w:rsidR="00B342E8" w:rsidRPr="00621D77">
        <w:rPr>
          <w:b/>
        </w:rPr>
        <w:t>pass-through costs</w:t>
      </w:r>
      <w:r w:rsidR="00B342E8" w:rsidRPr="004665AB">
        <w:t xml:space="preserve"> the </w:t>
      </w:r>
      <w:r w:rsidR="00B342E8" w:rsidRPr="00621D77">
        <w:rPr>
          <w:b/>
        </w:rPr>
        <w:t>EDB</w:t>
      </w:r>
      <w:r w:rsidR="00B342E8" w:rsidRPr="004665AB">
        <w:t xml:space="preserve"> was permitted to recover </w:t>
      </w:r>
      <w:r w:rsidR="00B342E8" w:rsidRPr="00517783">
        <w:rPr>
          <w:szCs w:val="24"/>
        </w:rPr>
        <w:t>under</w:t>
      </w:r>
      <w:r w:rsidR="00B342E8" w:rsidRPr="004665AB">
        <w:t xml:space="preserve"> the applicable </w:t>
      </w:r>
      <w:r w:rsidR="00B342E8" w:rsidRPr="00621D77">
        <w:rPr>
          <w:b/>
        </w:rPr>
        <w:t>DPP determination</w:t>
      </w:r>
      <w:r w:rsidR="00B342E8" w:rsidRPr="004665AB">
        <w:t xml:space="preserve"> or </w:t>
      </w:r>
      <w:r w:rsidR="00B342E8" w:rsidRPr="00621D77">
        <w:rPr>
          <w:b/>
        </w:rPr>
        <w:t>CPP determination</w:t>
      </w:r>
      <w:r w:rsidR="00B342E8" w:rsidRPr="004665AB">
        <w:t xml:space="preserve"> through </w:t>
      </w:r>
      <w:r w:rsidR="00B342E8" w:rsidRPr="00621D77">
        <w:rPr>
          <w:b/>
        </w:rPr>
        <w:t>prices</w:t>
      </w:r>
      <w:r w:rsidR="00B342E8" w:rsidRPr="004665AB">
        <w:t xml:space="preserve">, but did not recover due to </w:t>
      </w:r>
      <w:r w:rsidR="003B0B55">
        <w:t>a</w:t>
      </w:r>
      <w:r w:rsidR="003B0B55" w:rsidRPr="004665AB">
        <w:t xml:space="preserve"> </w:t>
      </w:r>
      <w:r w:rsidR="00B342E8" w:rsidRPr="00090346">
        <w:rPr>
          <w:b/>
        </w:rPr>
        <w:t>catastrophic event</w:t>
      </w:r>
      <w:r w:rsidR="00875B0C" w:rsidRPr="00D22A41">
        <w:t>; and</w:t>
      </w:r>
    </w:p>
    <w:p w:rsidR="003B1B9B" w:rsidRPr="005C1208" w:rsidRDefault="003B1B9B" w:rsidP="00282BE7">
      <w:pPr>
        <w:pStyle w:val="BodyText"/>
        <w:ind w:left="2127" w:hanging="709"/>
      </w:pPr>
      <w:r w:rsidRPr="005C1208">
        <w:t>“(c)</w:t>
      </w:r>
      <w:r w:rsidRPr="005C1208">
        <w:tab/>
        <w:t xml:space="preserve">the impact of </w:t>
      </w:r>
      <w:r w:rsidR="003B0B55" w:rsidRPr="005C1208">
        <w:t>a</w:t>
      </w:r>
      <w:r w:rsidRPr="005C1208">
        <w:t xml:space="preserve"> </w:t>
      </w:r>
      <w:r w:rsidRPr="005C1208">
        <w:rPr>
          <w:b/>
          <w:bCs/>
        </w:rPr>
        <w:t>catastrophic event</w:t>
      </w:r>
      <w:r w:rsidRPr="005C1208">
        <w:t xml:space="preserve"> on </w:t>
      </w:r>
      <w:r w:rsidR="00833FB3" w:rsidRPr="005C1208">
        <w:t>any</w:t>
      </w:r>
      <w:r w:rsidRPr="005C1208">
        <w:t xml:space="preserve"> </w:t>
      </w:r>
      <w:r w:rsidRPr="005C1208">
        <w:rPr>
          <w:b/>
          <w:bCs/>
        </w:rPr>
        <w:t>quality incentive adjustment</w:t>
      </w:r>
      <w:r w:rsidR="003B0B55" w:rsidRPr="005C1208">
        <w:rPr>
          <w:bCs/>
        </w:rPr>
        <w:t>,</w:t>
      </w:r>
    </w:p>
    <w:p w:rsidR="00B342E8" w:rsidRPr="004665AB" w:rsidRDefault="00A008C2" w:rsidP="00AA430F">
      <w:pPr>
        <w:spacing w:after="240"/>
        <w:ind w:left="709"/>
        <w:rPr>
          <w:rFonts w:ascii="Times New Roman" w:hAnsi="Times New Roman"/>
          <w:szCs w:val="24"/>
          <w:lang w:eastAsia="en-NZ"/>
        </w:rPr>
      </w:pPr>
      <w:r w:rsidRPr="004665AB">
        <w:t>“</w:t>
      </w:r>
      <w:r w:rsidR="00B342E8" w:rsidRPr="004665AB">
        <w:t xml:space="preserve">incurred in or relating to the period between a </w:t>
      </w:r>
      <w:r w:rsidR="00B342E8" w:rsidRPr="00621D77">
        <w:rPr>
          <w:b/>
        </w:rPr>
        <w:t>catastrophic event</w:t>
      </w:r>
      <w:r w:rsidR="00B342E8" w:rsidRPr="004665AB">
        <w:t xml:space="preserve"> and the effective date of an amendment to the </w:t>
      </w:r>
      <w:r w:rsidR="00B342E8" w:rsidRPr="00621D77">
        <w:rPr>
          <w:b/>
        </w:rPr>
        <w:t>DPP</w:t>
      </w:r>
      <w:r w:rsidR="001A4595">
        <w:t xml:space="preserve"> or </w:t>
      </w:r>
      <w:r w:rsidR="001A4595">
        <w:rPr>
          <w:b/>
        </w:rPr>
        <w:t>CPP</w:t>
      </w:r>
      <w:r w:rsidR="00B342E8" w:rsidRPr="004665AB">
        <w:t xml:space="preserve"> following reconsideration of the </w:t>
      </w:r>
      <w:r w:rsidR="00B342E8" w:rsidRPr="00621D77">
        <w:rPr>
          <w:b/>
        </w:rPr>
        <w:t>price-quality path</w:t>
      </w:r>
      <w:r w:rsidR="00B342E8" w:rsidRPr="004665AB">
        <w:t xml:space="preserve"> under clause [reference to be confirmed]</w:t>
      </w:r>
      <w:r w:rsidR="00B342E8" w:rsidRPr="004665AB">
        <w:rPr>
          <w:rStyle w:val="FootnoteReference"/>
          <w:sz w:val="20"/>
        </w:rPr>
        <w:footnoteReference w:id="1"/>
      </w:r>
      <w:r w:rsidR="00B342E8" w:rsidRPr="004665AB">
        <w:rPr>
          <w:rFonts w:ascii="Times New Roman" w:hAnsi="Times New Roman"/>
          <w:szCs w:val="24"/>
          <w:lang w:eastAsia="en-NZ"/>
        </w:rPr>
        <w:t xml:space="preserve"> </w:t>
      </w:r>
      <w:r w:rsidR="00E60CF5">
        <w:t>or clause 5.6.4(2)(a)</w:t>
      </w:r>
      <w:r w:rsidR="00875B0C">
        <w:t>;</w:t>
      </w:r>
    </w:p>
    <w:p w:rsidR="00AA430F" w:rsidRPr="004665AB" w:rsidRDefault="00AA430F" w:rsidP="00AA430F">
      <w:pPr>
        <w:pStyle w:val="BodyText"/>
        <w:ind w:left="709"/>
      </w:pPr>
      <w:r w:rsidRPr="004665AB">
        <w:rPr>
          <w:b/>
        </w:rPr>
        <w:t>“</w:t>
      </w:r>
      <w:r w:rsidR="00035B14">
        <w:rPr>
          <w:b/>
        </w:rPr>
        <w:t>d</w:t>
      </w:r>
      <w:r w:rsidRPr="004665AB">
        <w:rPr>
          <w:b/>
        </w:rPr>
        <w:t>istributed generation allowance</w:t>
      </w:r>
      <w:r w:rsidRPr="004665AB">
        <w:t xml:space="preserve"> means any positive allowance for costs incurred and amounts payable</w:t>
      </w:r>
      <w:r w:rsidR="00C07F1E">
        <w:t>,</w:t>
      </w:r>
      <w:r w:rsidRPr="004665AB">
        <w:t xml:space="preserve"> or negative allowance for amounts receivable</w:t>
      </w:r>
      <w:r w:rsidR="00C07F1E">
        <w:t>,</w:t>
      </w:r>
      <w:r w:rsidRPr="004665AB">
        <w:t xml:space="preserve"> in relation to avoided transmission charges arising from distributed generation, including embedded or notionally embedded generation, made </w:t>
      </w:r>
      <w:r w:rsidR="00AA422B">
        <w:t>in accordance with</w:t>
      </w:r>
      <w:r w:rsidR="003B0B55">
        <w:rPr>
          <w:szCs w:val="24"/>
        </w:rPr>
        <w:t>–</w:t>
      </w:r>
    </w:p>
    <w:p w:rsidR="00AA430F" w:rsidRPr="004665AB" w:rsidRDefault="00A008C2" w:rsidP="005C1208">
      <w:pPr>
        <w:pStyle w:val="BodyText"/>
        <w:ind w:left="2127" w:hanging="709"/>
      </w:pPr>
      <w:r w:rsidRPr="004665AB">
        <w:t>“</w:t>
      </w:r>
      <w:r w:rsidR="00AA430F" w:rsidRPr="004665AB">
        <w:t>(a)</w:t>
      </w:r>
      <w:r w:rsidR="00AA430F" w:rsidRPr="004665AB">
        <w:tab/>
      </w:r>
      <w:r w:rsidR="00AA430F" w:rsidRPr="00517783">
        <w:rPr>
          <w:szCs w:val="24"/>
        </w:rPr>
        <w:t>Schedule</w:t>
      </w:r>
      <w:r w:rsidR="00AA430F" w:rsidRPr="004665AB">
        <w:t xml:space="preserve"> 6.4 of Part 6 of the Electricity Industry Participation Code</w:t>
      </w:r>
      <w:r w:rsidR="00875B0C">
        <w:t>;</w:t>
      </w:r>
      <w:r w:rsidR="00AA430F" w:rsidRPr="004665AB">
        <w:t xml:space="preserve"> or</w:t>
      </w:r>
    </w:p>
    <w:p w:rsidR="00AA430F" w:rsidRPr="004665AB" w:rsidRDefault="00A008C2" w:rsidP="005C1208">
      <w:pPr>
        <w:pStyle w:val="BodyText"/>
        <w:ind w:left="2127" w:hanging="709"/>
      </w:pPr>
      <w:r w:rsidRPr="004665AB">
        <w:t>“</w:t>
      </w:r>
      <w:r w:rsidR="00AA430F" w:rsidRPr="004665AB">
        <w:t>(b)</w:t>
      </w:r>
      <w:r w:rsidR="00AA430F" w:rsidRPr="004665AB">
        <w:tab/>
        <w:t xml:space="preserve">the </w:t>
      </w:r>
      <w:r w:rsidR="00AA430F" w:rsidRPr="00517783">
        <w:rPr>
          <w:szCs w:val="24"/>
        </w:rPr>
        <w:t>Electricity</w:t>
      </w:r>
      <w:r w:rsidR="00AA430F" w:rsidRPr="004665AB">
        <w:t xml:space="preserve"> Industry Act 2010</w:t>
      </w:r>
      <w:r w:rsidR="00875B0C">
        <w:t>;</w:t>
      </w:r>
    </w:p>
    <w:p w:rsidR="00AA430F" w:rsidRPr="004665AB" w:rsidRDefault="00AA430F" w:rsidP="00B342E8">
      <w:pPr>
        <w:pStyle w:val="BodyText"/>
        <w:ind w:left="709"/>
      </w:pPr>
      <w:r w:rsidRPr="004665AB">
        <w:t>“</w:t>
      </w:r>
      <w:r w:rsidR="00035B14">
        <w:rPr>
          <w:b/>
        </w:rPr>
        <w:t>d</w:t>
      </w:r>
      <w:r w:rsidRPr="004665AB">
        <w:rPr>
          <w:b/>
        </w:rPr>
        <w:t>istribution prices</w:t>
      </w:r>
      <w:r w:rsidRPr="004665AB">
        <w:t xml:space="preserve"> means </w:t>
      </w:r>
      <w:r w:rsidRPr="00192965">
        <w:rPr>
          <w:b/>
        </w:rPr>
        <w:t>prices</w:t>
      </w:r>
      <w:r w:rsidRPr="004665AB">
        <w:t>,</w:t>
      </w:r>
      <w:r w:rsidR="00A008C2" w:rsidRPr="004665AB">
        <w:t xml:space="preserve"> other than </w:t>
      </w:r>
      <w:r w:rsidR="009740D0" w:rsidRPr="00BA2685">
        <w:rPr>
          <w:b/>
        </w:rPr>
        <w:t xml:space="preserve">pass-through </w:t>
      </w:r>
      <w:r w:rsidR="00A008C2" w:rsidRPr="00BA2685">
        <w:rPr>
          <w:b/>
        </w:rPr>
        <w:t>prices</w:t>
      </w:r>
      <w:r w:rsidR="00875B0C" w:rsidRPr="00875B0C">
        <w:t>;</w:t>
      </w:r>
    </w:p>
    <w:p w:rsidR="00B342E8" w:rsidRPr="004665AB" w:rsidRDefault="00B342E8" w:rsidP="003F66A7">
      <w:pPr>
        <w:pStyle w:val="BodyText"/>
        <w:ind w:left="709"/>
      </w:pPr>
      <w:r w:rsidRPr="004665AB">
        <w:t>“</w:t>
      </w:r>
      <w:r w:rsidR="00035B14">
        <w:rPr>
          <w:b/>
          <w:szCs w:val="24"/>
        </w:rPr>
        <w:t>e</w:t>
      </w:r>
      <w:r w:rsidRPr="004665AB">
        <w:rPr>
          <w:b/>
          <w:szCs w:val="24"/>
        </w:rPr>
        <w:t>nergy efficiency and demand incentive allowance</w:t>
      </w:r>
      <w:r w:rsidRPr="004665AB">
        <w:rPr>
          <w:szCs w:val="24"/>
        </w:rPr>
        <w:t xml:space="preserve"> means </w:t>
      </w:r>
      <w:r w:rsidR="00517783">
        <w:rPr>
          <w:szCs w:val="24"/>
        </w:rPr>
        <w:t>an</w:t>
      </w:r>
      <w:r w:rsidR="00517783" w:rsidRPr="004665AB">
        <w:rPr>
          <w:szCs w:val="24"/>
        </w:rPr>
        <w:t xml:space="preserve"> </w:t>
      </w:r>
      <w:r w:rsidRPr="004665AB">
        <w:rPr>
          <w:szCs w:val="24"/>
        </w:rPr>
        <w:t xml:space="preserve">allowance for foregone revenue attributable to </w:t>
      </w:r>
      <w:r w:rsidR="0074155C" w:rsidRPr="00355898">
        <w:rPr>
          <w:strike/>
          <w:color w:val="1F497D" w:themeColor="text2"/>
          <w:szCs w:val="24"/>
        </w:rPr>
        <w:t>an</w:t>
      </w:r>
      <w:r w:rsidR="0074155C">
        <w:rPr>
          <w:szCs w:val="24"/>
        </w:rPr>
        <w:t xml:space="preserve"> </w:t>
      </w:r>
      <w:r w:rsidRPr="004665AB">
        <w:rPr>
          <w:szCs w:val="24"/>
        </w:rPr>
        <w:t xml:space="preserve">energy efficiency </w:t>
      </w:r>
      <w:r w:rsidRPr="009B6DD3">
        <w:rPr>
          <w:strike/>
          <w:color w:val="1F497D" w:themeColor="text2"/>
          <w:szCs w:val="24"/>
        </w:rPr>
        <w:t>and</w:t>
      </w:r>
      <w:r w:rsidRPr="004665AB">
        <w:rPr>
          <w:szCs w:val="24"/>
        </w:rPr>
        <w:t xml:space="preserve"> </w:t>
      </w:r>
      <w:r w:rsidR="009B6DD3" w:rsidRPr="009B6DD3">
        <w:rPr>
          <w:color w:val="1F497D" w:themeColor="text2"/>
          <w:szCs w:val="24"/>
          <w:u w:val="single"/>
        </w:rPr>
        <w:t>or</w:t>
      </w:r>
      <w:r w:rsidR="009B6DD3">
        <w:rPr>
          <w:szCs w:val="24"/>
        </w:rPr>
        <w:t xml:space="preserve"> </w:t>
      </w:r>
      <w:r w:rsidRPr="004665AB">
        <w:rPr>
          <w:szCs w:val="24"/>
        </w:rPr>
        <w:t>demand side management</w:t>
      </w:r>
      <w:r w:rsidR="0074155C">
        <w:rPr>
          <w:szCs w:val="24"/>
        </w:rPr>
        <w:t xml:space="preserve"> initiative</w:t>
      </w:r>
      <w:r w:rsidR="00842329" w:rsidRPr="00355898">
        <w:rPr>
          <w:color w:val="1F497D" w:themeColor="text2"/>
          <w:szCs w:val="24"/>
          <w:u w:val="single"/>
        </w:rPr>
        <w:t>s</w:t>
      </w:r>
      <w:r w:rsidR="0074155C">
        <w:rPr>
          <w:szCs w:val="24"/>
        </w:rPr>
        <w:t>, project</w:t>
      </w:r>
      <w:r w:rsidR="00842329" w:rsidRPr="00355898">
        <w:rPr>
          <w:color w:val="1F497D" w:themeColor="text2"/>
          <w:szCs w:val="24"/>
          <w:u w:val="single"/>
        </w:rPr>
        <w:t>s</w:t>
      </w:r>
      <w:r w:rsidR="0074155C">
        <w:rPr>
          <w:szCs w:val="24"/>
        </w:rPr>
        <w:t>, or activit</w:t>
      </w:r>
      <w:r w:rsidR="0074155C" w:rsidRPr="00355898">
        <w:rPr>
          <w:strike/>
          <w:color w:val="1F497D" w:themeColor="text2"/>
          <w:szCs w:val="24"/>
        </w:rPr>
        <w:t>y</w:t>
      </w:r>
      <w:r w:rsidR="00BF4B79" w:rsidRPr="00355898">
        <w:rPr>
          <w:color w:val="1F497D" w:themeColor="text2"/>
          <w:szCs w:val="24"/>
        </w:rPr>
        <w:t>i</w:t>
      </w:r>
      <w:r w:rsidR="00BF4B79" w:rsidRPr="00355898">
        <w:rPr>
          <w:color w:val="1F497D" w:themeColor="text2"/>
          <w:szCs w:val="24"/>
          <w:u w:val="single"/>
        </w:rPr>
        <w:t>es</w:t>
      </w:r>
      <w:r w:rsidR="0074155C">
        <w:rPr>
          <w:szCs w:val="24"/>
        </w:rPr>
        <w:t xml:space="preserve"> </w:t>
      </w:r>
      <w:r w:rsidR="003F66A7">
        <w:rPr>
          <w:szCs w:val="24"/>
        </w:rPr>
        <w:t xml:space="preserve">as </w:t>
      </w:r>
      <w:r w:rsidR="003F66A7" w:rsidRPr="00355898">
        <w:rPr>
          <w:strike/>
          <w:color w:val="1F497D" w:themeColor="text2"/>
          <w:szCs w:val="24"/>
        </w:rPr>
        <w:t>specified</w:t>
      </w:r>
      <w:r w:rsidR="003F66A7" w:rsidRPr="00355898">
        <w:rPr>
          <w:color w:val="1F497D" w:themeColor="text2"/>
          <w:szCs w:val="24"/>
        </w:rPr>
        <w:t xml:space="preserve"> </w:t>
      </w:r>
      <w:r w:rsidR="009B5BC3" w:rsidRPr="00355898">
        <w:rPr>
          <w:color w:val="1F497D" w:themeColor="text2"/>
          <w:szCs w:val="24"/>
          <w:u w:val="single"/>
        </w:rPr>
        <w:t>approved</w:t>
      </w:r>
      <w:r w:rsidR="009B5BC3">
        <w:rPr>
          <w:szCs w:val="24"/>
        </w:rPr>
        <w:t xml:space="preserve"> </w:t>
      </w:r>
      <w:r w:rsidR="003F66A7">
        <w:rPr>
          <w:szCs w:val="24"/>
        </w:rPr>
        <w:t xml:space="preserve">by the </w:t>
      </w:r>
      <w:r w:rsidR="003F66A7" w:rsidRPr="00B518F8">
        <w:rPr>
          <w:b/>
          <w:szCs w:val="24"/>
        </w:rPr>
        <w:t>Commission</w:t>
      </w:r>
      <w:r w:rsidR="003F66A7">
        <w:rPr>
          <w:szCs w:val="24"/>
        </w:rPr>
        <w:t xml:space="preserve"> in </w:t>
      </w:r>
      <w:r w:rsidR="009B5BC3" w:rsidRPr="00355898">
        <w:rPr>
          <w:color w:val="1F497D" w:themeColor="text2"/>
          <w:szCs w:val="24"/>
          <w:u w:val="single"/>
        </w:rPr>
        <w:t>accordance with</w:t>
      </w:r>
      <w:r w:rsidR="009B5BC3">
        <w:rPr>
          <w:szCs w:val="24"/>
        </w:rPr>
        <w:t xml:space="preserve"> </w:t>
      </w:r>
      <w:r w:rsidR="003F66A7">
        <w:rPr>
          <w:szCs w:val="24"/>
        </w:rPr>
        <w:t xml:space="preserve">a </w:t>
      </w:r>
      <w:r w:rsidR="003F66A7" w:rsidRPr="00B518F8">
        <w:rPr>
          <w:b/>
          <w:szCs w:val="24"/>
        </w:rPr>
        <w:t>DPP determination</w:t>
      </w:r>
      <w:r w:rsidR="003F66A7">
        <w:rPr>
          <w:szCs w:val="24"/>
        </w:rPr>
        <w:t xml:space="preserve"> or </w:t>
      </w:r>
      <w:r w:rsidR="003F66A7" w:rsidRPr="00B518F8">
        <w:rPr>
          <w:b/>
          <w:szCs w:val="24"/>
        </w:rPr>
        <w:t>CPP determination</w:t>
      </w:r>
      <w:r w:rsidR="00875B0C">
        <w:t>;</w:t>
      </w:r>
    </w:p>
    <w:p w:rsidR="00E60CF5" w:rsidRPr="00090346" w:rsidRDefault="00E60CF5" w:rsidP="00B342E8">
      <w:pPr>
        <w:pStyle w:val="BodyText"/>
        <w:ind w:left="709"/>
      </w:pPr>
      <w:r w:rsidRPr="00090346">
        <w:t>“</w:t>
      </w:r>
      <w:r w:rsidRPr="00D22A41">
        <w:rPr>
          <w:b/>
        </w:rPr>
        <w:t>extended reserves allowance</w:t>
      </w:r>
      <w:r w:rsidRPr="00D22A41">
        <w:t xml:space="preserve"> means </w:t>
      </w:r>
      <w:r w:rsidR="00A80C3E" w:rsidRPr="005C1208">
        <w:t>a</w:t>
      </w:r>
      <w:r w:rsidR="008D69E6">
        <w:t xml:space="preserve">n amount determined by the </w:t>
      </w:r>
      <w:r w:rsidR="008D69E6" w:rsidRPr="005C1208">
        <w:rPr>
          <w:b/>
        </w:rPr>
        <w:t>Commission</w:t>
      </w:r>
      <w:r w:rsidR="008D69E6">
        <w:t xml:space="preserve"> as</w:t>
      </w:r>
      <w:r w:rsidR="00A80C3E" w:rsidRPr="005C1208">
        <w:t xml:space="preserve"> </w:t>
      </w:r>
      <w:r w:rsidR="008D69E6">
        <w:t xml:space="preserve">a </w:t>
      </w:r>
      <w:r w:rsidR="00A80C3E" w:rsidRPr="005C1208">
        <w:t>positive allowance for costs incurred and amounts payable</w:t>
      </w:r>
      <w:r w:rsidR="00F9376C" w:rsidRPr="005C1208">
        <w:t>,</w:t>
      </w:r>
      <w:r w:rsidR="00A80C3E" w:rsidRPr="005C1208">
        <w:t xml:space="preserve"> or </w:t>
      </w:r>
      <w:r w:rsidR="00E400BF">
        <w:t xml:space="preserve">a </w:t>
      </w:r>
      <w:r w:rsidR="00A80C3E" w:rsidRPr="005C1208">
        <w:t xml:space="preserve">negative allowance </w:t>
      </w:r>
      <w:r w:rsidR="00A80C3E" w:rsidRPr="005C1208">
        <w:lastRenderedPageBreak/>
        <w:t>for amounts receivable</w:t>
      </w:r>
      <w:r w:rsidR="00F9376C" w:rsidRPr="005C1208">
        <w:t>,</w:t>
      </w:r>
      <w:r w:rsidR="00A80C3E" w:rsidRPr="005C1208">
        <w:t xml:space="preserve"> in accordance with any extended reserves regulation</w:t>
      </w:r>
      <w:r w:rsidR="00E400BF">
        <w:t>s</w:t>
      </w:r>
      <w:r w:rsidR="00A80C3E" w:rsidRPr="005C1208">
        <w:t xml:space="preserve"> made under the Electricity Industry Act 2010</w:t>
      </w:r>
      <w:r w:rsidR="00875B0C" w:rsidRPr="005C1208">
        <w:t>;</w:t>
      </w:r>
    </w:p>
    <w:p w:rsidR="00B7392D" w:rsidRPr="00355898" w:rsidRDefault="00B7392D" w:rsidP="00B342E8">
      <w:pPr>
        <w:pStyle w:val="BodyText"/>
        <w:ind w:left="709"/>
        <w:rPr>
          <w:strike/>
          <w:color w:val="1F497D" w:themeColor="text2"/>
        </w:rPr>
      </w:pPr>
      <w:r w:rsidRPr="00355898">
        <w:rPr>
          <w:strike/>
          <w:color w:val="1F497D" w:themeColor="text2"/>
        </w:rPr>
        <w:t>“</w:t>
      </w:r>
      <w:r w:rsidRPr="00355898">
        <w:rPr>
          <w:b/>
          <w:strike/>
          <w:color w:val="1F497D" w:themeColor="text2"/>
        </w:rPr>
        <w:t>incentive rate</w:t>
      </w:r>
      <w:r w:rsidRPr="00355898">
        <w:rPr>
          <w:strike/>
          <w:color w:val="1F497D" w:themeColor="text2"/>
        </w:rPr>
        <w:t xml:space="preserve"> means the financial reward or penalty attributable to a </w:t>
      </w:r>
      <w:r w:rsidRPr="00355898">
        <w:rPr>
          <w:b/>
          <w:strike/>
          <w:color w:val="1F497D" w:themeColor="text2"/>
        </w:rPr>
        <w:t>non-exempt EDB’s</w:t>
      </w:r>
      <w:r w:rsidRPr="00355898">
        <w:rPr>
          <w:strike/>
          <w:color w:val="1F497D" w:themeColor="text2"/>
        </w:rPr>
        <w:t xml:space="preserve"> </w:t>
      </w:r>
      <w:r w:rsidR="009B3AE0" w:rsidRPr="00355898">
        <w:rPr>
          <w:strike/>
          <w:color w:val="1F497D" w:themeColor="text2"/>
        </w:rPr>
        <w:t xml:space="preserve">performance against the quality standards specified in a </w:t>
      </w:r>
      <w:r w:rsidR="009B3AE0" w:rsidRPr="00355898">
        <w:rPr>
          <w:b/>
          <w:strike/>
          <w:color w:val="1F497D" w:themeColor="text2"/>
        </w:rPr>
        <w:t>DPP</w:t>
      </w:r>
      <w:r w:rsidR="009B3AE0" w:rsidRPr="00355898">
        <w:rPr>
          <w:strike/>
          <w:color w:val="1F497D" w:themeColor="text2"/>
        </w:rPr>
        <w:t xml:space="preserve"> or </w:t>
      </w:r>
      <w:r w:rsidR="009B3AE0" w:rsidRPr="00355898">
        <w:rPr>
          <w:b/>
          <w:strike/>
          <w:color w:val="1F497D" w:themeColor="text2"/>
        </w:rPr>
        <w:t>CPP</w:t>
      </w:r>
      <w:r w:rsidRPr="00355898">
        <w:rPr>
          <w:strike/>
          <w:color w:val="1F497D" w:themeColor="text2"/>
        </w:rPr>
        <w:t xml:space="preserve">, as specified in a </w:t>
      </w:r>
      <w:r w:rsidRPr="00355898">
        <w:rPr>
          <w:b/>
          <w:strike/>
          <w:color w:val="1F497D" w:themeColor="text2"/>
        </w:rPr>
        <w:t>DPP determination</w:t>
      </w:r>
      <w:r w:rsidR="00275CC6" w:rsidRPr="00355898">
        <w:rPr>
          <w:strike/>
          <w:color w:val="1F497D" w:themeColor="text2"/>
        </w:rPr>
        <w:t xml:space="preserve"> or </w:t>
      </w:r>
      <w:r w:rsidR="00275CC6" w:rsidRPr="00355898">
        <w:rPr>
          <w:b/>
          <w:strike/>
          <w:color w:val="1F497D" w:themeColor="text2"/>
        </w:rPr>
        <w:t>CPP determination</w:t>
      </w:r>
      <w:r w:rsidR="00875B0C" w:rsidRPr="00355898">
        <w:rPr>
          <w:strike/>
          <w:color w:val="1F497D" w:themeColor="text2"/>
        </w:rPr>
        <w:t>;</w:t>
      </w:r>
    </w:p>
    <w:p w:rsidR="008522FC" w:rsidRPr="008522FC" w:rsidRDefault="008522FC" w:rsidP="00B342E8">
      <w:pPr>
        <w:pStyle w:val="BodyText"/>
        <w:ind w:left="709"/>
      </w:pPr>
      <w:r>
        <w:rPr>
          <w:b/>
        </w:rPr>
        <w:t>“pass-through prices</w:t>
      </w:r>
      <w:r>
        <w:t xml:space="preserve"> means</w:t>
      </w:r>
      <w:r w:rsidR="009740D0">
        <w:t xml:space="preserve"> </w:t>
      </w:r>
      <w:r w:rsidR="009740D0" w:rsidRPr="00BA2685">
        <w:rPr>
          <w:b/>
        </w:rPr>
        <w:t>prices</w:t>
      </w:r>
      <w:r w:rsidR="009740D0">
        <w:t xml:space="preserve"> attributable to</w:t>
      </w:r>
      <w:r>
        <w:t xml:space="preserve"> </w:t>
      </w:r>
      <w:r>
        <w:rPr>
          <w:b/>
        </w:rPr>
        <w:t>pass-through costs</w:t>
      </w:r>
      <w:r>
        <w:t xml:space="preserve"> and </w:t>
      </w:r>
      <w:r>
        <w:rPr>
          <w:b/>
        </w:rPr>
        <w:t>recoverable costs</w:t>
      </w:r>
      <w:r w:rsidR="00875B0C" w:rsidRPr="00875B0C">
        <w:t>;</w:t>
      </w:r>
    </w:p>
    <w:p w:rsidR="00B342E8" w:rsidRPr="00355898" w:rsidRDefault="00E7103D">
      <w:pPr>
        <w:pStyle w:val="BodyText"/>
        <w:ind w:left="709"/>
        <w:rPr>
          <w:strike/>
          <w:color w:val="1F497D" w:themeColor="text2"/>
        </w:rPr>
      </w:pPr>
      <w:r w:rsidRPr="004665AB">
        <w:t>“</w:t>
      </w:r>
      <w:r w:rsidR="00035B14">
        <w:rPr>
          <w:b/>
        </w:rPr>
        <w:t>q</w:t>
      </w:r>
      <w:r w:rsidR="00B342E8" w:rsidRPr="004665AB">
        <w:rPr>
          <w:b/>
        </w:rPr>
        <w:t>uality incentive adjustment</w:t>
      </w:r>
      <w:r w:rsidR="00B342E8" w:rsidRPr="004665AB">
        <w:t xml:space="preserve"> means an amount that provides incentives for a </w:t>
      </w:r>
      <w:r w:rsidR="00B342E8" w:rsidRPr="00621D77">
        <w:rPr>
          <w:b/>
        </w:rPr>
        <w:t>non-exempt EDB</w:t>
      </w:r>
      <w:r w:rsidR="00B342E8" w:rsidRPr="004665AB">
        <w:t xml:space="preserve"> to maintain or improve its quality of supply in accordance with s 53M(2) of the </w:t>
      </w:r>
      <w:r w:rsidR="00B342E8" w:rsidRPr="00621D77">
        <w:rPr>
          <w:b/>
        </w:rPr>
        <w:t>Act</w:t>
      </w:r>
      <w:r w:rsidR="00B342E8" w:rsidRPr="004665AB">
        <w:t xml:space="preserve">, </w:t>
      </w:r>
      <w:r w:rsidR="00B342E8" w:rsidRPr="00355898">
        <w:rPr>
          <w:strike/>
          <w:color w:val="1F497D" w:themeColor="text2"/>
        </w:rPr>
        <w:t>and is a function of–</w:t>
      </w:r>
    </w:p>
    <w:p w:rsidR="00B342E8" w:rsidRPr="00355898" w:rsidRDefault="00A008C2" w:rsidP="00BF4B79">
      <w:pPr>
        <w:pStyle w:val="BodyText"/>
        <w:ind w:left="709"/>
        <w:rPr>
          <w:strike/>
          <w:color w:val="1F497D" w:themeColor="text2"/>
        </w:rPr>
      </w:pPr>
      <w:r w:rsidRPr="00355898">
        <w:rPr>
          <w:strike/>
          <w:color w:val="1F497D" w:themeColor="text2"/>
        </w:rPr>
        <w:t>“</w:t>
      </w:r>
      <w:r w:rsidR="00B342E8" w:rsidRPr="00355898">
        <w:rPr>
          <w:strike/>
          <w:color w:val="1F497D" w:themeColor="text2"/>
        </w:rPr>
        <w:t>(a)</w:t>
      </w:r>
      <w:r w:rsidR="00B342E8" w:rsidRPr="00355898">
        <w:rPr>
          <w:strike/>
          <w:color w:val="1F497D" w:themeColor="text2"/>
        </w:rPr>
        <w:tab/>
        <w:t xml:space="preserve">a </w:t>
      </w:r>
      <w:r w:rsidR="00B342E8" w:rsidRPr="00355898">
        <w:rPr>
          <w:b/>
          <w:strike/>
          <w:color w:val="1F497D" w:themeColor="text2"/>
        </w:rPr>
        <w:t>non-exempt EDB</w:t>
      </w:r>
      <w:r w:rsidR="00621D77" w:rsidRPr="00355898">
        <w:rPr>
          <w:b/>
          <w:strike/>
          <w:color w:val="1F497D" w:themeColor="text2"/>
        </w:rPr>
        <w:t>’</w:t>
      </w:r>
      <w:r w:rsidR="00B342E8" w:rsidRPr="00355898">
        <w:rPr>
          <w:b/>
          <w:strike/>
          <w:color w:val="1F497D" w:themeColor="text2"/>
        </w:rPr>
        <w:t>s</w:t>
      </w:r>
      <w:r w:rsidR="00B342E8" w:rsidRPr="00355898">
        <w:rPr>
          <w:strike/>
          <w:color w:val="1F497D" w:themeColor="text2"/>
        </w:rPr>
        <w:t xml:space="preserve"> performance above or below the quality targets, up to the caps or collars specified in relation to the quality targets</w:t>
      </w:r>
      <w:r w:rsidR="00875B0C" w:rsidRPr="00355898">
        <w:rPr>
          <w:strike/>
          <w:color w:val="1F497D" w:themeColor="text2"/>
        </w:rPr>
        <w:t>;</w:t>
      </w:r>
    </w:p>
    <w:p w:rsidR="00B342E8" w:rsidRPr="00355898" w:rsidRDefault="00A008C2" w:rsidP="00BF4B79">
      <w:pPr>
        <w:pStyle w:val="BodyText"/>
        <w:ind w:left="709"/>
        <w:rPr>
          <w:strike/>
          <w:color w:val="1F497D" w:themeColor="text2"/>
        </w:rPr>
      </w:pPr>
      <w:r w:rsidRPr="00355898">
        <w:rPr>
          <w:strike/>
          <w:color w:val="1F497D" w:themeColor="text2"/>
        </w:rPr>
        <w:t>“</w:t>
      </w:r>
      <w:r w:rsidR="00B342E8" w:rsidRPr="00355898">
        <w:rPr>
          <w:strike/>
          <w:color w:val="1F497D" w:themeColor="text2"/>
        </w:rPr>
        <w:t>(b)</w:t>
      </w:r>
      <w:r w:rsidR="00B342E8" w:rsidRPr="00355898">
        <w:rPr>
          <w:strike/>
          <w:color w:val="1F497D" w:themeColor="text2"/>
        </w:rPr>
        <w:tab/>
      </w:r>
      <w:r w:rsidR="00B342E8" w:rsidRPr="00355898">
        <w:rPr>
          <w:b/>
          <w:strike/>
          <w:color w:val="1F497D" w:themeColor="text2"/>
        </w:rPr>
        <w:t>revenue at risk</w:t>
      </w:r>
      <w:r w:rsidR="00875B0C" w:rsidRPr="00355898">
        <w:rPr>
          <w:strike/>
          <w:color w:val="1F497D" w:themeColor="text2"/>
        </w:rPr>
        <w:t>;</w:t>
      </w:r>
      <w:r w:rsidR="00B342E8" w:rsidRPr="00355898">
        <w:rPr>
          <w:strike/>
          <w:color w:val="1F497D" w:themeColor="text2"/>
        </w:rPr>
        <w:t xml:space="preserve"> and</w:t>
      </w:r>
    </w:p>
    <w:p w:rsidR="00B342E8" w:rsidRPr="00355898" w:rsidRDefault="00A008C2" w:rsidP="00BF4B79">
      <w:pPr>
        <w:pStyle w:val="BodyText"/>
        <w:ind w:left="709"/>
        <w:rPr>
          <w:strike/>
          <w:color w:val="1F497D" w:themeColor="text2"/>
        </w:rPr>
      </w:pPr>
      <w:r w:rsidRPr="00355898">
        <w:rPr>
          <w:strike/>
          <w:color w:val="1F497D" w:themeColor="text2"/>
        </w:rPr>
        <w:t>“</w:t>
      </w:r>
      <w:r w:rsidR="00B342E8" w:rsidRPr="00355898">
        <w:rPr>
          <w:strike/>
          <w:color w:val="1F497D" w:themeColor="text2"/>
        </w:rPr>
        <w:t>(c)</w:t>
      </w:r>
      <w:r w:rsidR="00B342E8" w:rsidRPr="00355898">
        <w:rPr>
          <w:strike/>
          <w:color w:val="1F497D" w:themeColor="text2"/>
        </w:rPr>
        <w:tab/>
      </w:r>
      <w:r w:rsidR="00B342E8" w:rsidRPr="00355898">
        <w:rPr>
          <w:b/>
          <w:strike/>
          <w:color w:val="1F497D" w:themeColor="text2"/>
        </w:rPr>
        <w:t>incentive rate</w:t>
      </w:r>
      <w:r w:rsidR="00B342E8" w:rsidRPr="00355898">
        <w:rPr>
          <w:strike/>
          <w:color w:val="1F497D" w:themeColor="text2"/>
        </w:rPr>
        <w:t xml:space="preserve">, </w:t>
      </w:r>
    </w:p>
    <w:p w:rsidR="00B342E8" w:rsidRDefault="00A008C2" w:rsidP="00634BC8">
      <w:pPr>
        <w:pStyle w:val="BodyText"/>
        <w:ind w:left="709"/>
        <w:rPr>
          <w:b/>
        </w:rPr>
      </w:pPr>
      <w:r w:rsidRPr="004665AB">
        <w:t>“</w:t>
      </w:r>
      <w:r w:rsidR="00140E12">
        <w:t>calculated in accordance with the method specified</w:t>
      </w:r>
      <w:r w:rsidR="00B342E8" w:rsidRPr="004665AB">
        <w:t xml:space="preserve"> in a </w:t>
      </w:r>
      <w:r w:rsidR="00B342E8" w:rsidRPr="00621D77">
        <w:rPr>
          <w:b/>
        </w:rPr>
        <w:t>DPP determination</w:t>
      </w:r>
      <w:r w:rsidR="00B342E8" w:rsidRPr="004665AB">
        <w:t xml:space="preserve"> or </w:t>
      </w:r>
      <w:r w:rsidR="00B342E8" w:rsidRPr="00621D77">
        <w:rPr>
          <w:b/>
        </w:rPr>
        <w:t>CPP determination</w:t>
      </w:r>
      <w:r w:rsidR="00875B0C" w:rsidRPr="00875B0C">
        <w:t>;</w:t>
      </w:r>
    </w:p>
    <w:p w:rsidR="003B1B9B" w:rsidRDefault="003B1B9B" w:rsidP="003B1B9B">
      <w:pPr>
        <w:pStyle w:val="Tablebodytext"/>
        <w:spacing w:line="264" w:lineRule="auto"/>
        <w:ind w:left="720"/>
      </w:pPr>
      <w:r>
        <w:rPr>
          <w:bCs/>
        </w:rPr>
        <w:t>“</w:t>
      </w:r>
      <w:r>
        <w:rPr>
          <w:b/>
          <w:bCs/>
        </w:rPr>
        <w:t xml:space="preserve">reconsideration </w:t>
      </w:r>
      <w:r w:rsidR="00833FB3">
        <w:rPr>
          <w:b/>
          <w:bCs/>
        </w:rPr>
        <w:t xml:space="preserve">event </w:t>
      </w:r>
      <w:r>
        <w:rPr>
          <w:b/>
          <w:bCs/>
        </w:rPr>
        <w:t>allowance</w:t>
      </w:r>
      <w:r>
        <w:t xml:space="preserve"> means the </w:t>
      </w:r>
      <w:r w:rsidR="00075444">
        <w:t xml:space="preserve">positive or negative </w:t>
      </w:r>
      <w:r>
        <w:t xml:space="preserve">amount determined by the </w:t>
      </w:r>
      <w:r>
        <w:rPr>
          <w:b/>
          <w:bCs/>
        </w:rPr>
        <w:t>Commission</w:t>
      </w:r>
      <w:r>
        <w:t>–</w:t>
      </w:r>
    </w:p>
    <w:p w:rsidR="003B1B9B" w:rsidRDefault="003B1B9B" w:rsidP="00833FB3">
      <w:pPr>
        <w:pStyle w:val="BodyText"/>
        <w:ind w:left="2127" w:hanging="709"/>
      </w:pPr>
      <w:r>
        <w:t>“(a)</w:t>
      </w:r>
      <w:r>
        <w:tab/>
        <w:t xml:space="preserve">for additional net costs </w:t>
      </w:r>
      <w:r w:rsidR="00BF1239">
        <w:t xml:space="preserve">(over and above those provided for in a </w:t>
      </w:r>
      <w:r w:rsidR="00BF1239">
        <w:rPr>
          <w:b/>
          <w:bCs/>
        </w:rPr>
        <w:t xml:space="preserve">DPP </w:t>
      </w:r>
      <w:r w:rsidR="00BF1239">
        <w:t xml:space="preserve">or </w:t>
      </w:r>
      <w:r w:rsidR="00BF1239">
        <w:rPr>
          <w:b/>
          <w:bCs/>
        </w:rPr>
        <w:t>CPP</w:t>
      </w:r>
      <w:r w:rsidR="00BF1239">
        <w:t xml:space="preserve">) prudently incurred by an </w:t>
      </w:r>
      <w:r w:rsidR="00BF1239" w:rsidRPr="00D22A41">
        <w:rPr>
          <w:b/>
        </w:rPr>
        <w:t>EDB</w:t>
      </w:r>
      <w:r w:rsidR="00BF1239">
        <w:t xml:space="preserve"> as a result </w:t>
      </w:r>
      <w:r>
        <w:t xml:space="preserve">of a </w:t>
      </w:r>
      <w:r>
        <w:rPr>
          <w:b/>
          <w:bCs/>
        </w:rPr>
        <w:t>change event</w:t>
      </w:r>
      <w:r>
        <w:t xml:space="preserve"> </w:t>
      </w:r>
      <w:r w:rsidR="00BF1239">
        <w:t xml:space="preserve">in </w:t>
      </w:r>
      <w:r>
        <w:t xml:space="preserve">the period between the </w:t>
      </w:r>
      <w:r>
        <w:rPr>
          <w:b/>
          <w:bCs/>
        </w:rPr>
        <w:t>change event</w:t>
      </w:r>
      <w:r>
        <w:t xml:space="preserve"> and the effective date of an amendment to the </w:t>
      </w:r>
      <w:r>
        <w:rPr>
          <w:b/>
          <w:bCs/>
        </w:rPr>
        <w:t>DPP</w:t>
      </w:r>
      <w:r>
        <w:t xml:space="preserve"> </w:t>
      </w:r>
      <w:r w:rsidR="007D66D5">
        <w:rPr>
          <w:b/>
          <w:bCs/>
        </w:rPr>
        <w:t>determination</w:t>
      </w:r>
      <w:r w:rsidR="007D66D5">
        <w:t xml:space="preserve"> </w:t>
      </w:r>
      <w:r>
        <w:t xml:space="preserve">or </w:t>
      </w:r>
      <w:r w:rsidRPr="00833FB3">
        <w:rPr>
          <w:b/>
          <w:szCs w:val="24"/>
        </w:rPr>
        <w:t>CPP</w:t>
      </w:r>
      <w:r>
        <w:t xml:space="preserve"> </w:t>
      </w:r>
      <w:r w:rsidR="007D66D5">
        <w:rPr>
          <w:b/>
          <w:bCs/>
        </w:rPr>
        <w:t>determination</w:t>
      </w:r>
      <w:r w:rsidR="007D66D5">
        <w:t xml:space="preserve"> </w:t>
      </w:r>
      <w:r>
        <w:t>under clause [to be confirmed]</w:t>
      </w:r>
      <w:r w:rsidR="00BF1239">
        <w:t xml:space="preserve"> or clause 5.6.4(2)(c)</w:t>
      </w:r>
      <w:r w:rsidR="00D82E8E">
        <w:t>;</w:t>
      </w:r>
    </w:p>
    <w:p w:rsidR="003B1B9B" w:rsidRDefault="003B1B9B" w:rsidP="00833FB3">
      <w:pPr>
        <w:pStyle w:val="BodyText"/>
        <w:ind w:left="2127" w:hanging="709"/>
      </w:pPr>
      <w:r>
        <w:t>“(b)</w:t>
      </w:r>
      <w:r>
        <w:tab/>
        <w:t xml:space="preserve">to mitigate the effect </w:t>
      </w:r>
      <w:r w:rsidR="00537F3C">
        <w:t>of</w:t>
      </w:r>
      <w:r w:rsidR="00D22A41">
        <w:t xml:space="preserve"> </w:t>
      </w:r>
      <w:r>
        <w:t xml:space="preserve">an </w:t>
      </w:r>
      <w:r>
        <w:rPr>
          <w:b/>
          <w:bCs/>
        </w:rPr>
        <w:t>error</w:t>
      </w:r>
      <w:r>
        <w:t xml:space="preserve"> or provision of false or misleading </w:t>
      </w:r>
      <w:r w:rsidRPr="00517783">
        <w:rPr>
          <w:szCs w:val="24"/>
        </w:rPr>
        <w:t>information</w:t>
      </w:r>
      <w:r>
        <w:t xml:space="preserve"> on the </w:t>
      </w:r>
      <w:r w:rsidR="00BF1239">
        <w:t>relevant</w:t>
      </w:r>
      <w:r>
        <w:t xml:space="preserve"> </w:t>
      </w:r>
      <w:r>
        <w:rPr>
          <w:b/>
          <w:bCs/>
        </w:rPr>
        <w:t>DPP determination</w:t>
      </w:r>
      <w:r>
        <w:t xml:space="preserve"> or </w:t>
      </w:r>
      <w:r>
        <w:rPr>
          <w:b/>
          <w:bCs/>
        </w:rPr>
        <w:t>CPP determination</w:t>
      </w:r>
      <w:r w:rsidR="00BF1239" w:rsidRPr="00090346">
        <w:rPr>
          <w:bCs/>
        </w:rPr>
        <w:t xml:space="preserve"> under clauses </w:t>
      </w:r>
      <w:r w:rsidR="00BF1239">
        <w:rPr>
          <w:bCs/>
        </w:rPr>
        <w:t>[to be confirmed], [to be confirmed], 5.6.4(2)(b) or 5.6.4(4)</w:t>
      </w:r>
      <w:r w:rsidR="00D82E8E" w:rsidRPr="00D82E8E">
        <w:rPr>
          <w:bCs/>
        </w:rPr>
        <w:t xml:space="preserve">; </w:t>
      </w:r>
      <w:r w:rsidR="00075444">
        <w:rPr>
          <w:bCs/>
        </w:rPr>
        <w:t>and</w:t>
      </w:r>
    </w:p>
    <w:p w:rsidR="003B1B9B" w:rsidRDefault="003B1B9B" w:rsidP="00833FB3">
      <w:pPr>
        <w:pStyle w:val="BodyText"/>
        <w:ind w:left="2127" w:hanging="709"/>
      </w:pPr>
      <w:r>
        <w:t>“(c)</w:t>
      </w:r>
      <w:r>
        <w:tab/>
        <w:t xml:space="preserve">for the </w:t>
      </w:r>
      <w:r w:rsidRPr="00090346">
        <w:rPr>
          <w:szCs w:val="24"/>
        </w:rPr>
        <w:t>impact</w:t>
      </w:r>
      <w:r w:rsidRPr="00090346">
        <w:t xml:space="preserve"> of </w:t>
      </w:r>
      <w:r w:rsidR="00BF1239" w:rsidRPr="00090346">
        <w:t>a</w:t>
      </w:r>
      <w:r>
        <w:t xml:space="preserve"> </w:t>
      </w:r>
      <w:r>
        <w:rPr>
          <w:b/>
          <w:bCs/>
        </w:rPr>
        <w:t>change event</w:t>
      </w:r>
      <w:r w:rsidRPr="00090346">
        <w:t xml:space="preserve">, </w:t>
      </w:r>
      <w:r w:rsidRPr="00090346">
        <w:rPr>
          <w:b/>
          <w:bCs/>
        </w:rPr>
        <w:t>error</w:t>
      </w:r>
      <w:r w:rsidRPr="00090346">
        <w:t xml:space="preserve">, or </w:t>
      </w:r>
      <w:r w:rsidRPr="00D22A41">
        <w:t xml:space="preserve">provision of false or misleading information </w:t>
      </w:r>
      <w:r w:rsidR="00634BC8" w:rsidRPr="00355898">
        <w:rPr>
          <w:color w:val="1F497D" w:themeColor="text2"/>
          <w:u w:val="single"/>
        </w:rPr>
        <w:t>under clause</w:t>
      </w:r>
      <w:r w:rsidR="00CE52E5">
        <w:rPr>
          <w:color w:val="1F497D" w:themeColor="text2"/>
          <w:u w:val="single"/>
        </w:rPr>
        <w:t xml:space="preserve"> [to be confirmed] or</w:t>
      </w:r>
      <w:r w:rsidR="00634BC8" w:rsidRPr="00355898">
        <w:rPr>
          <w:color w:val="1F497D" w:themeColor="text2"/>
          <w:u w:val="single"/>
        </w:rPr>
        <w:t xml:space="preserve"> 5.6.4(4)</w:t>
      </w:r>
      <w:r w:rsidR="00634BC8">
        <w:t xml:space="preserve">, </w:t>
      </w:r>
      <w:r w:rsidRPr="00D22A41">
        <w:t xml:space="preserve">on any </w:t>
      </w:r>
      <w:r w:rsidRPr="006E0BDF">
        <w:rPr>
          <w:b/>
          <w:bCs/>
        </w:rPr>
        <w:t>quality incentive adjustment</w:t>
      </w:r>
      <w:r w:rsidR="00D82E8E" w:rsidRPr="006E0BDF">
        <w:rPr>
          <w:bCs/>
        </w:rPr>
        <w:t>;</w:t>
      </w:r>
    </w:p>
    <w:p w:rsidR="00B7392D" w:rsidRPr="00BF4B79" w:rsidRDefault="00B7392D" w:rsidP="003B1B9B">
      <w:pPr>
        <w:pStyle w:val="BodyText"/>
        <w:ind w:left="720"/>
        <w:rPr>
          <w:strike/>
          <w:color w:val="1F497D" w:themeColor="text2"/>
        </w:rPr>
      </w:pPr>
      <w:r w:rsidRPr="00BF4B79">
        <w:rPr>
          <w:strike/>
          <w:color w:val="1F497D" w:themeColor="text2"/>
        </w:rPr>
        <w:t>“</w:t>
      </w:r>
      <w:r w:rsidRPr="00BF4B79">
        <w:rPr>
          <w:b/>
          <w:strike/>
          <w:color w:val="1F497D" w:themeColor="text2"/>
        </w:rPr>
        <w:t>revenue at risk</w:t>
      </w:r>
      <w:r w:rsidRPr="00BF4B79">
        <w:rPr>
          <w:strike/>
          <w:color w:val="1F497D" w:themeColor="text2"/>
        </w:rPr>
        <w:t xml:space="preserve"> means the maximum financial reward or penalty attributable to a </w:t>
      </w:r>
      <w:r w:rsidRPr="00BF4B79">
        <w:rPr>
          <w:b/>
          <w:strike/>
          <w:color w:val="1F497D" w:themeColor="text2"/>
        </w:rPr>
        <w:t>non-exempt EDB’s</w:t>
      </w:r>
      <w:r w:rsidRPr="00BF4B79">
        <w:rPr>
          <w:strike/>
          <w:color w:val="1F497D" w:themeColor="text2"/>
        </w:rPr>
        <w:t xml:space="preserve"> performance against the quality standards as specified in a </w:t>
      </w:r>
      <w:r w:rsidRPr="00BF4B79">
        <w:rPr>
          <w:b/>
          <w:strike/>
          <w:color w:val="1F497D" w:themeColor="text2"/>
        </w:rPr>
        <w:t>DPP determination</w:t>
      </w:r>
      <w:r w:rsidR="00275CC6" w:rsidRPr="00BF4B79">
        <w:rPr>
          <w:strike/>
          <w:color w:val="1F497D" w:themeColor="text2"/>
        </w:rPr>
        <w:t xml:space="preserve"> or </w:t>
      </w:r>
      <w:r w:rsidR="00275CC6" w:rsidRPr="00BF4B79">
        <w:rPr>
          <w:b/>
          <w:strike/>
          <w:color w:val="1F497D" w:themeColor="text2"/>
        </w:rPr>
        <w:t>CPP Determination</w:t>
      </w:r>
      <w:r w:rsidR="00D82E8E" w:rsidRPr="00BF4B79">
        <w:rPr>
          <w:strike/>
          <w:color w:val="1F497D" w:themeColor="text2"/>
        </w:rPr>
        <w:t>;</w:t>
      </w:r>
    </w:p>
    <w:p w:rsidR="00E46CE9" w:rsidRDefault="00B342E8" w:rsidP="002B4091">
      <w:pPr>
        <w:pStyle w:val="Para2"/>
        <w:numPr>
          <w:ilvl w:val="0"/>
          <w:numId w:val="0"/>
        </w:numPr>
        <w:ind w:left="720"/>
      </w:pPr>
      <w:r w:rsidRPr="004665AB">
        <w:t>“</w:t>
      </w:r>
      <w:r w:rsidR="00035B14">
        <w:rPr>
          <w:b/>
        </w:rPr>
        <w:t>t</w:t>
      </w:r>
      <w:r w:rsidRPr="004665AB">
        <w:rPr>
          <w:b/>
        </w:rPr>
        <w:t>ransmission asset wash-up adjustment</w:t>
      </w:r>
      <w:r w:rsidRPr="004665AB">
        <w:t xml:space="preserve"> means an amount equal to the </w:t>
      </w:r>
      <w:r w:rsidR="0096417F">
        <w:t xml:space="preserve">present value of </w:t>
      </w:r>
      <w:r w:rsidR="001B47FF">
        <w:t>revenue</w:t>
      </w:r>
      <w:r w:rsidR="0096417F">
        <w:t>s</w:t>
      </w:r>
      <w:r w:rsidR="001B47FF">
        <w:t xml:space="preserve"> allowed</w:t>
      </w:r>
      <w:r w:rsidR="001B47FF" w:rsidRPr="004665AB">
        <w:t xml:space="preserve"> </w:t>
      </w:r>
      <w:r w:rsidRPr="004665AB">
        <w:t xml:space="preserve">in a </w:t>
      </w:r>
      <w:r w:rsidRPr="00621D77">
        <w:rPr>
          <w:b/>
        </w:rPr>
        <w:t>DPP</w:t>
      </w:r>
      <w:r w:rsidRPr="004665AB">
        <w:t xml:space="preserve"> or </w:t>
      </w:r>
      <w:r w:rsidRPr="00621D77">
        <w:rPr>
          <w:b/>
        </w:rPr>
        <w:t>CPP</w:t>
      </w:r>
      <w:r w:rsidRPr="004665AB">
        <w:t xml:space="preserve"> </w:t>
      </w:r>
      <w:r w:rsidR="007D66D5">
        <w:t>for</w:t>
      </w:r>
      <w:r w:rsidRPr="004665AB">
        <w:t xml:space="preserve"> additional </w:t>
      </w:r>
      <w:r w:rsidRPr="00621D77">
        <w:rPr>
          <w:b/>
        </w:rPr>
        <w:t>capital expenditure</w:t>
      </w:r>
      <w:r w:rsidRPr="004665AB">
        <w:t xml:space="preserve"> </w:t>
      </w:r>
      <w:r w:rsidR="00182E25">
        <w:t>and</w:t>
      </w:r>
      <w:r w:rsidR="001B47FF">
        <w:t xml:space="preserve"> additional</w:t>
      </w:r>
      <w:r w:rsidR="00182E25" w:rsidRPr="004665AB">
        <w:t xml:space="preserve"> </w:t>
      </w:r>
      <w:r w:rsidRPr="00621D77">
        <w:rPr>
          <w:b/>
        </w:rPr>
        <w:t>operating expenditure</w:t>
      </w:r>
      <w:r w:rsidRPr="004665AB">
        <w:t xml:space="preserve"> associated with a transmission asset forecast to be </w:t>
      </w:r>
      <w:r w:rsidRPr="004665AB">
        <w:lastRenderedPageBreak/>
        <w:t xml:space="preserve">purchased in </w:t>
      </w:r>
      <w:r w:rsidRPr="00621D77">
        <w:rPr>
          <w:b/>
        </w:rPr>
        <w:t>disclosure year</w:t>
      </w:r>
      <w:r w:rsidR="0096417F">
        <w:rPr>
          <w:b/>
        </w:rPr>
        <w:t>s</w:t>
      </w:r>
      <w:r w:rsidRPr="004665AB">
        <w:t xml:space="preserve"> preceding </w:t>
      </w:r>
      <w:r w:rsidRPr="001B47FF">
        <w:t>the</w:t>
      </w:r>
      <w:r w:rsidRPr="00621D77">
        <w:rPr>
          <w:b/>
        </w:rPr>
        <w:t xml:space="preserve"> regulatory period</w:t>
      </w:r>
      <w:r w:rsidR="00E77E73">
        <w:rPr>
          <w:b/>
        </w:rPr>
        <w:t xml:space="preserve"> </w:t>
      </w:r>
      <w:r w:rsidR="00E77E73" w:rsidRPr="00E77E73">
        <w:t>but were not completed</w:t>
      </w:r>
      <w:r w:rsidR="006F102A" w:rsidRPr="00E77E73">
        <w:t>,</w:t>
      </w:r>
      <w:r w:rsidR="006F102A" w:rsidRPr="004665AB">
        <w:rPr>
          <w:u w:val="single"/>
        </w:rPr>
        <w:t xml:space="preserve"> </w:t>
      </w:r>
      <w:r w:rsidR="00182E25" w:rsidRPr="008C2BFE">
        <w:t xml:space="preserve">as </w:t>
      </w:r>
      <w:r w:rsidR="00182E25" w:rsidRPr="0096417F">
        <w:t>specified</w:t>
      </w:r>
      <w:r w:rsidR="00182E25" w:rsidRPr="004665AB">
        <w:t xml:space="preserve"> in a </w:t>
      </w:r>
      <w:r w:rsidR="00182E25" w:rsidRPr="00621D77">
        <w:rPr>
          <w:b/>
        </w:rPr>
        <w:t>DPP determination</w:t>
      </w:r>
      <w:r w:rsidR="00182E25" w:rsidRPr="004665AB">
        <w:t xml:space="preserve"> or </w:t>
      </w:r>
      <w:r w:rsidR="00182E25" w:rsidRPr="00621D77">
        <w:rPr>
          <w:b/>
        </w:rPr>
        <w:t>CPP determination</w:t>
      </w:r>
      <w:r w:rsidR="00D82E8E" w:rsidRPr="00D82E8E">
        <w:t>;</w:t>
      </w:r>
      <w:r w:rsidR="00140E12" w:rsidRPr="00140E12">
        <w:t>”</w:t>
      </w:r>
      <w:r w:rsidRPr="00140E12">
        <w:t>.</w:t>
      </w:r>
    </w:p>
    <w:p w:rsidR="001B1E70" w:rsidRPr="008C2BFE" w:rsidRDefault="001B1E70" w:rsidP="001B1E70">
      <w:pPr>
        <w:pStyle w:val="Para2"/>
        <w:tabs>
          <w:tab w:val="left" w:pos="720"/>
        </w:tabs>
        <w:ind w:left="709"/>
      </w:pPr>
      <w:r w:rsidRPr="008C2BFE">
        <w:t xml:space="preserve">In the </w:t>
      </w:r>
      <w:r w:rsidRPr="008C2BFE">
        <w:rPr>
          <w:b/>
        </w:rPr>
        <w:t>EDB IM Determination</w:t>
      </w:r>
      <w:r w:rsidRPr="008C2BFE">
        <w:t xml:space="preserve"> amend clause 2.3.4(2) as follows:</w:t>
      </w:r>
    </w:p>
    <w:p w:rsidR="001B1E70" w:rsidRPr="008C2BFE" w:rsidRDefault="001B1E70" w:rsidP="001B1E70">
      <w:pPr>
        <w:pStyle w:val="BodyTextIndent"/>
        <w:ind w:left="1418" w:hanging="709"/>
        <w:rPr>
          <w:rStyle w:val="Emphasis-Remove"/>
        </w:rPr>
      </w:pPr>
      <w:r w:rsidRPr="008C2BFE">
        <w:rPr>
          <w:rStyle w:val="Emphasis-Remove"/>
        </w:rPr>
        <w:t>“(2)</w:t>
      </w:r>
      <w:r w:rsidRPr="008C2BFE">
        <w:rPr>
          <w:rStyle w:val="Emphasis-Remove"/>
        </w:rPr>
        <w:tab/>
        <w:t>For the purpose of subclause</w:t>
      </w:r>
      <w:r w:rsidRPr="008C2BFE">
        <w:t xml:space="preserve"> (1)</w:t>
      </w:r>
      <w:r w:rsidRPr="008C2BFE">
        <w:rPr>
          <w:rStyle w:val="Emphasis-Remove"/>
        </w:rPr>
        <w:t>, 'notional deductible interest' means the amount determined in accordance with the formula</w:t>
      </w:r>
      <w:r>
        <w:t>–</w:t>
      </w:r>
    </w:p>
    <w:p w:rsidR="001B1E70" w:rsidRPr="00CE52E5" w:rsidRDefault="001B1E70" w:rsidP="001B1E70">
      <w:pPr>
        <w:pStyle w:val="BodyTextIndent"/>
        <w:ind w:left="1418"/>
      </w:pPr>
      <w:r w:rsidRPr="00CE52E5">
        <w:t>((</w:t>
      </w:r>
      <w:r w:rsidRPr="00CE52E5">
        <w:rPr>
          <w:i/>
        </w:rPr>
        <w:t>regulatory investment value</w:t>
      </w:r>
      <w:r w:rsidRPr="00CE52E5">
        <w:t xml:space="preserve"> x </w:t>
      </w:r>
      <w:r w:rsidRPr="00CE52E5">
        <w:rPr>
          <w:b/>
        </w:rPr>
        <w:t>leverage</w:t>
      </w:r>
      <w:r w:rsidRPr="00CE52E5">
        <w:t xml:space="preserve"> x </w:t>
      </w:r>
      <w:r w:rsidRPr="00CE52E5">
        <w:rPr>
          <w:b/>
        </w:rPr>
        <w:t>cost of debt</w:t>
      </w:r>
      <w:r w:rsidRPr="00CE52E5">
        <w:t xml:space="preserve">) + </w:t>
      </w:r>
      <w:r w:rsidRPr="00CE52E5">
        <w:rPr>
          <w:b/>
        </w:rPr>
        <w:t>term credit spread differential allowance</w:t>
      </w:r>
      <w:r w:rsidRPr="00CE52E5">
        <w:t xml:space="preserve">) </w:t>
      </w:r>
    </w:p>
    <w:p w:rsidR="001B1E70" w:rsidRPr="00CE52E5" w:rsidRDefault="001B1E70" w:rsidP="001B1E70">
      <w:pPr>
        <w:pStyle w:val="BodyTextIndent"/>
        <w:ind w:left="1418"/>
      </w:pPr>
      <w:r w:rsidRPr="00CE52E5">
        <w:t>÷</w:t>
      </w:r>
    </w:p>
    <w:p w:rsidR="001B1E70" w:rsidRPr="008C2BFE" w:rsidRDefault="001B1E70" w:rsidP="008C2BFE">
      <w:pPr>
        <w:pStyle w:val="BodyTextIndent"/>
        <w:ind w:left="1418"/>
        <w:rPr>
          <w:i/>
        </w:rPr>
      </w:pPr>
      <w:r w:rsidRPr="00CE52E5">
        <w:t xml:space="preserve">√(1 + </w:t>
      </w:r>
      <w:r w:rsidRPr="00CE52E5">
        <w:rPr>
          <w:b/>
        </w:rPr>
        <w:t>cost of debt</w:t>
      </w:r>
      <w:r w:rsidRPr="00CE52E5">
        <w:rPr>
          <w:i/>
        </w:rPr>
        <w:t>).</w:t>
      </w:r>
      <w:r w:rsidRPr="00CE52E5">
        <w:t>”</w:t>
      </w:r>
      <w:r w:rsidR="008C2BFE">
        <w:t>.</w:t>
      </w:r>
    </w:p>
    <w:p w:rsidR="00854B7E" w:rsidRPr="004665AB" w:rsidRDefault="00854B7E" w:rsidP="00854B7E">
      <w:pPr>
        <w:pStyle w:val="Para2"/>
        <w:tabs>
          <w:tab w:val="clear" w:pos="1418"/>
        </w:tabs>
        <w:ind w:left="709"/>
      </w:pPr>
      <w:r w:rsidRPr="004665AB">
        <w:t xml:space="preserve">In the </w:t>
      </w:r>
      <w:r w:rsidRPr="004665AB">
        <w:rPr>
          <w:b/>
        </w:rPr>
        <w:t>EDB IM Determination</w:t>
      </w:r>
      <w:r w:rsidRPr="004665AB">
        <w:t xml:space="preserve"> </w:t>
      </w:r>
      <w:r w:rsidR="00A008C2" w:rsidRPr="004665AB">
        <w:t>amend</w:t>
      </w:r>
      <w:r w:rsidRPr="004665AB">
        <w:t xml:space="preserve"> clause 3.1.1(2) </w:t>
      </w:r>
      <w:r w:rsidR="00A008C2" w:rsidRPr="004665AB">
        <w:t>as follows</w:t>
      </w:r>
      <w:r w:rsidRPr="004665AB">
        <w:t>:</w:t>
      </w:r>
    </w:p>
    <w:p w:rsidR="00854B7E" w:rsidRPr="004665AB" w:rsidRDefault="00854B7E" w:rsidP="00854B7E">
      <w:pPr>
        <w:pStyle w:val="BodyText"/>
        <w:ind w:left="1418" w:hanging="709"/>
      </w:pPr>
      <w:r w:rsidRPr="004665AB">
        <w:t>“(2)</w:t>
      </w:r>
      <w:r w:rsidRPr="004665AB">
        <w:tab/>
        <w:t>Allowable notional revenue means, in respect of a 12 month period, a function of</w:t>
      </w:r>
      <w:r w:rsidR="003B0B55">
        <w:rPr>
          <w:szCs w:val="24"/>
        </w:rPr>
        <w:t>–</w:t>
      </w:r>
    </w:p>
    <w:p w:rsidR="00854B7E" w:rsidRPr="004665AB" w:rsidRDefault="00DB5513" w:rsidP="00854B7E">
      <w:pPr>
        <w:pStyle w:val="BodyText"/>
        <w:ind w:left="2127" w:hanging="709"/>
      </w:pPr>
      <w:r w:rsidRPr="004665AB">
        <w:t>“</w:t>
      </w:r>
      <w:r w:rsidR="00854B7E" w:rsidRPr="004665AB">
        <w:t>(a)</w:t>
      </w:r>
      <w:r w:rsidR="00854B7E" w:rsidRPr="004665AB">
        <w:tab/>
        <w:t xml:space="preserve">relevant </w:t>
      </w:r>
      <w:r w:rsidR="00854B7E" w:rsidRPr="004665AB">
        <w:rPr>
          <w:b/>
        </w:rPr>
        <w:t>CPIs</w:t>
      </w:r>
      <w:r w:rsidR="00854B7E" w:rsidRPr="004665AB">
        <w:t>;</w:t>
      </w:r>
    </w:p>
    <w:p w:rsidR="00854B7E" w:rsidRPr="004665AB" w:rsidRDefault="00DB5513" w:rsidP="00854B7E">
      <w:pPr>
        <w:pStyle w:val="BodyText"/>
        <w:ind w:left="2127" w:hanging="709"/>
      </w:pPr>
      <w:r w:rsidRPr="004665AB">
        <w:t>“</w:t>
      </w:r>
      <w:r w:rsidR="00854B7E" w:rsidRPr="004665AB">
        <w:t>(b)</w:t>
      </w:r>
      <w:r w:rsidR="00854B7E" w:rsidRPr="004665AB">
        <w:tab/>
        <w:t xml:space="preserve">the X factor applicable to the </w:t>
      </w:r>
      <w:r w:rsidR="00854B7E" w:rsidRPr="004665AB">
        <w:rPr>
          <w:b/>
        </w:rPr>
        <w:t>EDB</w:t>
      </w:r>
      <w:r w:rsidR="00854B7E" w:rsidRPr="004665AB">
        <w:t>; and</w:t>
      </w:r>
    </w:p>
    <w:p w:rsidR="00854B7E" w:rsidRPr="004665AB" w:rsidRDefault="00DB5513" w:rsidP="00854B7E">
      <w:pPr>
        <w:pStyle w:val="BodyText"/>
        <w:ind w:left="2127" w:hanging="709"/>
      </w:pPr>
      <w:r w:rsidRPr="004665AB">
        <w:t>“</w:t>
      </w:r>
      <w:r w:rsidR="00854B7E" w:rsidRPr="004665AB">
        <w:t>(c)</w:t>
      </w:r>
      <w:r w:rsidR="00854B7E" w:rsidRPr="004665AB">
        <w:tab/>
      </w:r>
      <w:r w:rsidR="00854B7E" w:rsidRPr="00CE52E5">
        <w:rPr>
          <w:b/>
        </w:rPr>
        <w:t>distribution prices</w:t>
      </w:r>
      <w:r w:rsidR="00854B7E" w:rsidRPr="004665AB">
        <w:t xml:space="preserve"> in the preceding 12 month period multiplied by quantities</w:t>
      </w:r>
      <w:r w:rsidR="0084273B">
        <w:t>.”</w:t>
      </w:r>
      <w:r w:rsidR="00140E12">
        <w:t>.</w:t>
      </w:r>
    </w:p>
    <w:p w:rsidR="00A50849" w:rsidRPr="004665AB" w:rsidRDefault="00A50849" w:rsidP="00A50849">
      <w:pPr>
        <w:pStyle w:val="Para2"/>
        <w:tabs>
          <w:tab w:val="clear" w:pos="1418"/>
        </w:tabs>
        <w:ind w:left="709"/>
      </w:pPr>
      <w:r w:rsidRPr="004665AB">
        <w:t xml:space="preserve">In the </w:t>
      </w:r>
      <w:r w:rsidRPr="004665AB">
        <w:rPr>
          <w:b/>
        </w:rPr>
        <w:t>EDB IM Determination</w:t>
      </w:r>
      <w:r>
        <w:t xml:space="preserve"> amend clause 3.1.1</w:t>
      </w:r>
      <w:r w:rsidRPr="004665AB">
        <w:t>(3) as follows:</w:t>
      </w:r>
    </w:p>
    <w:p w:rsidR="00A50849" w:rsidRPr="004665AB" w:rsidRDefault="00A50849" w:rsidP="00A50849">
      <w:pPr>
        <w:pStyle w:val="BodyText"/>
        <w:ind w:left="1418" w:hanging="709"/>
      </w:pPr>
      <w:r w:rsidRPr="004665AB">
        <w:t>“(3)</w:t>
      </w:r>
      <w:r w:rsidRPr="004665AB">
        <w:tab/>
        <w:t xml:space="preserve">Notional revenue means, in respect of a 12 month period, </w:t>
      </w:r>
      <w:r w:rsidRPr="00CE52E5">
        <w:rPr>
          <w:b/>
        </w:rPr>
        <w:t>distribution prices</w:t>
      </w:r>
      <w:r w:rsidRPr="004665AB">
        <w:t xml:space="preserve"> in that period multiplied by quantities</w:t>
      </w:r>
      <w:r>
        <w:t>.”.</w:t>
      </w:r>
    </w:p>
    <w:p w:rsidR="00FB1D24" w:rsidRDefault="00A50849" w:rsidP="009F128D">
      <w:pPr>
        <w:pStyle w:val="Para2"/>
        <w:tabs>
          <w:tab w:val="clear" w:pos="1418"/>
        </w:tabs>
        <w:ind w:left="709"/>
      </w:pPr>
      <w:r w:rsidRPr="004665AB" w:rsidDel="0084273B">
        <w:t xml:space="preserve"> </w:t>
      </w:r>
      <w:r w:rsidR="008024F7">
        <w:t xml:space="preserve">In the </w:t>
      </w:r>
      <w:r w:rsidR="008024F7" w:rsidRPr="008024F7">
        <w:rPr>
          <w:b/>
        </w:rPr>
        <w:t>EDB IM Determination</w:t>
      </w:r>
      <w:r w:rsidR="000930D6">
        <w:t xml:space="preserve"> </w:t>
      </w:r>
      <w:r w:rsidR="00A008C2">
        <w:t>amend</w:t>
      </w:r>
      <w:r w:rsidR="000930D6">
        <w:t xml:space="preserve"> clause 3.1.3(1) </w:t>
      </w:r>
      <w:r w:rsidR="00A008C2">
        <w:t>as follows</w:t>
      </w:r>
      <w:r w:rsidR="000930D6">
        <w:t>:</w:t>
      </w:r>
    </w:p>
    <w:p w:rsidR="006D4FAC" w:rsidRDefault="009F128D" w:rsidP="006D4FAC">
      <w:pPr>
        <w:pStyle w:val="Para2"/>
        <w:numPr>
          <w:ilvl w:val="0"/>
          <w:numId w:val="0"/>
        </w:numPr>
        <w:ind w:left="709"/>
      </w:pPr>
      <w:r>
        <w:t>“</w:t>
      </w:r>
      <w:r w:rsidR="006D4FAC">
        <w:t>(1)</w:t>
      </w:r>
      <w:r w:rsidR="006D4FAC">
        <w:tab/>
        <w:t>A recoverable cost is a cost that is</w:t>
      </w:r>
      <w:r w:rsidR="003B0B55">
        <w:rPr>
          <w:szCs w:val="24"/>
        </w:rPr>
        <w:t>–</w:t>
      </w:r>
    </w:p>
    <w:p w:rsidR="00A06261" w:rsidRPr="00A06261" w:rsidRDefault="00A06261" w:rsidP="00A06261">
      <w:pPr>
        <w:pStyle w:val="ListBullet2"/>
        <w:ind w:left="2127" w:hanging="709"/>
      </w:pPr>
      <w:r>
        <w:t>“</w:t>
      </w:r>
      <w:r w:rsidRPr="00A06261">
        <w:t>(a)</w:t>
      </w:r>
      <w:r w:rsidRPr="00A06261">
        <w:tab/>
        <w:t>any positive net balance determined in accordance with clause</w:t>
      </w:r>
      <w:r w:rsidR="00C00BDE">
        <w:t xml:space="preserve"> 3.3.2(2)</w:t>
      </w:r>
      <w:r w:rsidRPr="00A06261">
        <w:t xml:space="preserve">, provided that any requirements pursuant to an </w:t>
      </w:r>
      <w:r w:rsidRPr="00A06261">
        <w:rPr>
          <w:b/>
          <w:bCs/>
        </w:rPr>
        <w:t>ID determination</w:t>
      </w:r>
      <w:r w:rsidRPr="00A06261">
        <w:t xml:space="preserve"> regarding </w:t>
      </w:r>
      <w:r w:rsidRPr="00A06261">
        <w:rPr>
          <w:b/>
          <w:bCs/>
        </w:rPr>
        <w:t>auditor</w:t>
      </w:r>
      <w:r w:rsidRPr="00A06261">
        <w:t xml:space="preserve"> certification of any value determined in accordance with </w:t>
      </w:r>
      <w:r>
        <w:t>Subpart 3</w:t>
      </w:r>
      <w:r w:rsidRPr="00A06261">
        <w:t xml:space="preserve"> have been met;  </w:t>
      </w:r>
    </w:p>
    <w:p w:rsidR="00A06261" w:rsidRPr="00A06261" w:rsidRDefault="00A06261" w:rsidP="00A06261">
      <w:pPr>
        <w:pStyle w:val="Para2"/>
        <w:numPr>
          <w:ilvl w:val="0"/>
          <w:numId w:val="0"/>
        </w:numPr>
        <w:ind w:left="2127" w:hanging="709"/>
      </w:pPr>
      <w:bookmarkStart w:id="1" w:name="_Ref265673871"/>
      <w:r>
        <w:t>“</w:t>
      </w:r>
      <w:r w:rsidRPr="00A06261">
        <w:t>(b)</w:t>
      </w:r>
      <w:r w:rsidRPr="00A06261">
        <w:tab/>
        <w:t xml:space="preserve">a charge payable to </w:t>
      </w:r>
      <w:r w:rsidRPr="00A06261">
        <w:rPr>
          <w:b/>
          <w:bCs/>
        </w:rPr>
        <w:t>Transpower</w:t>
      </w:r>
      <w:r w:rsidRPr="00A06261">
        <w:t xml:space="preserve"> for </w:t>
      </w:r>
      <w:r w:rsidRPr="00A06261">
        <w:rPr>
          <w:b/>
          <w:bCs/>
        </w:rPr>
        <w:t>electricity lines services</w:t>
      </w:r>
      <w:r w:rsidRPr="00A06261">
        <w:t xml:space="preserve"> provided to a </w:t>
      </w:r>
      <w:r w:rsidRPr="00A06261">
        <w:rPr>
          <w:b/>
          <w:bCs/>
        </w:rPr>
        <w:t>non-exempt EDB</w:t>
      </w:r>
      <w:r w:rsidRPr="00A06261">
        <w:t xml:space="preserve"> in respect of the transmission system in accordance with the transmission pricing methodology </w:t>
      </w:r>
      <w:r w:rsidRPr="00A06261">
        <w:rPr>
          <w:b/>
          <w:bCs/>
        </w:rPr>
        <w:t>Transpower</w:t>
      </w:r>
      <w:r w:rsidRPr="00A06261">
        <w:t xml:space="preserve"> uses to determine the prices it charges for its services, as specified in the Electricity Industry Participation Code</w:t>
      </w:r>
      <w:r w:rsidR="003F66A7" w:rsidRPr="00CE52E5">
        <w:t xml:space="preserve">, including any such charges on-charged at cost by an </w:t>
      </w:r>
      <w:r w:rsidR="003F66A7" w:rsidRPr="00CE52E5">
        <w:rPr>
          <w:b/>
        </w:rPr>
        <w:t>EDB</w:t>
      </w:r>
      <w:r w:rsidR="003F66A7" w:rsidRPr="00CE52E5">
        <w:t xml:space="preserve"> to a </w:t>
      </w:r>
      <w:r w:rsidR="003F66A7" w:rsidRPr="00CE52E5">
        <w:rPr>
          <w:b/>
        </w:rPr>
        <w:t>non-exempt EDB</w:t>
      </w:r>
      <w:r w:rsidR="003F66A7" w:rsidRPr="00CE52E5">
        <w:t xml:space="preserve"> that does not have a transmission agreement with </w:t>
      </w:r>
      <w:r w:rsidR="003F66A7" w:rsidRPr="00CE52E5">
        <w:rPr>
          <w:b/>
        </w:rPr>
        <w:t>Transpower</w:t>
      </w:r>
      <w:r w:rsidRPr="00CE52E5">
        <w:t>;</w:t>
      </w:r>
      <w:bookmarkEnd w:id="1"/>
      <w:r w:rsidRPr="00A06261">
        <w:t xml:space="preserve"> </w:t>
      </w:r>
    </w:p>
    <w:p w:rsidR="00A06261" w:rsidRPr="00A06261" w:rsidRDefault="00A06261" w:rsidP="00A06261">
      <w:pPr>
        <w:pStyle w:val="Para2"/>
        <w:numPr>
          <w:ilvl w:val="0"/>
          <w:numId w:val="0"/>
        </w:numPr>
        <w:ind w:left="2127" w:hanging="709"/>
      </w:pPr>
      <w:bookmarkStart w:id="2" w:name="_Ref273960536"/>
      <w:r>
        <w:lastRenderedPageBreak/>
        <w:t>“</w:t>
      </w:r>
      <w:r w:rsidRPr="00A06261">
        <w:t>(c)</w:t>
      </w:r>
      <w:r w:rsidRPr="00A06261">
        <w:tab/>
        <w:t xml:space="preserve">a charge payable by an </w:t>
      </w:r>
      <w:r w:rsidRPr="00A06261">
        <w:rPr>
          <w:b/>
          <w:bCs/>
        </w:rPr>
        <w:t>EDB</w:t>
      </w:r>
      <w:r w:rsidRPr="00A06261">
        <w:t xml:space="preserve"> to </w:t>
      </w:r>
      <w:r w:rsidRPr="00A06261">
        <w:rPr>
          <w:b/>
          <w:bCs/>
        </w:rPr>
        <w:t>Transpower</w:t>
      </w:r>
      <w:r w:rsidRPr="00A06261">
        <w:t xml:space="preserve"> in respect of a new investment contract (as 'new investment contract' is defined in the Electricity Industry Participation Code) between those parties, or an equivalent type of contract;</w:t>
      </w:r>
      <w:bookmarkEnd w:id="2"/>
      <w:r w:rsidRPr="00A06261">
        <w:t xml:space="preserve">  </w:t>
      </w:r>
      <w:bookmarkStart w:id="3" w:name="_Ref265679296"/>
    </w:p>
    <w:p w:rsidR="00A06261" w:rsidRPr="00A06261" w:rsidRDefault="00A06261" w:rsidP="00A06261">
      <w:pPr>
        <w:pStyle w:val="Para2"/>
        <w:numPr>
          <w:ilvl w:val="0"/>
          <w:numId w:val="0"/>
        </w:numPr>
        <w:ind w:left="2127" w:hanging="709"/>
      </w:pPr>
      <w:bookmarkStart w:id="4" w:name="_Ref265673936"/>
      <w:bookmarkEnd w:id="3"/>
      <w:r>
        <w:t>“</w:t>
      </w:r>
      <w:r w:rsidRPr="00A06261">
        <w:t>(d)</w:t>
      </w:r>
      <w:r w:rsidRPr="00A06261">
        <w:tab/>
        <w:t xml:space="preserve">a charge payable by an </w:t>
      </w:r>
      <w:r w:rsidRPr="00A06261">
        <w:rPr>
          <w:b/>
          <w:bCs/>
        </w:rPr>
        <w:t>EDB</w:t>
      </w:r>
      <w:r w:rsidRPr="00A06261">
        <w:t xml:space="preserve"> for the </w:t>
      </w:r>
      <w:r w:rsidRPr="00A06261">
        <w:rPr>
          <w:b/>
          <w:bCs/>
        </w:rPr>
        <w:t>supply</w:t>
      </w:r>
      <w:r w:rsidRPr="00A06261">
        <w:t xml:space="preserve"> of system operator services, where 'system operator' has the same meaning as defined in s 5 of the Electricity Industry Act 2010, to the extent that the charge is not a </w:t>
      </w:r>
      <w:r w:rsidRPr="00A06261">
        <w:rPr>
          <w:b/>
          <w:bCs/>
        </w:rPr>
        <w:t>pass-through cost</w:t>
      </w:r>
      <w:r w:rsidRPr="00A06261">
        <w:t>;</w:t>
      </w:r>
      <w:bookmarkEnd w:id="4"/>
      <w:r w:rsidRPr="00A06261">
        <w:t xml:space="preserve"> </w:t>
      </w:r>
    </w:p>
    <w:p w:rsidR="00A06261" w:rsidRPr="00A06261" w:rsidRDefault="00A06261" w:rsidP="00A06261">
      <w:pPr>
        <w:pStyle w:val="Para2"/>
        <w:numPr>
          <w:ilvl w:val="0"/>
          <w:numId w:val="0"/>
        </w:numPr>
        <w:ind w:left="2127" w:hanging="709"/>
      </w:pPr>
      <w:bookmarkStart w:id="5" w:name="_Ref265679300"/>
      <w:r>
        <w:t>“</w:t>
      </w:r>
      <w:r w:rsidRPr="00A06261">
        <w:t>(e)</w:t>
      </w:r>
      <w:r w:rsidRPr="00A06261">
        <w:tab/>
        <w:t xml:space="preserve">an amount of a charge described in paragraphs </w:t>
      </w:r>
      <w:r>
        <w:t>(b)</w:t>
      </w:r>
      <w:r w:rsidRPr="00A06261">
        <w:t xml:space="preserve"> or </w:t>
      </w:r>
      <w:r>
        <w:t>(c)</w:t>
      </w:r>
      <w:r w:rsidRPr="00A06261">
        <w:t xml:space="preserve"> that the </w:t>
      </w:r>
      <w:r w:rsidRPr="00A06261">
        <w:rPr>
          <w:b/>
          <w:bCs/>
        </w:rPr>
        <w:t>Commission</w:t>
      </w:r>
      <w:r w:rsidRPr="00A06261">
        <w:t xml:space="preserve"> is satisfied an </w:t>
      </w:r>
      <w:r w:rsidRPr="00A06261">
        <w:rPr>
          <w:b/>
          <w:bCs/>
        </w:rPr>
        <w:t>EDB</w:t>
      </w:r>
      <w:r w:rsidRPr="00A06261">
        <w:t xml:space="preserve"> has avoided liability to pay as a result of the </w:t>
      </w:r>
      <w:r w:rsidRPr="00A06261">
        <w:rPr>
          <w:b/>
          <w:bCs/>
        </w:rPr>
        <w:t>EDB</w:t>
      </w:r>
      <w:r w:rsidRPr="00A06261">
        <w:t xml:space="preserve"> having purchased transmission assets from </w:t>
      </w:r>
      <w:r w:rsidRPr="00A06261">
        <w:rPr>
          <w:b/>
          <w:bCs/>
        </w:rPr>
        <w:t>Transpower</w:t>
      </w:r>
      <w:r w:rsidRPr="00A06261">
        <w:t>, subject to</w:t>
      </w:r>
      <w:r w:rsidR="006E0BDF">
        <w:rPr>
          <w:szCs w:val="24"/>
        </w:rPr>
        <w:t>–</w:t>
      </w:r>
      <w:r w:rsidRPr="00A06261">
        <w:t xml:space="preserve"> </w:t>
      </w:r>
    </w:p>
    <w:p w:rsidR="00A06261" w:rsidRPr="008F0575" w:rsidRDefault="00A06261" w:rsidP="00A06261">
      <w:pPr>
        <w:pStyle w:val="HeadingH7ClausesubtextL3"/>
        <w:numPr>
          <w:ilvl w:val="0"/>
          <w:numId w:val="0"/>
        </w:numPr>
        <w:ind w:left="2127"/>
        <w:rPr>
          <w:rStyle w:val="Emphasis-Remove"/>
          <w:rFonts w:ascii="Calibri" w:hAnsi="Calibri"/>
        </w:rPr>
      </w:pPr>
      <w:r>
        <w:rPr>
          <w:rFonts w:ascii="Calibri" w:hAnsi="Calibri"/>
        </w:rPr>
        <w:t>“(i)</w:t>
      </w:r>
      <w:r>
        <w:rPr>
          <w:rFonts w:ascii="Calibri" w:hAnsi="Calibri"/>
        </w:rPr>
        <w:tab/>
      </w:r>
      <w:r w:rsidRPr="008F0575">
        <w:rPr>
          <w:rFonts w:ascii="Calibri" w:hAnsi="Calibri"/>
        </w:rPr>
        <w:t xml:space="preserve">the requirement specified in subclause </w:t>
      </w:r>
      <w:r>
        <w:t>(2)</w:t>
      </w:r>
      <w:r w:rsidRPr="008F0575">
        <w:rPr>
          <w:rFonts w:ascii="Calibri" w:hAnsi="Calibri"/>
        </w:rPr>
        <w:t>;</w:t>
      </w:r>
      <w:r w:rsidRPr="008F0575">
        <w:rPr>
          <w:rStyle w:val="Emphasis-Remove"/>
          <w:rFonts w:ascii="Calibri" w:hAnsi="Calibri"/>
        </w:rPr>
        <w:t xml:space="preserve"> and</w:t>
      </w:r>
    </w:p>
    <w:p w:rsidR="006E0BDF" w:rsidRPr="008F0575" w:rsidRDefault="00A06261" w:rsidP="00A06261">
      <w:pPr>
        <w:pStyle w:val="HeadingH7ClausesubtextL3"/>
        <w:numPr>
          <w:ilvl w:val="0"/>
          <w:numId w:val="0"/>
        </w:numPr>
        <w:ind w:left="2127"/>
        <w:rPr>
          <w:rStyle w:val="Emphasis-Remove"/>
          <w:rFonts w:ascii="Calibri" w:hAnsi="Calibri"/>
        </w:rPr>
      </w:pPr>
      <w:bookmarkStart w:id="6" w:name="_Ref274837907"/>
      <w:r>
        <w:rPr>
          <w:rStyle w:val="Emphasis-Remove"/>
        </w:rPr>
        <w:t>“(ii)</w:t>
      </w:r>
      <w:r>
        <w:rPr>
          <w:rStyle w:val="Emphasis-Remove"/>
        </w:rPr>
        <w:tab/>
      </w:r>
      <w:r w:rsidRPr="008F0575">
        <w:rPr>
          <w:rStyle w:val="Emphasis-Remove"/>
        </w:rPr>
        <w:t xml:space="preserve">subclause </w:t>
      </w:r>
      <w:r>
        <w:t>(4)</w:t>
      </w:r>
      <w:r w:rsidRPr="008F0575">
        <w:rPr>
          <w:rStyle w:val="Emphasis-Remove"/>
        </w:rPr>
        <w:t>;</w:t>
      </w:r>
      <w:bookmarkEnd w:id="5"/>
      <w:bookmarkEnd w:id="6"/>
    </w:p>
    <w:p w:rsidR="008F1CDC" w:rsidRPr="00CE52E5" w:rsidRDefault="00A008C2" w:rsidP="008F1CDC">
      <w:pPr>
        <w:pStyle w:val="Para2"/>
        <w:numPr>
          <w:ilvl w:val="0"/>
          <w:numId w:val="0"/>
        </w:numPr>
        <w:ind w:left="2127" w:hanging="709"/>
      </w:pPr>
      <w:r w:rsidRPr="00CE52E5">
        <w:t>“</w:t>
      </w:r>
      <w:r w:rsidR="006D4FAC" w:rsidRPr="00CE52E5">
        <w:t>(f)</w:t>
      </w:r>
      <w:r w:rsidR="006D4FAC" w:rsidRPr="00CE52E5">
        <w:tab/>
      </w:r>
      <w:r w:rsidRPr="00CE52E5">
        <w:t>a</w:t>
      </w:r>
      <w:r w:rsidR="00C07F1E" w:rsidRPr="00CE52E5">
        <w:t xml:space="preserve">n amount equal to </w:t>
      </w:r>
      <w:r w:rsidR="00F90830" w:rsidRPr="00CE52E5">
        <w:t>a</w:t>
      </w:r>
      <w:r w:rsidRPr="00CE52E5">
        <w:t xml:space="preserve"> </w:t>
      </w:r>
      <w:r w:rsidRPr="00CE52E5">
        <w:rPr>
          <w:b/>
        </w:rPr>
        <w:t>distributed generation allowance</w:t>
      </w:r>
      <w:r w:rsidRPr="00CE52E5">
        <w:t>;</w:t>
      </w:r>
    </w:p>
    <w:p w:rsidR="00A06261" w:rsidRPr="008F0575" w:rsidRDefault="00A06261" w:rsidP="00A06261">
      <w:pPr>
        <w:pStyle w:val="Para2"/>
        <w:numPr>
          <w:ilvl w:val="0"/>
          <w:numId w:val="0"/>
        </w:numPr>
        <w:ind w:left="2127" w:hanging="709"/>
        <w:rPr>
          <w:rStyle w:val="Emphasis-Remove"/>
        </w:rPr>
      </w:pPr>
      <w:r>
        <w:rPr>
          <w:rStyle w:val="Emphasis-Remove"/>
        </w:rPr>
        <w:t>“(g)</w:t>
      </w:r>
      <w:r>
        <w:rPr>
          <w:rStyle w:val="Emphasis-Remove"/>
        </w:rPr>
        <w:tab/>
      </w:r>
      <w:r w:rsidRPr="008F0575">
        <w:rPr>
          <w:rStyle w:val="Emphasis-Remove"/>
        </w:rPr>
        <w:t xml:space="preserve">claw-back applied by the </w:t>
      </w:r>
      <w:r w:rsidRPr="008F0575">
        <w:rPr>
          <w:rStyle w:val="Emphasis-Remove"/>
          <w:b/>
        </w:rPr>
        <w:t>Commission</w:t>
      </w:r>
      <w:r w:rsidRPr="008F0575">
        <w:rPr>
          <w:rStyle w:val="Emphasis-Remove"/>
        </w:rPr>
        <w:t xml:space="preserve"> under sections 54K(3) or 53ZB(3) of the </w:t>
      </w:r>
      <w:r w:rsidRPr="008F0575">
        <w:rPr>
          <w:rStyle w:val="Emphasis-Bold"/>
        </w:rPr>
        <w:t>Act</w:t>
      </w:r>
      <w:r w:rsidRPr="008F0575">
        <w:rPr>
          <w:rStyle w:val="Emphasis-Remove"/>
        </w:rPr>
        <w:t>;</w:t>
      </w:r>
    </w:p>
    <w:p w:rsidR="00A06261" w:rsidRPr="008F0575" w:rsidRDefault="00A06261" w:rsidP="00A06261">
      <w:pPr>
        <w:pStyle w:val="Para2"/>
        <w:numPr>
          <w:ilvl w:val="0"/>
          <w:numId w:val="0"/>
        </w:numPr>
        <w:ind w:left="2127" w:hanging="709"/>
      </w:pPr>
      <w:bookmarkStart w:id="7" w:name="_Ref273961035"/>
      <w:r>
        <w:t>“(h)</w:t>
      </w:r>
      <w:r>
        <w:tab/>
      </w:r>
      <w:r w:rsidRPr="008F0575">
        <w:t xml:space="preserve">a standard application fee for a </w:t>
      </w:r>
      <w:r w:rsidRPr="008F0575">
        <w:rPr>
          <w:rStyle w:val="Emphasis-Bold"/>
        </w:rPr>
        <w:t xml:space="preserve">CPP proposal </w:t>
      </w:r>
      <w:r w:rsidRPr="008F0575">
        <w:rPr>
          <w:rStyle w:val="Emphasis-Remove"/>
        </w:rPr>
        <w:t xml:space="preserve">under 53Q(2)(c), subject to the proviso specified in subclause </w:t>
      </w:r>
      <w:r>
        <w:t>(5)</w:t>
      </w:r>
      <w:r w:rsidRPr="008F0575">
        <w:rPr>
          <w:rStyle w:val="Emphasis-Remove"/>
        </w:rPr>
        <w:t>;</w:t>
      </w:r>
      <w:bookmarkEnd w:id="7"/>
    </w:p>
    <w:p w:rsidR="00A06261" w:rsidRPr="008F0575" w:rsidRDefault="00A06261" w:rsidP="00A06261">
      <w:pPr>
        <w:pStyle w:val="Para2"/>
        <w:numPr>
          <w:ilvl w:val="0"/>
          <w:numId w:val="0"/>
        </w:numPr>
        <w:ind w:left="2127" w:hanging="709"/>
      </w:pPr>
      <w:bookmarkStart w:id="8" w:name="_Ref274837928"/>
      <w:r>
        <w:t>“(i)</w:t>
      </w:r>
      <w:r>
        <w:tab/>
      </w:r>
      <w:r w:rsidRPr="008F0575">
        <w:t xml:space="preserve">a fee </w:t>
      </w:r>
      <w:r w:rsidRPr="00A06261">
        <w:rPr>
          <w:rStyle w:val="Emphasis-Remove"/>
        </w:rPr>
        <w:t>notified</w:t>
      </w:r>
      <w:r w:rsidRPr="008F0575">
        <w:t xml:space="preserve"> by the </w:t>
      </w:r>
      <w:r w:rsidRPr="008F0575">
        <w:rPr>
          <w:rStyle w:val="Emphasis-Remove"/>
          <w:b/>
        </w:rPr>
        <w:t>Commission</w:t>
      </w:r>
      <w:r w:rsidRPr="008F0575">
        <w:rPr>
          <w:rStyle w:val="Emphasis-Bold"/>
        </w:rPr>
        <w:t xml:space="preserve"> </w:t>
      </w:r>
      <w:r w:rsidRPr="008F0575">
        <w:rPr>
          <w:rStyle w:val="Emphasis-Remove"/>
        </w:rPr>
        <w:t>as payable by the</w:t>
      </w:r>
      <w:r w:rsidRPr="008F0575">
        <w:rPr>
          <w:rStyle w:val="Emphasis-Bold"/>
        </w:rPr>
        <w:t xml:space="preserve"> EDB</w:t>
      </w:r>
      <w:r w:rsidRPr="008F0575">
        <w:t xml:space="preserve"> in respect of the </w:t>
      </w:r>
      <w:r w:rsidRPr="008F0575">
        <w:rPr>
          <w:rStyle w:val="Emphasis-Remove"/>
          <w:b/>
        </w:rPr>
        <w:t>Commission</w:t>
      </w:r>
      <w:r w:rsidRPr="008F0575">
        <w:t xml:space="preserve"> assessing a </w:t>
      </w:r>
      <w:r w:rsidRPr="008F0575">
        <w:rPr>
          <w:rStyle w:val="Emphasis-Bold"/>
        </w:rPr>
        <w:t>CPP proposal</w:t>
      </w:r>
      <w:r w:rsidRPr="008F0575">
        <w:t xml:space="preserve"> and determining a </w:t>
      </w:r>
      <w:r w:rsidRPr="008F0575">
        <w:rPr>
          <w:rStyle w:val="Emphasis-Bold"/>
        </w:rPr>
        <w:t>CPP</w:t>
      </w:r>
      <w:r w:rsidRPr="008F0575">
        <w:t xml:space="preserve"> in accordance with s 53Y of the </w:t>
      </w:r>
      <w:r w:rsidRPr="008F0575">
        <w:rPr>
          <w:rStyle w:val="Emphasis-Bold"/>
        </w:rPr>
        <w:t>Act</w:t>
      </w:r>
      <w:r w:rsidRPr="00AA4BBE">
        <w:rPr>
          <w:rStyle w:val="Emphasis-Bold"/>
          <w:b w:val="0"/>
        </w:rPr>
        <w:t xml:space="preserve">, </w:t>
      </w:r>
      <w:r w:rsidRPr="008F0575">
        <w:rPr>
          <w:rStyle w:val="Emphasis-Remove"/>
        </w:rPr>
        <w:t>subject to the proviso specified in subclause</w:t>
      </w:r>
      <w:r>
        <w:t xml:space="preserve"> (5)</w:t>
      </w:r>
      <w:r w:rsidRPr="008F0575">
        <w:t>;</w:t>
      </w:r>
      <w:bookmarkEnd w:id="8"/>
      <w:r w:rsidRPr="008F0575">
        <w:t xml:space="preserve">   </w:t>
      </w:r>
    </w:p>
    <w:p w:rsidR="00A06261" w:rsidRPr="008F0575" w:rsidRDefault="00A06261" w:rsidP="00A06261">
      <w:pPr>
        <w:pStyle w:val="Para2"/>
        <w:numPr>
          <w:ilvl w:val="0"/>
          <w:numId w:val="0"/>
        </w:numPr>
        <w:ind w:left="2127" w:hanging="709"/>
      </w:pPr>
      <w:bookmarkStart w:id="9" w:name="_Ref274746271"/>
      <w:bookmarkStart w:id="10" w:name="_Ref265679313"/>
      <w:r>
        <w:t>“(j)</w:t>
      </w:r>
      <w:r>
        <w:tab/>
      </w:r>
      <w:r w:rsidRPr="008F0575">
        <w:t xml:space="preserve">a fee </w:t>
      </w:r>
      <w:r w:rsidRPr="00A06261">
        <w:rPr>
          <w:rStyle w:val="Emphasis-Remove"/>
        </w:rPr>
        <w:t>payable</w:t>
      </w:r>
      <w:r w:rsidRPr="008F0575">
        <w:t xml:space="preserve"> to a </w:t>
      </w:r>
      <w:r w:rsidRPr="008F0575">
        <w:rPr>
          <w:rStyle w:val="Emphasis-Bold"/>
        </w:rPr>
        <w:t>verifier</w:t>
      </w:r>
      <w:r w:rsidRPr="008F0575">
        <w:t xml:space="preserve"> subject to the requirement specified in subclause </w:t>
      </w:r>
      <w:r>
        <w:t>(3)</w:t>
      </w:r>
      <w:r w:rsidRPr="008F0575">
        <w:rPr>
          <w:rStyle w:val="Emphasis-Remove"/>
        </w:rPr>
        <w:t>;</w:t>
      </w:r>
      <w:bookmarkEnd w:id="9"/>
      <w:r w:rsidRPr="008F0575">
        <w:t xml:space="preserve"> </w:t>
      </w:r>
      <w:bookmarkEnd w:id="10"/>
    </w:p>
    <w:p w:rsidR="00A06261" w:rsidRPr="008F0575" w:rsidRDefault="00A06261" w:rsidP="00A06261">
      <w:pPr>
        <w:pStyle w:val="Para2"/>
        <w:numPr>
          <w:ilvl w:val="0"/>
          <w:numId w:val="0"/>
        </w:numPr>
        <w:ind w:left="2127" w:hanging="709"/>
      </w:pPr>
      <w:bookmarkStart w:id="11" w:name="_Ref265679316"/>
      <w:r>
        <w:t>“(k)</w:t>
      </w:r>
      <w:r>
        <w:tab/>
      </w:r>
      <w:r w:rsidRPr="008F0575">
        <w:t xml:space="preserve">any </w:t>
      </w:r>
      <w:r w:rsidRPr="008F0575">
        <w:rPr>
          <w:rStyle w:val="Emphasis-Bold"/>
        </w:rPr>
        <w:t>auditor's</w:t>
      </w:r>
      <w:r w:rsidRPr="008F0575">
        <w:t xml:space="preserve"> cost incurred for the purpose of meeting</w:t>
      </w:r>
      <w:bookmarkEnd w:id="11"/>
      <w:r w:rsidRPr="008F0575">
        <w:t xml:space="preserve"> clauses </w:t>
      </w:r>
      <w:r w:rsidR="00184191">
        <w:t xml:space="preserve">5.1.4 </w:t>
      </w:r>
      <w:r w:rsidRPr="008F0575">
        <w:t>or</w:t>
      </w:r>
      <w:r w:rsidR="00184191">
        <w:t xml:space="preserve"> 5.5.3</w:t>
      </w:r>
      <w:r w:rsidRPr="008F0575">
        <w:t xml:space="preserve">, subject to the requirement specified in subclause </w:t>
      </w:r>
      <w:r>
        <w:t>(3)</w:t>
      </w:r>
      <w:r w:rsidRPr="008F0575">
        <w:t>;</w:t>
      </w:r>
      <w:r w:rsidRPr="00BA2685">
        <w:rPr>
          <w:strike/>
        </w:rPr>
        <w:t xml:space="preserve"> or</w:t>
      </w:r>
    </w:p>
    <w:p w:rsidR="00A06261" w:rsidRPr="00A06261" w:rsidRDefault="00A06261" w:rsidP="00A06261">
      <w:pPr>
        <w:pStyle w:val="Para2"/>
        <w:numPr>
          <w:ilvl w:val="0"/>
          <w:numId w:val="0"/>
        </w:numPr>
        <w:ind w:left="2127" w:hanging="709"/>
        <w:rPr>
          <w:u w:val="single"/>
        </w:rPr>
      </w:pPr>
      <w:bookmarkStart w:id="12" w:name="_Ref274746277"/>
      <w:r>
        <w:t>“(l)</w:t>
      </w:r>
      <w:r>
        <w:tab/>
      </w:r>
      <w:r w:rsidRPr="008F0575">
        <w:t xml:space="preserve">a fee payable to an </w:t>
      </w:r>
      <w:r w:rsidRPr="008F0575">
        <w:rPr>
          <w:rStyle w:val="Emphasis-Bold"/>
        </w:rPr>
        <w:t>engineer</w:t>
      </w:r>
      <w:r w:rsidRPr="008F0575">
        <w:t xml:space="preserve"> for the purpose of meeting a requirement of clauses </w:t>
      </w:r>
      <w:r w:rsidR="00184191">
        <w:t xml:space="preserve"> 5.4.5(c) </w:t>
      </w:r>
      <w:r w:rsidRPr="008F0575">
        <w:t>or</w:t>
      </w:r>
      <w:r w:rsidR="00184191">
        <w:t xml:space="preserve"> 5.4.12(4)(c)</w:t>
      </w:r>
      <w:r w:rsidRPr="008F0575">
        <w:t xml:space="preserve">, subject to the requirement specified in subclause </w:t>
      </w:r>
      <w:r>
        <w:t>(3)</w:t>
      </w:r>
      <w:r w:rsidRPr="00A06261">
        <w:rPr>
          <w:strike/>
        </w:rPr>
        <w:t>.</w:t>
      </w:r>
      <w:bookmarkEnd w:id="12"/>
      <w:r w:rsidRPr="00A06261">
        <w:rPr>
          <w:u w:val="single"/>
        </w:rPr>
        <w:t>;</w:t>
      </w:r>
    </w:p>
    <w:p w:rsidR="006D4FAC" w:rsidRPr="00CE52E5" w:rsidRDefault="00A008C2" w:rsidP="00A06261">
      <w:pPr>
        <w:pStyle w:val="Para2"/>
        <w:numPr>
          <w:ilvl w:val="0"/>
          <w:numId w:val="0"/>
        </w:numPr>
        <w:ind w:left="2127" w:hanging="709"/>
      </w:pPr>
      <w:r w:rsidRPr="00CE52E5">
        <w:t>“</w:t>
      </w:r>
      <w:r w:rsidR="006D4FAC" w:rsidRPr="00CE52E5">
        <w:t>(m)</w:t>
      </w:r>
      <w:r w:rsidR="006D4FAC" w:rsidRPr="00CE52E5">
        <w:tab/>
        <w:t>an</w:t>
      </w:r>
      <w:r w:rsidR="003B725F" w:rsidRPr="00CE52E5">
        <w:t xml:space="preserve"> amount equal to </w:t>
      </w:r>
      <w:r w:rsidR="00E400BF" w:rsidRPr="00CE52E5">
        <w:t>an</w:t>
      </w:r>
      <w:r w:rsidR="006D4FAC" w:rsidRPr="00CE52E5">
        <w:t xml:space="preserve"> </w:t>
      </w:r>
      <w:r w:rsidR="006D4FAC" w:rsidRPr="00CE52E5">
        <w:rPr>
          <w:b/>
        </w:rPr>
        <w:t>energy efficiency and demand incentive allowance</w:t>
      </w:r>
      <w:r w:rsidR="006D4FAC" w:rsidRPr="00CE52E5">
        <w:t>;</w:t>
      </w:r>
    </w:p>
    <w:p w:rsidR="006D4FAC" w:rsidRPr="00CE52E5" w:rsidRDefault="00A008C2" w:rsidP="008F1CDC">
      <w:pPr>
        <w:pStyle w:val="Para2"/>
        <w:numPr>
          <w:ilvl w:val="0"/>
          <w:numId w:val="0"/>
        </w:numPr>
        <w:ind w:left="2127" w:hanging="709"/>
      </w:pPr>
      <w:r w:rsidRPr="00CE52E5">
        <w:t>“</w:t>
      </w:r>
      <w:r w:rsidR="006D4FAC" w:rsidRPr="00CE52E5">
        <w:t>(n)</w:t>
      </w:r>
      <w:r w:rsidR="006D4FAC" w:rsidRPr="00CE52E5">
        <w:tab/>
        <w:t>a</w:t>
      </w:r>
      <w:r w:rsidR="003B725F" w:rsidRPr="00CE52E5">
        <w:t xml:space="preserve">n amount equal to </w:t>
      </w:r>
      <w:r w:rsidR="00E400BF" w:rsidRPr="00CE52E5">
        <w:t>a</w:t>
      </w:r>
      <w:r w:rsidR="006D4FAC" w:rsidRPr="00CE52E5">
        <w:t xml:space="preserve"> </w:t>
      </w:r>
      <w:r w:rsidR="006D4FAC" w:rsidRPr="00CE52E5">
        <w:rPr>
          <w:b/>
        </w:rPr>
        <w:t>catastrophic event allowance</w:t>
      </w:r>
      <w:r w:rsidR="006D4FAC" w:rsidRPr="00CE52E5">
        <w:t xml:space="preserve">, as specified in a </w:t>
      </w:r>
      <w:r w:rsidR="006D4FAC" w:rsidRPr="00CE52E5">
        <w:rPr>
          <w:b/>
        </w:rPr>
        <w:t>DPP determination</w:t>
      </w:r>
      <w:r w:rsidR="006D4FAC" w:rsidRPr="00CE52E5">
        <w:t xml:space="preserve"> or </w:t>
      </w:r>
      <w:r w:rsidR="006D4FAC" w:rsidRPr="00CE52E5">
        <w:rPr>
          <w:b/>
        </w:rPr>
        <w:t>CPP determination</w:t>
      </w:r>
      <w:r w:rsidR="006D4FAC" w:rsidRPr="00CE52E5">
        <w:t>;</w:t>
      </w:r>
    </w:p>
    <w:p w:rsidR="006D4FAC" w:rsidRPr="00CE52E5" w:rsidRDefault="00A008C2" w:rsidP="008F1CDC">
      <w:pPr>
        <w:pStyle w:val="Para2"/>
        <w:numPr>
          <w:ilvl w:val="0"/>
          <w:numId w:val="0"/>
        </w:numPr>
        <w:ind w:left="2127" w:hanging="709"/>
      </w:pPr>
      <w:r w:rsidRPr="00CE52E5">
        <w:t>“</w:t>
      </w:r>
      <w:r w:rsidR="006D4FAC" w:rsidRPr="00CE52E5">
        <w:t>(o)</w:t>
      </w:r>
      <w:r w:rsidR="006D4FAC" w:rsidRPr="00CE52E5">
        <w:tab/>
      </w:r>
      <w:r w:rsidR="00A80C3E" w:rsidRPr="00CE52E5">
        <w:t>an</w:t>
      </w:r>
      <w:r w:rsidR="003B725F" w:rsidRPr="00CE52E5">
        <w:t xml:space="preserve"> amount equal to </w:t>
      </w:r>
      <w:r w:rsidR="00E400BF" w:rsidRPr="00CE52E5">
        <w:t>an</w:t>
      </w:r>
      <w:r w:rsidR="00A80C3E" w:rsidRPr="00CE52E5">
        <w:t xml:space="preserve"> </w:t>
      </w:r>
      <w:r w:rsidR="00A80C3E" w:rsidRPr="00CE52E5">
        <w:rPr>
          <w:b/>
        </w:rPr>
        <w:t>extended reserves allowance</w:t>
      </w:r>
      <w:r w:rsidR="006D4FAC" w:rsidRPr="00CE52E5">
        <w:t>, subject to the requirement</w:t>
      </w:r>
      <w:r w:rsidR="008D69E6" w:rsidRPr="00CE52E5">
        <w:t>s</w:t>
      </w:r>
      <w:r w:rsidR="006D4FAC" w:rsidRPr="00CE52E5">
        <w:t xml:space="preserve"> specified in subclause</w:t>
      </w:r>
      <w:r w:rsidR="008D69E6" w:rsidRPr="00CE52E5">
        <w:t>s</w:t>
      </w:r>
      <w:r w:rsidR="006D4FAC" w:rsidRPr="00CE52E5">
        <w:t xml:space="preserve"> (2)</w:t>
      </w:r>
      <w:r w:rsidR="008D69E6" w:rsidRPr="00CE52E5">
        <w:t xml:space="preserve"> and (7)</w:t>
      </w:r>
      <w:r w:rsidR="008F1CDC" w:rsidRPr="00CE52E5">
        <w:t>;</w:t>
      </w:r>
    </w:p>
    <w:p w:rsidR="006D4FAC" w:rsidRPr="00CE52E5" w:rsidRDefault="00A008C2" w:rsidP="008F1CDC">
      <w:pPr>
        <w:pStyle w:val="Para2"/>
        <w:numPr>
          <w:ilvl w:val="0"/>
          <w:numId w:val="0"/>
        </w:numPr>
        <w:ind w:left="2127" w:hanging="709"/>
      </w:pPr>
      <w:r w:rsidRPr="00CE52E5">
        <w:lastRenderedPageBreak/>
        <w:t>“</w:t>
      </w:r>
      <w:r w:rsidR="006D4FAC" w:rsidRPr="00CE52E5">
        <w:t>(p)</w:t>
      </w:r>
      <w:r w:rsidR="006D4FAC" w:rsidRPr="00CE52E5">
        <w:tab/>
        <w:t>a</w:t>
      </w:r>
      <w:r w:rsidR="003B725F" w:rsidRPr="00CE52E5">
        <w:t xml:space="preserve">n amount equal to </w:t>
      </w:r>
      <w:r w:rsidR="00E400BF" w:rsidRPr="00CE52E5">
        <w:t>a</w:t>
      </w:r>
      <w:r w:rsidR="006D4FAC" w:rsidRPr="00CE52E5">
        <w:t xml:space="preserve"> </w:t>
      </w:r>
      <w:r w:rsidR="006D4FAC" w:rsidRPr="00CE52E5">
        <w:rPr>
          <w:b/>
        </w:rPr>
        <w:t>quality incentive adjustment</w:t>
      </w:r>
      <w:r w:rsidR="006D4FAC" w:rsidRPr="00CE52E5">
        <w:t>;</w:t>
      </w:r>
    </w:p>
    <w:p w:rsidR="006D0F27" w:rsidRPr="00CE52E5" w:rsidRDefault="00A008C2" w:rsidP="006D0F27">
      <w:pPr>
        <w:pStyle w:val="Para2"/>
        <w:numPr>
          <w:ilvl w:val="0"/>
          <w:numId w:val="0"/>
        </w:numPr>
        <w:ind w:left="2138" w:hanging="720"/>
      </w:pPr>
      <w:r w:rsidRPr="00CE52E5">
        <w:t>“</w:t>
      </w:r>
      <w:r w:rsidR="006D4FAC" w:rsidRPr="00CE52E5">
        <w:t>(q)</w:t>
      </w:r>
      <w:r w:rsidR="006D4FAC" w:rsidRPr="00CE52E5">
        <w:tab/>
      </w:r>
      <w:r w:rsidR="006D0F27" w:rsidRPr="00CE52E5">
        <w:t xml:space="preserve">the amount calculated for a </w:t>
      </w:r>
      <w:r w:rsidR="006D0F27" w:rsidRPr="00CE52E5">
        <w:rPr>
          <w:b/>
        </w:rPr>
        <w:t>non-exempt EDB</w:t>
      </w:r>
      <w:r w:rsidR="006D0F27" w:rsidRPr="00CE52E5">
        <w:t xml:space="preserve"> in accordance with the following formula for a </w:t>
      </w:r>
      <w:r w:rsidR="006D0F27" w:rsidRPr="00CE52E5">
        <w:rPr>
          <w:b/>
        </w:rPr>
        <w:t>disclosure year</w:t>
      </w:r>
      <w:r w:rsidR="006D0F27" w:rsidRPr="00CE52E5">
        <w:t xml:space="preserve"> in a</w:t>
      </w:r>
      <w:r w:rsidR="006D0F27" w:rsidRPr="00CE52E5">
        <w:rPr>
          <w:b/>
        </w:rPr>
        <w:t xml:space="preserve"> </w:t>
      </w:r>
      <w:r w:rsidR="00352045" w:rsidRPr="00CE52E5">
        <w:rPr>
          <w:b/>
        </w:rPr>
        <w:t xml:space="preserve">DPP </w:t>
      </w:r>
      <w:r w:rsidR="006D0F27" w:rsidRPr="00CE52E5">
        <w:rPr>
          <w:b/>
        </w:rPr>
        <w:t>regulatory period</w:t>
      </w:r>
      <w:r w:rsidR="006D0F27" w:rsidRPr="00CE52E5">
        <w:t xml:space="preserve"> other than the first </w:t>
      </w:r>
      <w:r w:rsidR="006D0F27" w:rsidRPr="00CE52E5">
        <w:rPr>
          <w:b/>
        </w:rPr>
        <w:t>disclosure year</w:t>
      </w:r>
      <w:r w:rsidR="006D0F27" w:rsidRPr="00CE52E5">
        <w:t>–</w:t>
      </w:r>
    </w:p>
    <w:p w:rsidR="006D0F27" w:rsidRPr="00CE52E5" w:rsidRDefault="00FF2916" w:rsidP="006D0F27">
      <w:pPr>
        <w:pStyle w:val="Para2"/>
        <w:numPr>
          <w:ilvl w:val="0"/>
          <w:numId w:val="0"/>
        </w:numPr>
        <w:ind w:left="2138"/>
        <w:rPr>
          <w:sz w:val="22"/>
          <w:szCs w:val="22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capex wash˗up amount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l-1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 w:hAnsi="Cambria Math"/>
                  <w:color w:val="1F497D" w:themeColor="text2"/>
                  <w:sz w:val="22"/>
                  <w:szCs w:val="22"/>
                </w:rPr>
                <m:t>+0.5</m:t>
              </m:r>
            </m:sup>
          </m:sSup>
        </m:oMath>
      </m:oMathPara>
    </w:p>
    <w:p w:rsidR="006D0F27" w:rsidRPr="00CE52E5" w:rsidRDefault="006D0F27" w:rsidP="006D0F27">
      <w:pPr>
        <w:pStyle w:val="Para2"/>
        <w:numPr>
          <w:ilvl w:val="0"/>
          <w:numId w:val="0"/>
        </w:numPr>
        <w:ind w:left="2138"/>
      </w:pPr>
      <w:r w:rsidRPr="00CE52E5">
        <w:t>where–</w:t>
      </w:r>
    </w:p>
    <w:p w:rsidR="006D0F27" w:rsidRPr="00CE52E5" w:rsidRDefault="006D0F27" w:rsidP="006D0F27">
      <w:pPr>
        <w:pStyle w:val="Para2"/>
        <w:numPr>
          <w:ilvl w:val="0"/>
          <w:numId w:val="0"/>
        </w:numPr>
        <w:ind w:left="2835" w:hanging="708"/>
      </w:pPr>
      <w:r w:rsidRPr="00CE52E5">
        <w:rPr>
          <w:i/>
          <w:iCs/>
        </w:rPr>
        <w:t>l</w:t>
      </w:r>
      <w:r w:rsidRPr="00CE52E5">
        <w:tab/>
        <w:t xml:space="preserve">is the number of </w:t>
      </w:r>
      <w:r w:rsidRPr="00CE52E5">
        <w:rPr>
          <w:b/>
        </w:rPr>
        <w:t>disclosure years</w:t>
      </w:r>
      <w:r w:rsidRPr="00CE52E5">
        <w:t xml:space="preserve"> in the </w:t>
      </w:r>
      <w:r w:rsidR="009658DA" w:rsidRPr="00CE52E5">
        <w:rPr>
          <w:b/>
        </w:rPr>
        <w:t xml:space="preserve">DPP </w:t>
      </w:r>
      <w:r w:rsidRPr="00CE52E5">
        <w:rPr>
          <w:b/>
        </w:rPr>
        <w:t>regulatory period</w:t>
      </w:r>
      <w:r w:rsidRPr="00CE52E5">
        <w:t>;</w:t>
      </w:r>
    </w:p>
    <w:p w:rsidR="006D0F27" w:rsidRPr="00CE52E5" w:rsidRDefault="006D0F27" w:rsidP="006D0F27">
      <w:pPr>
        <w:pStyle w:val="Para2"/>
        <w:numPr>
          <w:ilvl w:val="0"/>
          <w:numId w:val="0"/>
        </w:numPr>
        <w:ind w:left="2835" w:hanging="708"/>
      </w:pPr>
      <w:r w:rsidRPr="00CE52E5">
        <w:rPr>
          <w:i/>
          <w:iCs/>
        </w:rPr>
        <w:t>r</w:t>
      </w:r>
      <w:r w:rsidRPr="00CE52E5">
        <w:tab/>
        <w:t xml:space="preserve">is the </w:t>
      </w:r>
      <w:r w:rsidRPr="00CE52E5">
        <w:rPr>
          <w:b/>
        </w:rPr>
        <w:t>cost of debt</w:t>
      </w:r>
      <w:r w:rsidRPr="00CE52E5">
        <w:t xml:space="preserve"> applying to the </w:t>
      </w:r>
      <w:r w:rsidR="009658DA" w:rsidRPr="00CE52E5">
        <w:rPr>
          <w:b/>
        </w:rPr>
        <w:t xml:space="preserve">DPP </w:t>
      </w:r>
      <w:r w:rsidRPr="00CE52E5">
        <w:rPr>
          <w:b/>
        </w:rPr>
        <w:t>regulatory period</w:t>
      </w:r>
      <w:r w:rsidRPr="00CE52E5">
        <w:t>; and</w:t>
      </w:r>
    </w:p>
    <w:p w:rsidR="00CB072C" w:rsidRPr="00CE52E5" w:rsidRDefault="006D0F27" w:rsidP="006D0F27">
      <w:pPr>
        <w:pStyle w:val="Para2"/>
        <w:numPr>
          <w:ilvl w:val="0"/>
          <w:numId w:val="0"/>
        </w:numPr>
        <w:ind w:left="2835" w:hanging="708"/>
      </w:pPr>
      <w:r w:rsidRPr="00CE52E5">
        <w:t>y</w:t>
      </w:r>
      <w:r w:rsidRPr="00CE52E5">
        <w:tab/>
        <w:t xml:space="preserve">is the number of </w:t>
      </w:r>
      <w:r w:rsidRPr="00CE52E5">
        <w:rPr>
          <w:b/>
        </w:rPr>
        <w:t>disclosure years</w:t>
      </w:r>
      <w:r w:rsidRPr="00CE52E5">
        <w:t xml:space="preserve"> preceding the </w:t>
      </w:r>
      <w:r w:rsidRPr="00CE52E5">
        <w:rPr>
          <w:b/>
        </w:rPr>
        <w:t>disclosure year</w:t>
      </w:r>
      <w:r w:rsidRPr="00CE52E5">
        <w:t xml:space="preserve"> in question in the </w:t>
      </w:r>
      <w:r w:rsidR="009658DA" w:rsidRPr="00CE52E5">
        <w:rPr>
          <w:b/>
        </w:rPr>
        <w:t xml:space="preserve">DPP </w:t>
      </w:r>
      <w:r w:rsidRPr="00CE52E5">
        <w:rPr>
          <w:b/>
        </w:rPr>
        <w:t>regulatory period</w:t>
      </w:r>
      <w:r w:rsidR="00342AFA" w:rsidRPr="00CE52E5">
        <w:t>;</w:t>
      </w:r>
    </w:p>
    <w:p w:rsidR="0096417F" w:rsidRPr="00CE52E5" w:rsidRDefault="00A008C2" w:rsidP="0096417F">
      <w:pPr>
        <w:pStyle w:val="Para2"/>
        <w:numPr>
          <w:ilvl w:val="0"/>
          <w:numId w:val="0"/>
        </w:numPr>
        <w:ind w:left="2138" w:hanging="720"/>
      </w:pPr>
      <w:r w:rsidRPr="00CE52E5">
        <w:t>“</w:t>
      </w:r>
      <w:r w:rsidR="006D4FAC" w:rsidRPr="00CE52E5">
        <w:t>(r)</w:t>
      </w:r>
      <w:r w:rsidR="006D4FAC" w:rsidRPr="00CE52E5">
        <w:tab/>
        <w:t>a</w:t>
      </w:r>
      <w:r w:rsidR="006F102A" w:rsidRPr="00CE52E5">
        <w:t>n</w:t>
      </w:r>
      <w:r w:rsidR="006D4FAC" w:rsidRPr="00CE52E5">
        <w:t xml:space="preserve"> amount </w:t>
      </w:r>
      <w:r w:rsidR="0096417F" w:rsidRPr="00CE52E5">
        <w:t xml:space="preserve">calculated for a </w:t>
      </w:r>
      <w:r w:rsidR="0096417F" w:rsidRPr="00CE52E5">
        <w:rPr>
          <w:b/>
        </w:rPr>
        <w:t>non-exempt EDB</w:t>
      </w:r>
      <w:r w:rsidR="0096417F" w:rsidRPr="00CE52E5">
        <w:t xml:space="preserve"> if</w:t>
      </w:r>
      <w:r w:rsidR="006D4FAC" w:rsidRPr="00CE52E5">
        <w:t xml:space="preserve"> the acquisition of the transmission asset is not completed prior to the commencement of </w:t>
      </w:r>
      <w:r w:rsidR="0096417F" w:rsidRPr="00CE52E5">
        <w:t xml:space="preserve">a </w:t>
      </w:r>
      <w:r w:rsidR="006D4FAC" w:rsidRPr="00CE52E5">
        <w:rPr>
          <w:b/>
        </w:rPr>
        <w:t>regulatory period</w:t>
      </w:r>
      <w:r w:rsidR="006D4FAC" w:rsidRPr="00CE52E5">
        <w:t xml:space="preserve"> in accordance with the terms of any contract setting out the terms and condition of sale</w:t>
      </w:r>
      <w:r w:rsidR="0096417F" w:rsidRPr="00CE52E5">
        <w:t xml:space="preserve">, in accordance with the following formula for a </w:t>
      </w:r>
      <w:r w:rsidR="0096417F" w:rsidRPr="00CE52E5">
        <w:rPr>
          <w:b/>
        </w:rPr>
        <w:t>disclosure year</w:t>
      </w:r>
      <w:r w:rsidR="0096417F" w:rsidRPr="00CE52E5">
        <w:t xml:space="preserve"> in a</w:t>
      </w:r>
      <w:r w:rsidR="0096417F" w:rsidRPr="00CE52E5">
        <w:rPr>
          <w:b/>
        </w:rPr>
        <w:t xml:space="preserve"> regulatory period</w:t>
      </w:r>
      <w:r w:rsidR="0096417F" w:rsidRPr="00CE52E5">
        <w:t xml:space="preserve"> other than the first </w:t>
      </w:r>
      <w:r w:rsidR="0096417F" w:rsidRPr="00CE52E5">
        <w:rPr>
          <w:b/>
        </w:rPr>
        <w:t>disclosure year</w:t>
      </w:r>
      <w:r w:rsidR="0096417F" w:rsidRPr="00CE52E5">
        <w:t>–</w:t>
      </w:r>
    </w:p>
    <w:p w:rsidR="0096417F" w:rsidRPr="00CE52E5" w:rsidRDefault="00FF2916" w:rsidP="0096417F">
      <w:pPr>
        <w:pStyle w:val="Para2"/>
        <w:numPr>
          <w:ilvl w:val="0"/>
          <w:numId w:val="0"/>
        </w:numPr>
        <w:ind w:left="2138"/>
        <w:rPr>
          <w:sz w:val="22"/>
          <w:szCs w:val="22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transmission asset wash˗up adjustment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l-1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 w:hAnsi="Cambria Math"/>
                  <w:color w:val="1F497D" w:themeColor="text2"/>
                  <w:sz w:val="22"/>
                  <w:szCs w:val="22"/>
                </w:rPr>
                <m:t>+0.5</m:t>
              </m:r>
            </m:sup>
          </m:sSup>
        </m:oMath>
      </m:oMathPara>
    </w:p>
    <w:p w:rsidR="0096417F" w:rsidRPr="00CE52E5" w:rsidRDefault="0096417F" w:rsidP="0096417F">
      <w:pPr>
        <w:pStyle w:val="Para2"/>
        <w:numPr>
          <w:ilvl w:val="0"/>
          <w:numId w:val="0"/>
        </w:numPr>
        <w:ind w:left="2138"/>
      </w:pPr>
      <w:r w:rsidRPr="00CE52E5">
        <w:t>where–</w:t>
      </w:r>
    </w:p>
    <w:p w:rsidR="0096417F" w:rsidRPr="00CE52E5" w:rsidRDefault="0096417F" w:rsidP="0096417F">
      <w:pPr>
        <w:pStyle w:val="Para2"/>
        <w:numPr>
          <w:ilvl w:val="0"/>
          <w:numId w:val="0"/>
        </w:numPr>
        <w:ind w:left="2835" w:hanging="708"/>
      </w:pPr>
      <w:r w:rsidRPr="00CE52E5">
        <w:rPr>
          <w:i/>
          <w:iCs/>
        </w:rPr>
        <w:t>l</w:t>
      </w:r>
      <w:r w:rsidRPr="00CE52E5">
        <w:tab/>
        <w:t xml:space="preserve">is the number of </w:t>
      </w:r>
      <w:r w:rsidRPr="00CE52E5">
        <w:rPr>
          <w:b/>
        </w:rPr>
        <w:t>disclosure years</w:t>
      </w:r>
      <w:r w:rsidRPr="00CE52E5">
        <w:t xml:space="preserve"> in the </w:t>
      </w:r>
      <w:r w:rsidRPr="00CE52E5">
        <w:rPr>
          <w:b/>
        </w:rPr>
        <w:t>regulatory period</w:t>
      </w:r>
      <w:r w:rsidRPr="00CE52E5">
        <w:t>;</w:t>
      </w:r>
    </w:p>
    <w:p w:rsidR="0096417F" w:rsidRPr="00CE52E5" w:rsidRDefault="0096417F" w:rsidP="0096417F">
      <w:pPr>
        <w:pStyle w:val="Para2"/>
        <w:numPr>
          <w:ilvl w:val="0"/>
          <w:numId w:val="0"/>
        </w:numPr>
        <w:ind w:left="2835" w:hanging="708"/>
      </w:pPr>
      <w:r w:rsidRPr="00CE52E5">
        <w:rPr>
          <w:i/>
          <w:iCs/>
        </w:rPr>
        <w:t>r</w:t>
      </w:r>
      <w:r w:rsidRPr="00CE52E5">
        <w:tab/>
        <w:t xml:space="preserve">is the </w:t>
      </w:r>
      <w:r w:rsidRPr="00CE52E5">
        <w:rPr>
          <w:b/>
        </w:rPr>
        <w:t>cost of debt</w:t>
      </w:r>
      <w:r w:rsidRPr="00CE52E5">
        <w:t xml:space="preserve"> applying to the </w:t>
      </w:r>
      <w:r w:rsidRPr="00CE52E5">
        <w:rPr>
          <w:b/>
        </w:rPr>
        <w:t>regulatory period</w:t>
      </w:r>
      <w:r w:rsidRPr="00CE52E5">
        <w:t>; and</w:t>
      </w:r>
    </w:p>
    <w:p w:rsidR="006D4FAC" w:rsidRPr="00CE52E5" w:rsidRDefault="0096417F" w:rsidP="00DE2A8A">
      <w:pPr>
        <w:pStyle w:val="Para2"/>
        <w:numPr>
          <w:ilvl w:val="0"/>
          <w:numId w:val="0"/>
        </w:numPr>
        <w:ind w:left="2835" w:hanging="708"/>
      </w:pPr>
      <w:r w:rsidRPr="00CE52E5">
        <w:t>y</w:t>
      </w:r>
      <w:r w:rsidRPr="00CE52E5">
        <w:tab/>
        <w:t xml:space="preserve">is the number of </w:t>
      </w:r>
      <w:r w:rsidRPr="00CE52E5">
        <w:rPr>
          <w:b/>
        </w:rPr>
        <w:t>disclosure years</w:t>
      </w:r>
      <w:r w:rsidRPr="00CE52E5">
        <w:t xml:space="preserve"> preceding the </w:t>
      </w:r>
      <w:r w:rsidRPr="00CE52E5">
        <w:rPr>
          <w:b/>
        </w:rPr>
        <w:t>disclosure year</w:t>
      </w:r>
      <w:r w:rsidRPr="00CE52E5">
        <w:t xml:space="preserve"> in question in the </w:t>
      </w:r>
      <w:r w:rsidRPr="00CE52E5">
        <w:rPr>
          <w:b/>
        </w:rPr>
        <w:t>regulatory period</w:t>
      </w:r>
      <w:r w:rsidRPr="00CE52E5">
        <w:t>;</w:t>
      </w:r>
    </w:p>
    <w:p w:rsidR="008F1CDC" w:rsidRPr="00CE52E5" w:rsidRDefault="00A008C2" w:rsidP="008F1CDC">
      <w:pPr>
        <w:pStyle w:val="Para2"/>
        <w:numPr>
          <w:ilvl w:val="0"/>
          <w:numId w:val="0"/>
        </w:numPr>
        <w:ind w:left="2127" w:hanging="709"/>
        <w:rPr>
          <w:bCs/>
        </w:rPr>
      </w:pPr>
      <w:r w:rsidRPr="00CE52E5">
        <w:t>“</w:t>
      </w:r>
      <w:r w:rsidR="008F1CDC" w:rsidRPr="00CE52E5">
        <w:t>(s)</w:t>
      </w:r>
      <w:r w:rsidR="008F1CDC" w:rsidRPr="00CE52E5">
        <w:tab/>
        <w:t xml:space="preserve">an amount equal to the </w:t>
      </w:r>
      <w:r w:rsidR="008F1CDC" w:rsidRPr="00CE52E5">
        <w:rPr>
          <w:b/>
          <w:bCs/>
        </w:rPr>
        <w:t>2013-15 NPV wash-up</w:t>
      </w:r>
      <w:r w:rsidR="008F1CDC" w:rsidRPr="00CE52E5">
        <w:rPr>
          <w:b/>
        </w:rPr>
        <w:t xml:space="preserve"> </w:t>
      </w:r>
      <w:r w:rsidR="008F1CDC" w:rsidRPr="00CE52E5">
        <w:rPr>
          <w:b/>
          <w:bCs/>
        </w:rPr>
        <w:t>allowance</w:t>
      </w:r>
      <w:r w:rsidR="003B1B9B" w:rsidRPr="00CE52E5">
        <w:rPr>
          <w:bCs/>
        </w:rPr>
        <w:t xml:space="preserve">; </w:t>
      </w:r>
      <w:r w:rsidR="003B0B55" w:rsidRPr="00CE52E5">
        <w:rPr>
          <w:bCs/>
        </w:rPr>
        <w:t>or</w:t>
      </w:r>
      <w:r w:rsidR="00C13212" w:rsidRPr="00CE52E5">
        <w:rPr>
          <w:bCs/>
        </w:rPr>
        <w:t>”</w:t>
      </w:r>
    </w:p>
    <w:p w:rsidR="003B1B9B" w:rsidRPr="00CE52E5" w:rsidRDefault="003B1B9B" w:rsidP="008F1CDC">
      <w:pPr>
        <w:pStyle w:val="Para2"/>
        <w:numPr>
          <w:ilvl w:val="0"/>
          <w:numId w:val="0"/>
        </w:numPr>
        <w:ind w:left="2127" w:hanging="709"/>
        <w:rPr>
          <w:bCs/>
        </w:rPr>
      </w:pPr>
      <w:r w:rsidRPr="00CE52E5">
        <w:t>“(t)</w:t>
      </w:r>
      <w:r w:rsidRPr="00CE52E5">
        <w:tab/>
      </w:r>
      <w:r w:rsidR="003B725F" w:rsidRPr="00CE52E5">
        <w:t xml:space="preserve">an amount equal to </w:t>
      </w:r>
      <w:r w:rsidR="00E400BF" w:rsidRPr="00CE52E5">
        <w:t>a</w:t>
      </w:r>
      <w:r w:rsidRPr="00CE52E5">
        <w:t xml:space="preserve"> </w:t>
      </w:r>
      <w:r w:rsidRPr="00CE52E5">
        <w:rPr>
          <w:b/>
          <w:bCs/>
        </w:rPr>
        <w:t xml:space="preserve">reconsideration </w:t>
      </w:r>
      <w:r w:rsidR="00D22A41" w:rsidRPr="00CE52E5">
        <w:rPr>
          <w:b/>
          <w:bCs/>
        </w:rPr>
        <w:t xml:space="preserve">event </w:t>
      </w:r>
      <w:r w:rsidRPr="00CE52E5">
        <w:rPr>
          <w:b/>
          <w:bCs/>
        </w:rPr>
        <w:t>allowance</w:t>
      </w:r>
      <w:r w:rsidRPr="00CE52E5">
        <w:t xml:space="preserve">, as specified in a </w:t>
      </w:r>
      <w:r w:rsidRPr="00CE52E5">
        <w:rPr>
          <w:b/>
          <w:bCs/>
        </w:rPr>
        <w:t xml:space="preserve">DPP determination </w:t>
      </w:r>
      <w:r w:rsidRPr="00CE52E5">
        <w:t xml:space="preserve">or </w:t>
      </w:r>
      <w:r w:rsidRPr="00CE52E5">
        <w:rPr>
          <w:b/>
          <w:bCs/>
        </w:rPr>
        <w:t>CPP determination</w:t>
      </w:r>
      <w:r w:rsidRPr="00CE52E5">
        <w:t>.”.</w:t>
      </w:r>
    </w:p>
    <w:p w:rsidR="006B6A68" w:rsidRPr="00355898" w:rsidRDefault="006B6A68" w:rsidP="008D69E6">
      <w:pPr>
        <w:pStyle w:val="Para2"/>
        <w:tabs>
          <w:tab w:val="clear" w:pos="1418"/>
        </w:tabs>
        <w:ind w:left="709"/>
        <w:rPr>
          <w:color w:val="1F497D" w:themeColor="text2"/>
          <w:u w:val="single"/>
        </w:rPr>
      </w:pPr>
      <w:r w:rsidRPr="00355898">
        <w:rPr>
          <w:color w:val="1F497D" w:themeColor="text2"/>
          <w:u w:val="single"/>
        </w:rPr>
        <w:t xml:space="preserve">In the </w:t>
      </w:r>
      <w:r w:rsidRPr="00355898">
        <w:rPr>
          <w:b/>
          <w:color w:val="1F497D" w:themeColor="text2"/>
          <w:u w:val="single"/>
        </w:rPr>
        <w:t>EDB IM Determination</w:t>
      </w:r>
      <w:r w:rsidRPr="00355898">
        <w:rPr>
          <w:color w:val="1F497D" w:themeColor="text2"/>
          <w:u w:val="single"/>
        </w:rPr>
        <w:t xml:space="preserve"> amend clause 3.1.3(2) as follows: </w:t>
      </w:r>
    </w:p>
    <w:p w:rsidR="006B6A68" w:rsidRPr="00355898" w:rsidRDefault="006B6A68" w:rsidP="006B6A68">
      <w:pPr>
        <w:pStyle w:val="Para2"/>
        <w:numPr>
          <w:ilvl w:val="0"/>
          <w:numId w:val="0"/>
        </w:numPr>
        <w:ind w:left="709"/>
        <w:rPr>
          <w:color w:val="1F497D" w:themeColor="text2"/>
          <w:u w:val="single"/>
        </w:rPr>
      </w:pPr>
      <w:r w:rsidRPr="00355898">
        <w:rPr>
          <w:color w:val="1F497D" w:themeColor="text2"/>
          <w:u w:val="single"/>
        </w:rPr>
        <w:t xml:space="preserve">The requirement of this subclause is that in respect of a particular </w:t>
      </w:r>
      <w:r w:rsidRPr="00355898">
        <w:rPr>
          <w:b/>
          <w:color w:val="1F497D" w:themeColor="text2"/>
          <w:u w:val="single"/>
        </w:rPr>
        <w:t>EDB</w:t>
      </w:r>
      <w:r w:rsidRPr="00355898">
        <w:rPr>
          <w:color w:val="1F497D" w:themeColor="text2"/>
          <w:u w:val="single"/>
        </w:rPr>
        <w:t xml:space="preserve">, the </w:t>
      </w:r>
      <w:r w:rsidRPr="00355898">
        <w:rPr>
          <w:b/>
          <w:color w:val="1F497D" w:themeColor="text2"/>
          <w:u w:val="single"/>
        </w:rPr>
        <w:t>Commission's</w:t>
      </w:r>
      <w:r w:rsidRPr="00355898">
        <w:rPr>
          <w:color w:val="1F497D" w:themeColor="text2"/>
          <w:u w:val="single"/>
        </w:rPr>
        <w:t xml:space="preserve"> approval for the amount of cost must be obtained in accordance with any process relating to the type of cost in question specified in a </w:t>
      </w:r>
      <w:r w:rsidRPr="00355898">
        <w:rPr>
          <w:b/>
          <w:color w:val="1F497D" w:themeColor="text2"/>
          <w:u w:val="single"/>
        </w:rPr>
        <w:t>DPP determination</w:t>
      </w:r>
      <w:r w:rsidRPr="00355898">
        <w:rPr>
          <w:color w:val="1F497D" w:themeColor="text2"/>
          <w:u w:val="single"/>
        </w:rPr>
        <w:t xml:space="preserve"> or </w:t>
      </w:r>
      <w:r w:rsidRPr="00355898">
        <w:rPr>
          <w:b/>
          <w:color w:val="1F497D" w:themeColor="text2"/>
          <w:u w:val="single"/>
        </w:rPr>
        <w:t>CPP determination</w:t>
      </w:r>
      <w:r w:rsidRPr="00355898">
        <w:rPr>
          <w:color w:val="1F497D" w:themeColor="text2"/>
          <w:u w:val="single"/>
        </w:rPr>
        <w:t xml:space="preserve">. </w:t>
      </w:r>
    </w:p>
    <w:p w:rsidR="008D69E6" w:rsidRPr="00FF2916" w:rsidRDefault="008D69E6" w:rsidP="008D69E6">
      <w:pPr>
        <w:pStyle w:val="Para2"/>
        <w:tabs>
          <w:tab w:val="clear" w:pos="1418"/>
        </w:tabs>
        <w:ind w:left="709"/>
        <w:rPr>
          <w:strike/>
          <w:color w:val="1F497D" w:themeColor="text2"/>
        </w:rPr>
      </w:pPr>
      <w:r w:rsidRPr="00FF2916">
        <w:rPr>
          <w:strike/>
          <w:color w:val="1F497D" w:themeColor="text2"/>
        </w:rPr>
        <w:t xml:space="preserve">In the </w:t>
      </w:r>
      <w:r w:rsidRPr="00FF2916">
        <w:rPr>
          <w:b/>
          <w:strike/>
          <w:color w:val="1F497D" w:themeColor="text2"/>
        </w:rPr>
        <w:t>EDB IM Determination</w:t>
      </w:r>
      <w:r w:rsidRPr="00FF2916">
        <w:rPr>
          <w:strike/>
          <w:color w:val="1F497D" w:themeColor="text2"/>
        </w:rPr>
        <w:t xml:space="preserve"> add a new clause 3.1.3(7) as follows:</w:t>
      </w:r>
    </w:p>
    <w:p w:rsidR="008D69E6" w:rsidRPr="00FF2916" w:rsidRDefault="008D69E6" w:rsidP="008D69E6">
      <w:pPr>
        <w:pStyle w:val="BodyText"/>
        <w:ind w:left="1418" w:hanging="709"/>
        <w:rPr>
          <w:strike/>
          <w:color w:val="1F497D" w:themeColor="text2"/>
          <w:u w:val="single"/>
        </w:rPr>
      </w:pPr>
      <w:r w:rsidRPr="00FF2916">
        <w:rPr>
          <w:strike/>
          <w:color w:val="1F497D" w:themeColor="text2"/>
        </w:rPr>
        <w:lastRenderedPageBreak/>
        <w:t>“(7)</w:t>
      </w:r>
      <w:r w:rsidRPr="00FF2916">
        <w:rPr>
          <w:strike/>
          <w:color w:val="1F497D" w:themeColor="text2"/>
        </w:rPr>
        <w:tab/>
        <w:t xml:space="preserve">For the purpose of </w:t>
      </w:r>
      <w:r w:rsidR="005368D7" w:rsidRPr="00FF2916">
        <w:rPr>
          <w:strike/>
          <w:color w:val="1F497D" w:themeColor="text2"/>
        </w:rPr>
        <w:t>giving approval under subclause (2) in respect of an</w:t>
      </w:r>
      <w:r w:rsidRPr="00FF2916">
        <w:rPr>
          <w:strike/>
          <w:color w:val="1F497D" w:themeColor="text2"/>
        </w:rPr>
        <w:t xml:space="preserve"> </w:t>
      </w:r>
      <w:r w:rsidRPr="00FF2916">
        <w:rPr>
          <w:b/>
          <w:strike/>
          <w:color w:val="1F497D" w:themeColor="text2"/>
        </w:rPr>
        <w:t>extended reserves allowance</w:t>
      </w:r>
      <w:r w:rsidRPr="00FF2916">
        <w:rPr>
          <w:strike/>
          <w:color w:val="1F497D" w:themeColor="text2"/>
        </w:rPr>
        <w:t xml:space="preserve">, the </w:t>
      </w:r>
      <w:r w:rsidRPr="00FF2916">
        <w:rPr>
          <w:b/>
          <w:strike/>
          <w:color w:val="1F497D" w:themeColor="text2"/>
        </w:rPr>
        <w:t>Commission</w:t>
      </w:r>
      <w:r w:rsidRPr="00FF2916">
        <w:rPr>
          <w:strike/>
          <w:color w:val="1F497D" w:themeColor="text2"/>
        </w:rPr>
        <w:t xml:space="preserve"> will have regard to any policy intent stated by the Electricity Authority </w:t>
      </w:r>
      <w:r w:rsidR="005368D7" w:rsidRPr="00FF2916">
        <w:rPr>
          <w:strike/>
          <w:color w:val="1F497D" w:themeColor="text2"/>
        </w:rPr>
        <w:t>as to whether</w:t>
      </w:r>
      <w:r w:rsidRPr="00FF2916">
        <w:rPr>
          <w:strike/>
          <w:color w:val="1F497D" w:themeColor="text2"/>
        </w:rPr>
        <w:t>–</w:t>
      </w:r>
    </w:p>
    <w:p w:rsidR="008D69E6" w:rsidRPr="00FF2916" w:rsidRDefault="008D69E6" w:rsidP="006E0BDF">
      <w:pPr>
        <w:pStyle w:val="BodyText"/>
        <w:ind w:left="2127" w:hanging="713"/>
        <w:rPr>
          <w:strike/>
          <w:color w:val="1F497D" w:themeColor="text2"/>
        </w:rPr>
      </w:pPr>
      <w:r w:rsidRPr="00FF2916">
        <w:rPr>
          <w:strike/>
          <w:color w:val="1F497D" w:themeColor="text2"/>
        </w:rPr>
        <w:t xml:space="preserve"> “(a)</w:t>
      </w:r>
      <w:r w:rsidRPr="00FF2916">
        <w:rPr>
          <w:strike/>
          <w:color w:val="1F497D" w:themeColor="text2"/>
        </w:rPr>
        <w:tab/>
        <w:t xml:space="preserve">some or all compensation payments </w:t>
      </w:r>
      <w:r w:rsidR="003B5858" w:rsidRPr="00FF2916">
        <w:rPr>
          <w:strike/>
          <w:color w:val="1F497D" w:themeColor="text2"/>
        </w:rPr>
        <w:t xml:space="preserve">to be </w:t>
      </w:r>
      <w:r w:rsidR="00C00BDE" w:rsidRPr="00FF2916">
        <w:rPr>
          <w:strike/>
          <w:color w:val="1F497D" w:themeColor="text2"/>
        </w:rPr>
        <w:t>made by</w:t>
      </w:r>
      <w:r w:rsidRPr="00FF2916">
        <w:rPr>
          <w:strike/>
          <w:color w:val="1F497D" w:themeColor="text2"/>
        </w:rPr>
        <w:t xml:space="preserve"> an </w:t>
      </w:r>
      <w:r w:rsidRPr="00FF2916">
        <w:rPr>
          <w:b/>
          <w:strike/>
          <w:color w:val="1F497D" w:themeColor="text2"/>
        </w:rPr>
        <w:t>EDB</w:t>
      </w:r>
      <w:r w:rsidRPr="00FF2916">
        <w:rPr>
          <w:strike/>
          <w:color w:val="1F497D" w:themeColor="text2"/>
        </w:rPr>
        <w:t xml:space="preserve"> </w:t>
      </w:r>
      <w:r w:rsidR="005368D7" w:rsidRPr="00FF2916">
        <w:rPr>
          <w:strike/>
          <w:color w:val="1F497D" w:themeColor="text2"/>
        </w:rPr>
        <w:t xml:space="preserve">under the extended reserves regime </w:t>
      </w:r>
      <w:r w:rsidR="003B5858" w:rsidRPr="00FF2916">
        <w:rPr>
          <w:strike/>
          <w:color w:val="1F497D" w:themeColor="text2"/>
        </w:rPr>
        <w:t>would</w:t>
      </w:r>
      <w:r w:rsidR="005368D7" w:rsidRPr="00FF2916">
        <w:rPr>
          <w:strike/>
          <w:color w:val="1F497D" w:themeColor="text2"/>
        </w:rPr>
        <w:t xml:space="preserve"> be</w:t>
      </w:r>
      <w:r w:rsidRPr="00FF2916">
        <w:rPr>
          <w:strike/>
          <w:color w:val="1F497D" w:themeColor="text2"/>
        </w:rPr>
        <w:t xml:space="preserve"> </w:t>
      </w:r>
      <w:r w:rsidR="005368D7" w:rsidRPr="00FF2916">
        <w:rPr>
          <w:strike/>
          <w:color w:val="1F497D" w:themeColor="text2"/>
        </w:rPr>
        <w:t xml:space="preserve">expected </w:t>
      </w:r>
      <w:r w:rsidR="003B5858" w:rsidRPr="00FF2916">
        <w:rPr>
          <w:strike/>
          <w:color w:val="1F497D" w:themeColor="text2"/>
        </w:rPr>
        <w:t>to constitute</w:t>
      </w:r>
      <w:r w:rsidRPr="00FF2916">
        <w:rPr>
          <w:strike/>
          <w:color w:val="1F497D" w:themeColor="text2"/>
        </w:rPr>
        <w:t xml:space="preserve"> negative </w:t>
      </w:r>
      <w:r w:rsidRPr="00FF2916">
        <w:rPr>
          <w:b/>
          <w:strike/>
          <w:color w:val="1F497D" w:themeColor="text2"/>
        </w:rPr>
        <w:t>recoverable costs</w:t>
      </w:r>
      <w:r w:rsidRPr="00FF2916">
        <w:rPr>
          <w:strike/>
          <w:color w:val="1F497D" w:themeColor="text2"/>
        </w:rPr>
        <w:t xml:space="preserve"> and </w:t>
      </w:r>
      <w:r w:rsidR="005368D7" w:rsidRPr="00FF2916">
        <w:rPr>
          <w:strike/>
          <w:color w:val="1F497D" w:themeColor="text2"/>
        </w:rPr>
        <w:t xml:space="preserve">be passed-through to </w:t>
      </w:r>
      <w:r w:rsidR="005368D7" w:rsidRPr="00FF2916">
        <w:rPr>
          <w:b/>
          <w:strike/>
          <w:color w:val="1F497D" w:themeColor="text2"/>
        </w:rPr>
        <w:t>c</w:t>
      </w:r>
      <w:r w:rsidRPr="00FF2916">
        <w:rPr>
          <w:b/>
          <w:strike/>
          <w:color w:val="1F497D" w:themeColor="text2"/>
        </w:rPr>
        <w:t>onsumers</w:t>
      </w:r>
      <w:r w:rsidRPr="00FF2916">
        <w:rPr>
          <w:strike/>
          <w:color w:val="1F497D" w:themeColor="text2"/>
        </w:rPr>
        <w:t xml:space="preserve"> via corres</w:t>
      </w:r>
      <w:r w:rsidR="005368D7" w:rsidRPr="00FF2916">
        <w:rPr>
          <w:strike/>
          <w:color w:val="1F497D" w:themeColor="text2"/>
        </w:rPr>
        <w:t>ponding reduction</w:t>
      </w:r>
      <w:r w:rsidR="003B5858" w:rsidRPr="00FF2916">
        <w:rPr>
          <w:strike/>
          <w:color w:val="1F497D" w:themeColor="text2"/>
        </w:rPr>
        <w:t>s</w:t>
      </w:r>
      <w:r w:rsidR="005368D7" w:rsidRPr="00FF2916">
        <w:rPr>
          <w:strike/>
          <w:color w:val="1F497D" w:themeColor="text2"/>
        </w:rPr>
        <w:t xml:space="preserve"> in </w:t>
      </w:r>
      <w:r w:rsidR="005368D7" w:rsidRPr="00FF2916">
        <w:rPr>
          <w:b/>
          <w:strike/>
          <w:color w:val="1F497D" w:themeColor="text2"/>
        </w:rPr>
        <w:t>p</w:t>
      </w:r>
      <w:r w:rsidRPr="00FF2916">
        <w:rPr>
          <w:b/>
          <w:strike/>
          <w:color w:val="1F497D" w:themeColor="text2"/>
        </w:rPr>
        <w:t>rices</w:t>
      </w:r>
      <w:r w:rsidRPr="00FF2916">
        <w:rPr>
          <w:strike/>
          <w:color w:val="1F497D" w:themeColor="text2"/>
        </w:rPr>
        <w:t>; and</w:t>
      </w:r>
    </w:p>
    <w:p w:rsidR="008D69E6" w:rsidRPr="00FF2916" w:rsidRDefault="008D69E6" w:rsidP="006E0BDF">
      <w:pPr>
        <w:pStyle w:val="BodyText"/>
        <w:ind w:left="2127" w:hanging="713"/>
        <w:rPr>
          <w:strike/>
          <w:color w:val="1F497D" w:themeColor="text2"/>
        </w:rPr>
      </w:pPr>
      <w:r w:rsidRPr="00FF2916">
        <w:rPr>
          <w:strike/>
          <w:color w:val="1F497D" w:themeColor="text2"/>
        </w:rPr>
        <w:t>“(b)</w:t>
      </w:r>
      <w:r w:rsidRPr="00FF2916">
        <w:rPr>
          <w:strike/>
          <w:color w:val="1F497D" w:themeColor="text2"/>
        </w:rPr>
        <w:tab/>
        <w:t xml:space="preserve">revenues that an </w:t>
      </w:r>
      <w:r w:rsidRPr="00FF2916">
        <w:rPr>
          <w:b/>
          <w:strike/>
          <w:color w:val="1F497D" w:themeColor="text2"/>
        </w:rPr>
        <w:t>EDB</w:t>
      </w:r>
      <w:r w:rsidRPr="00FF2916">
        <w:rPr>
          <w:strike/>
          <w:color w:val="1F497D" w:themeColor="text2"/>
        </w:rPr>
        <w:t xml:space="preserve"> may receive </w:t>
      </w:r>
      <w:r w:rsidR="003B5858" w:rsidRPr="00FF2916">
        <w:rPr>
          <w:strike/>
          <w:color w:val="1F497D" w:themeColor="text2"/>
        </w:rPr>
        <w:t>under</w:t>
      </w:r>
      <w:r w:rsidRPr="00FF2916">
        <w:rPr>
          <w:strike/>
          <w:color w:val="1F497D" w:themeColor="text2"/>
        </w:rPr>
        <w:t xml:space="preserve"> the extended reserves regime </w:t>
      </w:r>
      <w:r w:rsidR="003B5858" w:rsidRPr="00FF2916">
        <w:rPr>
          <w:strike/>
          <w:color w:val="1F497D" w:themeColor="text2"/>
        </w:rPr>
        <w:t xml:space="preserve">would be expected to </w:t>
      </w:r>
      <w:r w:rsidRPr="00FF2916">
        <w:rPr>
          <w:strike/>
          <w:color w:val="1F497D" w:themeColor="text2"/>
        </w:rPr>
        <w:t>be treated as unregulated income</w:t>
      </w:r>
      <w:r w:rsidR="005368D7" w:rsidRPr="00FF2916">
        <w:rPr>
          <w:strike/>
          <w:color w:val="1F497D" w:themeColor="text2"/>
        </w:rPr>
        <w:t>;</w:t>
      </w:r>
      <w:r w:rsidR="00E40E6E" w:rsidRPr="00FF2916">
        <w:rPr>
          <w:strike/>
          <w:color w:val="1F497D" w:themeColor="text2"/>
        </w:rPr>
        <w:t>”.</w:t>
      </w:r>
      <w:bookmarkStart w:id="13" w:name="_GoBack"/>
      <w:bookmarkEnd w:id="13"/>
    </w:p>
    <w:p w:rsidR="009F128D" w:rsidRDefault="009F128D" w:rsidP="00DB5513">
      <w:pPr>
        <w:pStyle w:val="Para2"/>
        <w:tabs>
          <w:tab w:val="clear" w:pos="1418"/>
        </w:tabs>
        <w:ind w:left="709"/>
      </w:pPr>
      <w:r>
        <w:t xml:space="preserve">In the </w:t>
      </w:r>
      <w:r w:rsidRPr="009F128D">
        <w:rPr>
          <w:b/>
        </w:rPr>
        <w:t>EDB IM Determination</w:t>
      </w:r>
      <w:r>
        <w:t xml:space="preserve"> add new clause</w:t>
      </w:r>
      <w:r w:rsidR="00601CC8">
        <w:t>s</w:t>
      </w:r>
      <w:r>
        <w:t xml:space="preserve"> 3.1.3(</w:t>
      </w:r>
      <w:r w:rsidR="008D69E6">
        <w:t>8</w:t>
      </w:r>
      <w:r>
        <w:t>)</w:t>
      </w:r>
      <w:r w:rsidR="00DB5513">
        <w:t xml:space="preserve"> </w:t>
      </w:r>
      <w:r w:rsidR="00601CC8">
        <w:t xml:space="preserve">and </w:t>
      </w:r>
      <w:r w:rsidR="006D0F27">
        <w:t>3.1.3</w:t>
      </w:r>
      <w:r w:rsidR="00601CC8">
        <w:t xml:space="preserve">(9) </w:t>
      </w:r>
      <w:r w:rsidR="00DB5513">
        <w:t>as follows:</w:t>
      </w:r>
    </w:p>
    <w:p w:rsidR="001B47FF" w:rsidRDefault="00DB5513" w:rsidP="00595CE3">
      <w:pPr>
        <w:pStyle w:val="BodyText"/>
        <w:ind w:left="1418" w:hanging="709"/>
      </w:pPr>
      <w:r w:rsidRPr="004665AB">
        <w:t>“(</w:t>
      </w:r>
      <w:r w:rsidR="00601CC8">
        <w:t>8</w:t>
      </w:r>
      <w:r w:rsidRPr="004665AB">
        <w:t>)</w:t>
      </w:r>
      <w:r w:rsidRPr="004665AB">
        <w:tab/>
        <w:t xml:space="preserve">For the purpose of </w:t>
      </w:r>
      <w:r w:rsidR="007D53EC">
        <w:t>clause</w:t>
      </w:r>
      <w:r w:rsidRPr="004665AB">
        <w:t xml:space="preserve"> 3.1.3(1)(q), the ‘capex wash-up</w:t>
      </w:r>
      <w:r w:rsidR="009658DA">
        <w:t xml:space="preserve"> amount</w:t>
      </w:r>
      <w:r w:rsidRPr="004665AB">
        <w:t xml:space="preserve">’ is an amount </w:t>
      </w:r>
      <w:r w:rsidR="006D0F27">
        <w:t xml:space="preserve">equal to the </w:t>
      </w:r>
      <w:r w:rsidRPr="004665AB">
        <w:t xml:space="preserve">present value of the difference in the series of </w:t>
      </w:r>
      <w:r w:rsidR="006D0F27">
        <w:t xml:space="preserve">building block </w:t>
      </w:r>
      <w:r w:rsidRPr="004665AB">
        <w:t xml:space="preserve">revenues for the </w:t>
      </w:r>
      <w:r w:rsidR="00352045" w:rsidRPr="009658DA">
        <w:rPr>
          <w:b/>
        </w:rPr>
        <w:t xml:space="preserve">DPP </w:t>
      </w:r>
      <w:r w:rsidRPr="004665AB">
        <w:rPr>
          <w:b/>
        </w:rPr>
        <w:t>regulatory period</w:t>
      </w:r>
      <w:r w:rsidRPr="004665AB">
        <w:t xml:space="preserve"> </w:t>
      </w:r>
      <w:r w:rsidR="006D0F27">
        <w:t xml:space="preserve">in question </w:t>
      </w:r>
      <w:r w:rsidRPr="004665AB">
        <w:t>from adopti</w:t>
      </w:r>
      <w:r w:rsidR="006D0F27">
        <w:t>ng</w:t>
      </w:r>
      <w:r w:rsidR="001B47FF">
        <w:t>–</w:t>
      </w:r>
    </w:p>
    <w:p w:rsidR="001B47FF" w:rsidRPr="001B47FF" w:rsidRDefault="00E40E6E" w:rsidP="001B47FF">
      <w:pPr>
        <w:pStyle w:val="BodyText"/>
        <w:ind w:left="2127" w:hanging="713"/>
      </w:pPr>
      <w:r>
        <w:t>“</w:t>
      </w:r>
      <w:r w:rsidR="001B47FF">
        <w:t>(a)</w:t>
      </w:r>
      <w:r w:rsidR="001B47FF">
        <w:tab/>
      </w:r>
      <w:r w:rsidR="00DB5513" w:rsidRPr="004665AB">
        <w:t xml:space="preserve">the sum of </w:t>
      </w:r>
      <w:r w:rsidR="00DB5513" w:rsidRPr="001B47FF">
        <w:rPr>
          <w:b/>
        </w:rPr>
        <w:t>value of commissioned assets</w:t>
      </w:r>
      <w:r w:rsidR="00DB5513" w:rsidRPr="004665AB">
        <w:t xml:space="preserve"> for </w:t>
      </w:r>
      <w:r w:rsidR="00352045">
        <w:t>each</w:t>
      </w:r>
      <w:r w:rsidR="00352045" w:rsidRPr="004665AB">
        <w:t xml:space="preserve"> </w:t>
      </w:r>
      <w:r w:rsidR="006D0F27" w:rsidRPr="001B47FF">
        <w:rPr>
          <w:b/>
        </w:rPr>
        <w:t>disclosure year</w:t>
      </w:r>
      <w:r w:rsidR="006D0F27" w:rsidRPr="006D0F27">
        <w:t xml:space="preserve"> that </w:t>
      </w:r>
      <w:r w:rsidR="00352045">
        <w:t xml:space="preserve">follows the </w:t>
      </w:r>
      <w:r w:rsidR="006D0F27" w:rsidRPr="001B47FF">
        <w:rPr>
          <w:b/>
        </w:rPr>
        <w:t>base year</w:t>
      </w:r>
      <w:r w:rsidR="00352045" w:rsidRPr="009658DA">
        <w:t xml:space="preserve"> in the </w:t>
      </w:r>
      <w:r w:rsidR="00352045">
        <w:t>preceding</w:t>
      </w:r>
      <w:r w:rsidR="00352045" w:rsidRPr="009658DA">
        <w:t xml:space="preserve"> </w:t>
      </w:r>
      <w:r w:rsidR="00352045" w:rsidRPr="001B47FF">
        <w:rPr>
          <w:b/>
        </w:rPr>
        <w:t>DPP regulatory period</w:t>
      </w:r>
      <w:r w:rsidR="001B47FF" w:rsidRPr="001B47FF">
        <w:t>,</w:t>
      </w:r>
    </w:p>
    <w:p w:rsidR="001B47FF" w:rsidRDefault="001B47FF" w:rsidP="001B47FF">
      <w:pPr>
        <w:pStyle w:val="BodyText"/>
        <w:ind w:left="1418" w:hanging="4"/>
      </w:pPr>
      <w:r>
        <w:t xml:space="preserve"> </w:t>
      </w:r>
      <w:r w:rsidR="00E40E6E">
        <w:t>“</w:t>
      </w:r>
      <w:r>
        <w:t>instead of–</w:t>
      </w:r>
    </w:p>
    <w:p w:rsidR="000A5550" w:rsidRDefault="00E40E6E" w:rsidP="001B47FF">
      <w:pPr>
        <w:pStyle w:val="BodyText"/>
        <w:ind w:left="2127" w:hanging="713"/>
      </w:pPr>
      <w:r>
        <w:t>“</w:t>
      </w:r>
      <w:r w:rsidR="001B47FF">
        <w:t>(b)</w:t>
      </w:r>
      <w:r w:rsidR="001B47FF">
        <w:tab/>
      </w:r>
      <w:r w:rsidR="006D0F27">
        <w:t xml:space="preserve">the </w:t>
      </w:r>
      <w:r w:rsidR="006D0F27" w:rsidRPr="001B47FF">
        <w:rPr>
          <w:b/>
        </w:rPr>
        <w:t>forecast aggregate value of commissioned assets</w:t>
      </w:r>
      <w:r w:rsidR="006D0F27">
        <w:t xml:space="preserve"> determined by the </w:t>
      </w:r>
      <w:r w:rsidR="006D0F27" w:rsidRPr="001B47FF">
        <w:rPr>
          <w:b/>
        </w:rPr>
        <w:t>Commission</w:t>
      </w:r>
      <w:r w:rsidR="006D0F27">
        <w:t xml:space="preserve"> in respect of </w:t>
      </w:r>
      <w:r w:rsidR="00352045">
        <w:t xml:space="preserve">each of </w:t>
      </w:r>
      <w:r w:rsidR="006D0F27">
        <w:t xml:space="preserve">those </w:t>
      </w:r>
      <w:r w:rsidR="006D0F27" w:rsidRPr="001B47FF">
        <w:rPr>
          <w:b/>
        </w:rPr>
        <w:t>disclosure years</w:t>
      </w:r>
      <w:r w:rsidR="000A5550" w:rsidRPr="00355898">
        <w:rPr>
          <w:b/>
          <w:color w:val="1F497D" w:themeColor="text2"/>
          <w:u w:val="single"/>
        </w:rPr>
        <w:t>,</w:t>
      </w:r>
      <w:r w:rsidR="009658DA" w:rsidRPr="009658DA">
        <w:t xml:space="preserve"> </w:t>
      </w:r>
    </w:p>
    <w:p w:rsidR="00601CC8" w:rsidRPr="004665AB" w:rsidRDefault="000A5550" w:rsidP="001B47FF">
      <w:pPr>
        <w:pStyle w:val="BodyText"/>
        <w:ind w:left="2127" w:hanging="713"/>
      </w:pPr>
      <w:r w:rsidRPr="00355898">
        <w:rPr>
          <w:color w:val="1F497D" w:themeColor="text2"/>
          <w:u w:val="single"/>
        </w:rPr>
        <w:t>“</w:t>
      </w:r>
      <w:r w:rsidR="001B47FF">
        <w:t xml:space="preserve">when determining prices </w:t>
      </w:r>
      <w:r w:rsidR="009658DA">
        <w:t>in accordance with</w:t>
      </w:r>
      <w:r w:rsidR="009658DA" w:rsidRPr="009658DA">
        <w:t xml:space="preserve"> s</w:t>
      </w:r>
      <w:r w:rsidR="009658DA">
        <w:t xml:space="preserve"> </w:t>
      </w:r>
      <w:r w:rsidR="009658DA" w:rsidRPr="009658DA">
        <w:t>53P(3)(b)</w:t>
      </w:r>
      <w:r w:rsidR="00DB5513" w:rsidRPr="009658DA">
        <w:t>.</w:t>
      </w:r>
    </w:p>
    <w:p w:rsidR="00DB5513" w:rsidRPr="004665AB" w:rsidRDefault="00DB5513" w:rsidP="00DB5513">
      <w:pPr>
        <w:pStyle w:val="BodyText"/>
        <w:ind w:left="709"/>
      </w:pPr>
      <w:r w:rsidRPr="004665AB">
        <w:t>“(</w:t>
      </w:r>
      <w:r w:rsidR="009658DA">
        <w:t>9</w:t>
      </w:r>
      <w:r w:rsidRPr="004665AB">
        <w:t>)</w:t>
      </w:r>
      <w:r w:rsidRPr="004665AB">
        <w:tab/>
        <w:t>For the purpose of subclause (</w:t>
      </w:r>
      <w:r w:rsidR="00601CC8">
        <w:t>8</w:t>
      </w:r>
      <w:r w:rsidRPr="004665AB">
        <w:t>)</w:t>
      </w:r>
      <w:r w:rsidR="008D69E6" w:rsidRPr="00F96CE5">
        <w:t>–</w:t>
      </w:r>
    </w:p>
    <w:p w:rsidR="00DB5513" w:rsidRPr="004665AB" w:rsidRDefault="00595CE3" w:rsidP="00595CE3">
      <w:pPr>
        <w:pStyle w:val="BodyText"/>
        <w:ind w:left="2127" w:hanging="713"/>
      </w:pPr>
      <w:r w:rsidRPr="004665AB">
        <w:t xml:space="preserve">“(a) </w:t>
      </w:r>
      <w:r w:rsidRPr="004665AB">
        <w:tab/>
      </w:r>
      <w:r w:rsidR="00DB5513" w:rsidRPr="004665AB">
        <w:t xml:space="preserve">the present value must be determined by discounting the </w:t>
      </w:r>
      <w:r w:rsidR="00352045">
        <w:t xml:space="preserve">building block </w:t>
      </w:r>
      <w:r w:rsidR="00DB5513" w:rsidRPr="004665AB">
        <w:t xml:space="preserve">revenues to the </w:t>
      </w:r>
      <w:r w:rsidR="00352045">
        <w:t xml:space="preserve">end of the preceding </w:t>
      </w:r>
      <w:r w:rsidR="00FF2D9D" w:rsidRPr="00DE2A8A">
        <w:rPr>
          <w:b/>
        </w:rPr>
        <w:t xml:space="preserve">DPP </w:t>
      </w:r>
      <w:r w:rsidR="00DB5513" w:rsidRPr="004665AB">
        <w:rPr>
          <w:b/>
        </w:rPr>
        <w:t>regulatory period</w:t>
      </w:r>
      <w:r w:rsidR="00DB5513" w:rsidRPr="004665AB">
        <w:t xml:space="preserve"> using a discount rate equal to the </w:t>
      </w:r>
      <w:r w:rsidR="00DB5513" w:rsidRPr="004665AB">
        <w:rPr>
          <w:b/>
        </w:rPr>
        <w:t>WACC</w:t>
      </w:r>
      <w:r w:rsidR="009740D0" w:rsidRPr="009740D0">
        <w:t xml:space="preserve"> </w:t>
      </w:r>
      <w:r w:rsidR="00352045">
        <w:t xml:space="preserve">applied by the </w:t>
      </w:r>
      <w:r w:rsidR="00352045" w:rsidRPr="00DE2A8A">
        <w:rPr>
          <w:b/>
        </w:rPr>
        <w:t>Commission</w:t>
      </w:r>
      <w:r w:rsidR="00352045">
        <w:t xml:space="preserve"> in setting prices for the </w:t>
      </w:r>
      <w:r w:rsidR="00FF2D9D" w:rsidRPr="00DE2A8A">
        <w:rPr>
          <w:b/>
        </w:rPr>
        <w:t xml:space="preserve">DPP </w:t>
      </w:r>
      <w:r w:rsidR="00352045" w:rsidRPr="00DE2A8A">
        <w:rPr>
          <w:b/>
        </w:rPr>
        <w:t>regulatory period</w:t>
      </w:r>
      <w:r w:rsidR="00352045" w:rsidRPr="00DE2A8A">
        <w:t xml:space="preserve"> in question</w:t>
      </w:r>
      <w:r w:rsidR="00DB5513" w:rsidRPr="004665AB">
        <w:t>;</w:t>
      </w:r>
    </w:p>
    <w:p w:rsidR="00DB5513" w:rsidRPr="004665AB" w:rsidRDefault="00595CE3" w:rsidP="00595CE3">
      <w:pPr>
        <w:pStyle w:val="BodyText"/>
        <w:ind w:left="2127" w:hanging="709"/>
      </w:pPr>
      <w:r w:rsidRPr="004665AB">
        <w:t>“(b)</w:t>
      </w:r>
      <w:r w:rsidRPr="004665AB">
        <w:tab/>
      </w:r>
      <w:r w:rsidR="00DB5513" w:rsidRPr="004665AB">
        <w:t xml:space="preserve">the series of </w:t>
      </w:r>
      <w:r w:rsidR="00352045">
        <w:t xml:space="preserve">building block </w:t>
      </w:r>
      <w:r w:rsidR="00DB5513" w:rsidRPr="004665AB">
        <w:t xml:space="preserve">revenues for the </w:t>
      </w:r>
      <w:r w:rsidR="00FF2D9D" w:rsidRPr="00FF2D9D">
        <w:rPr>
          <w:b/>
        </w:rPr>
        <w:t xml:space="preserve">DPP </w:t>
      </w:r>
      <w:r w:rsidR="00DB5513" w:rsidRPr="004665AB">
        <w:rPr>
          <w:b/>
        </w:rPr>
        <w:t>regulatory period</w:t>
      </w:r>
      <w:r w:rsidR="00DB5513" w:rsidRPr="004665AB">
        <w:t xml:space="preserve"> are those used to reset starting prices based on the current and projected profitability of each </w:t>
      </w:r>
      <w:r w:rsidR="00DB5513" w:rsidRPr="004665AB">
        <w:rPr>
          <w:b/>
        </w:rPr>
        <w:t>EDB</w:t>
      </w:r>
      <w:r w:rsidR="00DB5513" w:rsidRPr="004665AB">
        <w:t xml:space="preserve"> and must</w:t>
      </w:r>
      <w:r w:rsidR="00DB5513" w:rsidRPr="00355898">
        <w:rPr>
          <w:strike/>
          <w:color w:val="1F497D" w:themeColor="text2"/>
        </w:rPr>
        <w:t>-</w:t>
      </w:r>
    </w:p>
    <w:p w:rsidR="00DB5513" w:rsidRDefault="00595CE3" w:rsidP="00F71846">
      <w:pPr>
        <w:pStyle w:val="BodyText"/>
        <w:ind w:left="2127" w:hanging="709"/>
      </w:pPr>
      <w:r w:rsidRPr="00355898">
        <w:rPr>
          <w:strike/>
          <w:color w:val="1F497D" w:themeColor="text2"/>
        </w:rPr>
        <w:t>“(i)</w:t>
      </w:r>
      <w:r w:rsidRPr="00355898">
        <w:rPr>
          <w:strike/>
          <w:color w:val="1F497D" w:themeColor="text2"/>
        </w:rPr>
        <w:tab/>
      </w:r>
      <w:r w:rsidR="00DB5513" w:rsidRPr="004665AB">
        <w:t xml:space="preserve">be calculated using the </w:t>
      </w:r>
      <w:r w:rsidR="00FF2D9D">
        <w:t xml:space="preserve">same </w:t>
      </w:r>
      <w:r w:rsidR="00DB5513" w:rsidRPr="004665AB">
        <w:t>method</w:t>
      </w:r>
      <w:r w:rsidR="00FF2D9D">
        <w:t>ology that was</w:t>
      </w:r>
      <w:r w:rsidR="00DB5513" w:rsidRPr="004665AB">
        <w:t xml:space="preserve"> applied by the </w:t>
      </w:r>
      <w:r w:rsidR="00DB5513" w:rsidRPr="004665AB">
        <w:rPr>
          <w:b/>
        </w:rPr>
        <w:t>Commission</w:t>
      </w:r>
      <w:r w:rsidR="00DB5513" w:rsidRPr="004665AB">
        <w:t xml:space="preserve"> in setting starting prices for the </w:t>
      </w:r>
      <w:r w:rsidR="00DB5513" w:rsidRPr="004665AB">
        <w:rPr>
          <w:b/>
        </w:rPr>
        <w:t>EDB</w:t>
      </w:r>
      <w:r w:rsidR="00FF2D9D">
        <w:rPr>
          <w:b/>
        </w:rPr>
        <w:t xml:space="preserve"> </w:t>
      </w:r>
      <w:r w:rsidR="00FF2D9D" w:rsidRPr="00BA2685">
        <w:t>for the</w:t>
      </w:r>
      <w:r w:rsidR="00FF2D9D">
        <w:rPr>
          <w:b/>
        </w:rPr>
        <w:t xml:space="preserve"> DPP</w:t>
      </w:r>
      <w:r w:rsidR="00B27B22" w:rsidRPr="00B27B22">
        <w:t>,</w:t>
      </w:r>
      <w:r w:rsidR="00B27B22">
        <w:rPr>
          <w:b/>
        </w:rPr>
        <w:t xml:space="preserve"> </w:t>
      </w:r>
      <w:r w:rsidR="00B27B22" w:rsidRPr="00B27B22">
        <w:t xml:space="preserve">including </w:t>
      </w:r>
      <w:r w:rsidR="003003CF">
        <w:t xml:space="preserve">adopting </w:t>
      </w:r>
      <w:r w:rsidR="00B27B22" w:rsidRPr="00B27B22">
        <w:t xml:space="preserve">the same </w:t>
      </w:r>
      <w:r w:rsidR="00B27B22" w:rsidRPr="00355898">
        <w:rPr>
          <w:strike/>
          <w:color w:val="1F497D" w:themeColor="text2"/>
        </w:rPr>
        <w:t xml:space="preserve">forecast </w:t>
      </w:r>
      <w:r w:rsidR="00B27B22" w:rsidRPr="00355898">
        <w:rPr>
          <w:b/>
          <w:strike/>
          <w:color w:val="1F497D" w:themeColor="text2"/>
        </w:rPr>
        <w:t>operating expenditure</w:t>
      </w:r>
      <w:r w:rsidR="00355898">
        <w:rPr>
          <w:b/>
        </w:rPr>
        <w:t xml:space="preserve"> </w:t>
      </w:r>
      <w:r w:rsidR="00F71846" w:rsidRPr="00355898">
        <w:rPr>
          <w:color w:val="1F497D" w:themeColor="text2"/>
          <w:u w:val="single"/>
        </w:rPr>
        <w:t xml:space="preserve">values for all </w:t>
      </w:r>
      <w:r w:rsidR="00CE52E5">
        <w:rPr>
          <w:color w:val="1F497D" w:themeColor="text2"/>
          <w:u w:val="single"/>
        </w:rPr>
        <w:t>inputs to the calculation of building block revenues</w:t>
      </w:r>
      <w:r w:rsidR="00F71846" w:rsidRPr="00355898">
        <w:rPr>
          <w:color w:val="1F497D" w:themeColor="text2"/>
          <w:u w:val="single"/>
        </w:rPr>
        <w:t xml:space="preserve"> except for the value of commissioned assets</w:t>
      </w:r>
      <w:r w:rsidR="00DB5513" w:rsidRPr="004665AB">
        <w:t>;</w:t>
      </w:r>
    </w:p>
    <w:p w:rsidR="00226D7D" w:rsidRPr="00355898" w:rsidRDefault="00226D7D" w:rsidP="00595CE3">
      <w:pPr>
        <w:pStyle w:val="BodyText"/>
        <w:ind w:left="2835" w:hanging="708"/>
        <w:rPr>
          <w:strike/>
          <w:color w:val="1F497D" w:themeColor="text2"/>
        </w:rPr>
      </w:pPr>
      <w:r w:rsidRPr="00355898">
        <w:rPr>
          <w:strike/>
          <w:color w:val="1F497D" w:themeColor="text2"/>
        </w:rPr>
        <w:t>“(ii)</w:t>
      </w:r>
      <w:r w:rsidRPr="00355898">
        <w:rPr>
          <w:strike/>
          <w:color w:val="1F497D" w:themeColor="text2"/>
        </w:rPr>
        <w:tab/>
        <w:t xml:space="preserve">for subparagraph (i), adopt the sum of </w:t>
      </w:r>
      <w:r w:rsidRPr="00355898">
        <w:rPr>
          <w:b/>
          <w:strike/>
          <w:color w:val="1F497D" w:themeColor="text2"/>
        </w:rPr>
        <w:t>depreciation</w:t>
      </w:r>
      <w:r w:rsidRPr="00355898">
        <w:rPr>
          <w:strike/>
          <w:color w:val="1F497D" w:themeColor="text2"/>
        </w:rPr>
        <w:t xml:space="preserve"> calculated under Part 2 in respect of each </w:t>
      </w:r>
      <w:r w:rsidRPr="00355898">
        <w:rPr>
          <w:b/>
          <w:strike/>
          <w:color w:val="1F497D" w:themeColor="text2"/>
        </w:rPr>
        <w:t>disclosure year</w:t>
      </w:r>
      <w:r w:rsidRPr="00355898">
        <w:rPr>
          <w:strike/>
          <w:color w:val="1F497D" w:themeColor="text2"/>
        </w:rPr>
        <w:t xml:space="preserve"> that follows the </w:t>
      </w:r>
      <w:r w:rsidRPr="00355898">
        <w:rPr>
          <w:b/>
          <w:strike/>
          <w:color w:val="1F497D" w:themeColor="text2"/>
        </w:rPr>
        <w:t>base year</w:t>
      </w:r>
      <w:r w:rsidRPr="00355898">
        <w:rPr>
          <w:strike/>
          <w:color w:val="1F497D" w:themeColor="text2"/>
        </w:rPr>
        <w:t xml:space="preserve"> in the preceding </w:t>
      </w:r>
      <w:r w:rsidRPr="00355898">
        <w:rPr>
          <w:b/>
          <w:strike/>
          <w:color w:val="1F497D" w:themeColor="text2"/>
        </w:rPr>
        <w:t>DPP regulatory period</w:t>
      </w:r>
      <w:r w:rsidRPr="00355898">
        <w:rPr>
          <w:strike/>
          <w:color w:val="1F497D" w:themeColor="text2"/>
        </w:rPr>
        <w:t xml:space="preserve"> for assets having a </w:t>
      </w:r>
      <w:r w:rsidRPr="00355898">
        <w:rPr>
          <w:b/>
          <w:strike/>
          <w:color w:val="1F497D" w:themeColor="text2"/>
        </w:rPr>
        <w:t>commissioning date</w:t>
      </w:r>
      <w:r w:rsidRPr="00355898">
        <w:rPr>
          <w:strike/>
          <w:color w:val="1F497D" w:themeColor="text2"/>
        </w:rPr>
        <w:t xml:space="preserve"> in the preceding </w:t>
      </w:r>
      <w:r w:rsidRPr="00355898">
        <w:rPr>
          <w:b/>
          <w:strike/>
          <w:color w:val="1F497D" w:themeColor="text2"/>
        </w:rPr>
        <w:t>DPP</w:t>
      </w:r>
      <w:r w:rsidRPr="00355898">
        <w:rPr>
          <w:strike/>
          <w:color w:val="1F497D" w:themeColor="text2"/>
        </w:rPr>
        <w:t xml:space="preserve"> </w:t>
      </w:r>
      <w:r w:rsidRPr="00355898">
        <w:rPr>
          <w:b/>
          <w:strike/>
          <w:color w:val="1F497D" w:themeColor="text2"/>
        </w:rPr>
        <w:t>regulatory period</w:t>
      </w:r>
      <w:r w:rsidRPr="00355898">
        <w:rPr>
          <w:strike/>
          <w:color w:val="1F497D" w:themeColor="text2"/>
        </w:rPr>
        <w:t>; and</w:t>
      </w:r>
    </w:p>
    <w:p w:rsidR="00DB5513" w:rsidRPr="00355898" w:rsidRDefault="00595CE3" w:rsidP="00595CE3">
      <w:pPr>
        <w:pStyle w:val="BodyText"/>
        <w:ind w:left="2835" w:hanging="708"/>
        <w:rPr>
          <w:strike/>
          <w:color w:val="1F497D" w:themeColor="text2"/>
        </w:rPr>
      </w:pPr>
      <w:r w:rsidRPr="00355898">
        <w:rPr>
          <w:strike/>
          <w:color w:val="1F497D" w:themeColor="text2"/>
        </w:rPr>
        <w:lastRenderedPageBreak/>
        <w:t>“(i</w:t>
      </w:r>
      <w:r w:rsidR="00226D7D" w:rsidRPr="00355898">
        <w:rPr>
          <w:strike/>
          <w:color w:val="1F497D" w:themeColor="text2"/>
        </w:rPr>
        <w:t>i</w:t>
      </w:r>
      <w:r w:rsidR="00B27B22" w:rsidRPr="00355898">
        <w:rPr>
          <w:strike/>
          <w:color w:val="1F497D" w:themeColor="text2"/>
        </w:rPr>
        <w:t>i</w:t>
      </w:r>
      <w:r w:rsidRPr="00355898">
        <w:rPr>
          <w:strike/>
          <w:color w:val="1F497D" w:themeColor="text2"/>
        </w:rPr>
        <w:t>)</w:t>
      </w:r>
      <w:r w:rsidRPr="00355898">
        <w:rPr>
          <w:strike/>
          <w:color w:val="1F497D" w:themeColor="text2"/>
        </w:rPr>
        <w:tab/>
      </w:r>
      <w:r w:rsidR="00DB5513" w:rsidRPr="00355898">
        <w:rPr>
          <w:strike/>
          <w:color w:val="1F497D" w:themeColor="text2"/>
        </w:rPr>
        <w:t>be expressed consistent with cash flow timing assumptions for calculating amounts in revenue date terms</w:t>
      </w:r>
      <w:r w:rsidR="00FF2D9D" w:rsidRPr="00355898">
        <w:rPr>
          <w:strike/>
          <w:color w:val="1F497D" w:themeColor="text2"/>
        </w:rPr>
        <w:t xml:space="preserve"> as applied in the relevant </w:t>
      </w:r>
      <w:r w:rsidR="00FF2D9D" w:rsidRPr="00355898">
        <w:rPr>
          <w:b/>
          <w:strike/>
          <w:color w:val="1F497D" w:themeColor="text2"/>
        </w:rPr>
        <w:t>DPP</w:t>
      </w:r>
      <w:r w:rsidR="00DB5513" w:rsidRPr="00355898">
        <w:rPr>
          <w:strike/>
          <w:color w:val="1F497D" w:themeColor="text2"/>
        </w:rPr>
        <w:t>;</w:t>
      </w:r>
    </w:p>
    <w:p w:rsidR="00DB5513" w:rsidRPr="004665AB" w:rsidRDefault="00595CE3" w:rsidP="00595CE3">
      <w:pPr>
        <w:pStyle w:val="BodyText"/>
        <w:ind w:left="2127" w:hanging="709"/>
      </w:pPr>
      <w:r w:rsidRPr="004665AB">
        <w:t>“(c)</w:t>
      </w:r>
      <w:r w:rsidRPr="004665AB">
        <w:tab/>
        <w:t>w</w:t>
      </w:r>
      <w:r w:rsidR="00DB5513" w:rsidRPr="004665AB">
        <w:t xml:space="preserve">here </w:t>
      </w:r>
      <w:r w:rsidR="00FF2D9D">
        <w:t xml:space="preserve">building block </w:t>
      </w:r>
      <w:r w:rsidR="00DB5513" w:rsidRPr="004665AB">
        <w:t xml:space="preserve">revenues from adopting the sum of </w:t>
      </w:r>
      <w:r w:rsidR="00DB5513" w:rsidRPr="004665AB">
        <w:rPr>
          <w:b/>
        </w:rPr>
        <w:t>value of commissioned assets</w:t>
      </w:r>
      <w:r w:rsidR="00DB5513" w:rsidRPr="004665AB">
        <w:t xml:space="preserve"> exceed the </w:t>
      </w:r>
      <w:r w:rsidR="00FF2D9D">
        <w:t xml:space="preserve">building block </w:t>
      </w:r>
      <w:r w:rsidR="00DB5513" w:rsidRPr="004665AB">
        <w:t xml:space="preserve">revenues from using the </w:t>
      </w:r>
      <w:r w:rsidR="00DB5513" w:rsidRPr="004665AB">
        <w:rPr>
          <w:b/>
        </w:rPr>
        <w:t>forecast aggregate value of commissioned assets</w:t>
      </w:r>
      <w:r w:rsidR="00DB5513" w:rsidRPr="004665AB">
        <w:t xml:space="preserve"> then the difference is a positive amount of capex wash-up; and</w:t>
      </w:r>
    </w:p>
    <w:p w:rsidR="00DB5513" w:rsidRDefault="00595CE3" w:rsidP="00595CE3">
      <w:pPr>
        <w:pStyle w:val="BodyText"/>
        <w:ind w:left="2127" w:hanging="709"/>
      </w:pPr>
      <w:r w:rsidRPr="004665AB">
        <w:t>“(d)</w:t>
      </w:r>
      <w:r w:rsidRPr="004665AB">
        <w:tab/>
        <w:t>w</w:t>
      </w:r>
      <w:r w:rsidR="00DB5513" w:rsidRPr="004665AB">
        <w:t xml:space="preserve">here </w:t>
      </w:r>
      <w:r w:rsidR="00FF2D9D">
        <w:t xml:space="preserve">building block </w:t>
      </w:r>
      <w:r w:rsidR="00DB5513" w:rsidRPr="004665AB">
        <w:t xml:space="preserve">revenues from adopting the sum of </w:t>
      </w:r>
      <w:r w:rsidR="00DB5513" w:rsidRPr="004665AB">
        <w:rPr>
          <w:b/>
        </w:rPr>
        <w:t>value of commissioned assets</w:t>
      </w:r>
      <w:r w:rsidR="00DB5513" w:rsidRPr="004665AB">
        <w:t xml:space="preserve"> is less than the </w:t>
      </w:r>
      <w:r w:rsidR="00FF2D9D">
        <w:t xml:space="preserve">building block </w:t>
      </w:r>
      <w:r w:rsidR="00DB5513" w:rsidRPr="004665AB">
        <w:t xml:space="preserve">revenues from using the </w:t>
      </w:r>
      <w:r w:rsidR="00DB5513" w:rsidRPr="004665AB">
        <w:rPr>
          <w:b/>
        </w:rPr>
        <w:t>forecast aggregate value of commissioned assets</w:t>
      </w:r>
      <w:r w:rsidR="00DB5513" w:rsidRPr="004665AB">
        <w:t xml:space="preserve"> then the difference is a negative amount of </w:t>
      </w:r>
      <w:r w:rsidR="00DB5513" w:rsidRPr="009F701F">
        <w:t>capex wash-up</w:t>
      </w:r>
      <w:r w:rsidR="00DB5513" w:rsidRPr="004665AB">
        <w:t>.</w:t>
      </w:r>
      <w:r w:rsidR="00A06261">
        <w:t>”</w:t>
      </w:r>
      <w:r w:rsidR="00140E12">
        <w:t>.</w:t>
      </w:r>
    </w:p>
    <w:p w:rsidR="008C2BFE" w:rsidRPr="008C2BFE" w:rsidRDefault="008C2BFE" w:rsidP="001B1E70">
      <w:pPr>
        <w:pStyle w:val="Para2"/>
        <w:tabs>
          <w:tab w:val="left" w:pos="720"/>
        </w:tabs>
        <w:ind w:left="709"/>
      </w:pPr>
      <w:r w:rsidRPr="008C2BFE">
        <w:t xml:space="preserve">In the </w:t>
      </w:r>
      <w:r w:rsidRPr="008C2BFE">
        <w:rPr>
          <w:b/>
        </w:rPr>
        <w:t>EDB IM Determination</w:t>
      </w:r>
      <w:r w:rsidRPr="008C2BFE">
        <w:t xml:space="preserve"> amend </w:t>
      </w:r>
      <w:r>
        <w:t xml:space="preserve">clause 4.3.1(4) by deleting “ – </w:t>
      </w:r>
      <w:r w:rsidRPr="00BA2685">
        <w:rPr>
          <w:b/>
        </w:rPr>
        <w:t>term credit spread differential allowance</w:t>
      </w:r>
      <w:r>
        <w:t>” where it appears.</w:t>
      </w:r>
    </w:p>
    <w:p w:rsidR="001B1E70" w:rsidRPr="008C2BFE" w:rsidRDefault="001B1E70" w:rsidP="001B1E70">
      <w:pPr>
        <w:pStyle w:val="Para2"/>
        <w:tabs>
          <w:tab w:val="left" w:pos="720"/>
        </w:tabs>
        <w:ind w:left="709"/>
      </w:pPr>
      <w:r w:rsidRPr="008C2BFE">
        <w:t xml:space="preserve">In the </w:t>
      </w:r>
      <w:r w:rsidRPr="008C2BFE">
        <w:rPr>
          <w:b/>
        </w:rPr>
        <w:t>EDB IM Determination</w:t>
      </w:r>
      <w:r w:rsidRPr="008C2BFE">
        <w:t xml:space="preserve"> amend clause 4.3.3(2) as follows:</w:t>
      </w:r>
    </w:p>
    <w:p w:rsidR="001B1E70" w:rsidRPr="008C2BFE" w:rsidRDefault="001B1E70" w:rsidP="001B1E70">
      <w:pPr>
        <w:pStyle w:val="BodyTextIndent"/>
        <w:ind w:left="1418" w:hanging="709"/>
        <w:rPr>
          <w:rStyle w:val="Emphasis-Remove"/>
        </w:rPr>
      </w:pPr>
      <w:r w:rsidRPr="008C2BFE">
        <w:rPr>
          <w:rStyle w:val="Emphasis-Remove"/>
        </w:rPr>
        <w:t>“(2)</w:t>
      </w:r>
      <w:r w:rsidRPr="008C2BFE">
        <w:rPr>
          <w:rStyle w:val="Emphasis-Remove"/>
        </w:rPr>
        <w:tab/>
        <w:t>For the purpose of subclause</w:t>
      </w:r>
      <w:r w:rsidR="008C2BFE">
        <w:rPr>
          <w:rStyle w:val="Emphasis-Remove"/>
        </w:rPr>
        <w:t xml:space="preserve"> (1)</w:t>
      </w:r>
      <w:r w:rsidRPr="008C2BFE">
        <w:rPr>
          <w:rStyle w:val="Emphasis-Remove"/>
        </w:rPr>
        <w:t>, 'notional deductible interest' means the amount determined</w:t>
      </w:r>
      <w:r w:rsidR="008C2BFE">
        <w:rPr>
          <w:rStyle w:val="Emphasis-Remove"/>
        </w:rPr>
        <w:t xml:space="preserve"> in accordance with the formula</w:t>
      </w:r>
      <w:r w:rsidR="008C2BFE">
        <w:rPr>
          <w:szCs w:val="24"/>
        </w:rPr>
        <w:t>–</w:t>
      </w:r>
    </w:p>
    <w:p w:rsidR="001B1E70" w:rsidRPr="00CE52E5" w:rsidRDefault="001B1E70" w:rsidP="001B1E70">
      <w:pPr>
        <w:pStyle w:val="BodyTextIndent"/>
        <w:ind w:left="1418"/>
      </w:pPr>
      <w:r w:rsidRPr="00CE52E5">
        <w:t>((</w:t>
      </w:r>
      <w:r w:rsidRPr="00CE52E5">
        <w:rPr>
          <w:i/>
        </w:rPr>
        <w:t xml:space="preserve">opening investment value </w:t>
      </w:r>
      <w:r w:rsidRPr="00CE52E5">
        <w:t xml:space="preserve">x </w:t>
      </w:r>
      <w:r w:rsidRPr="00CE52E5">
        <w:rPr>
          <w:b/>
        </w:rPr>
        <w:t>leverage</w:t>
      </w:r>
      <w:r w:rsidRPr="00CE52E5">
        <w:t xml:space="preserve"> x </w:t>
      </w:r>
      <w:r w:rsidRPr="00CE52E5">
        <w:rPr>
          <w:b/>
        </w:rPr>
        <w:t>cost of debt</w:t>
      </w:r>
      <w:r w:rsidRPr="00CE52E5">
        <w:t xml:space="preserve">) + </w:t>
      </w:r>
      <w:r w:rsidRPr="00CE52E5">
        <w:rPr>
          <w:b/>
        </w:rPr>
        <w:t>term credit spread differential allowance</w:t>
      </w:r>
      <w:r w:rsidRPr="00CE52E5">
        <w:t xml:space="preserve">) </w:t>
      </w:r>
    </w:p>
    <w:p w:rsidR="001B1E70" w:rsidRPr="00CE52E5" w:rsidRDefault="001B1E70" w:rsidP="001B1E70">
      <w:pPr>
        <w:pStyle w:val="BodyTextIndent"/>
        <w:ind w:left="1418"/>
      </w:pPr>
      <w:r w:rsidRPr="00CE52E5">
        <w:t>÷</w:t>
      </w:r>
    </w:p>
    <w:p w:rsidR="001B1E70" w:rsidRPr="00CE52E5" w:rsidRDefault="001B1E70" w:rsidP="001B1E70">
      <w:pPr>
        <w:pStyle w:val="BodyTextIndent"/>
        <w:ind w:left="1418"/>
      </w:pPr>
      <w:r w:rsidRPr="00CE52E5">
        <w:t xml:space="preserve">√(1 + </w:t>
      </w:r>
      <w:r w:rsidRPr="00CE52E5">
        <w:rPr>
          <w:b/>
        </w:rPr>
        <w:t>cost of debt</w:t>
      </w:r>
      <w:r w:rsidRPr="00CE52E5">
        <w:t>).”</w:t>
      </w:r>
      <w:r w:rsidR="008C2BFE" w:rsidRPr="00CE52E5">
        <w:t>.</w:t>
      </w:r>
    </w:p>
    <w:p w:rsidR="0062068A" w:rsidRPr="007D6937" w:rsidRDefault="0062068A" w:rsidP="008C2BFE">
      <w:pPr>
        <w:pStyle w:val="Para2"/>
        <w:tabs>
          <w:tab w:val="left" w:pos="720"/>
        </w:tabs>
        <w:ind w:left="709"/>
      </w:pPr>
      <w:r w:rsidRPr="007D6937">
        <w:t xml:space="preserve">In the </w:t>
      </w:r>
      <w:r w:rsidRPr="007D6937">
        <w:rPr>
          <w:b/>
        </w:rPr>
        <w:t>EDB IM Determination</w:t>
      </w:r>
      <w:r w:rsidRPr="007D6937">
        <w:t xml:space="preserve"> replace clause 4.3.3(3) with the following:</w:t>
      </w:r>
    </w:p>
    <w:p w:rsidR="007D6937" w:rsidRDefault="007D6937" w:rsidP="007D6937">
      <w:pPr>
        <w:pStyle w:val="BodyTextIndent"/>
        <w:ind w:left="1418" w:hanging="709"/>
      </w:pPr>
      <w:r w:rsidRPr="007D6937">
        <w:t>“(3)</w:t>
      </w:r>
      <w:r w:rsidRPr="007D6937">
        <w:tab/>
      </w:r>
      <w:r w:rsidRPr="007D6937">
        <w:rPr>
          <w:rFonts w:cstheme="minorHAnsi"/>
        </w:rPr>
        <w:t>For the purpose of subclause (1), '</w:t>
      </w:r>
      <w:r w:rsidRPr="007D6937">
        <w:rPr>
          <w:rStyle w:val="Emphasis-Remove"/>
          <w:rFonts w:cstheme="minorHAnsi"/>
        </w:rPr>
        <w:t xml:space="preserve">amortisation of initial differences in asset values' is </w:t>
      </w:r>
      <w:r w:rsidRPr="007D6937">
        <w:t xml:space="preserve">determined in accordance with Part 2 as of the </w:t>
      </w:r>
      <w:r w:rsidRPr="007D6937">
        <w:rPr>
          <w:b/>
        </w:rPr>
        <w:t>base year</w:t>
      </w:r>
      <w:r w:rsidRPr="007D6937">
        <w:t>”</w:t>
      </w:r>
      <w:r>
        <w:t>.</w:t>
      </w:r>
    </w:p>
    <w:p w:rsidR="007D6937" w:rsidRDefault="007D6937" w:rsidP="007D6937">
      <w:pPr>
        <w:pStyle w:val="Para2"/>
        <w:tabs>
          <w:tab w:val="left" w:pos="720"/>
        </w:tabs>
        <w:ind w:left="709"/>
      </w:pPr>
      <w:r>
        <w:t xml:space="preserve">In the </w:t>
      </w:r>
      <w:r w:rsidRPr="007D6937">
        <w:rPr>
          <w:b/>
        </w:rPr>
        <w:t>EDB IM Determination</w:t>
      </w:r>
      <w:r w:rsidRPr="007D6937">
        <w:t xml:space="preserve"> </w:t>
      </w:r>
      <w:r>
        <w:t>delete clause 4.3.3(5</w:t>
      </w:r>
      <w:r w:rsidRPr="007D6937">
        <w:t>)</w:t>
      </w:r>
      <w:r w:rsidR="00A8399E">
        <w:t xml:space="preserve"> and renumber clause 4.3.3(6) accordingly.</w:t>
      </w:r>
    </w:p>
    <w:p w:rsidR="008C2BFE" w:rsidRPr="008C2BFE" w:rsidRDefault="008C2BFE" w:rsidP="008C2BFE">
      <w:pPr>
        <w:pStyle w:val="Para2"/>
        <w:tabs>
          <w:tab w:val="left" w:pos="720"/>
        </w:tabs>
        <w:ind w:left="709"/>
      </w:pPr>
      <w:r w:rsidRPr="008C2BFE">
        <w:t xml:space="preserve">In the </w:t>
      </w:r>
      <w:r w:rsidRPr="008C2BFE">
        <w:rPr>
          <w:b/>
        </w:rPr>
        <w:t>EDB IM Determination</w:t>
      </w:r>
      <w:r w:rsidRPr="008C2BFE">
        <w:t xml:space="preserve"> amend clause 5.3.16(2) as follows:</w:t>
      </w:r>
    </w:p>
    <w:p w:rsidR="008C2BFE" w:rsidRPr="008C2BFE" w:rsidRDefault="008C2BFE" w:rsidP="008C2BFE">
      <w:pPr>
        <w:pStyle w:val="BodyTextIndent"/>
        <w:ind w:left="1418" w:hanging="709"/>
        <w:rPr>
          <w:rStyle w:val="Emphasis-Remove"/>
        </w:rPr>
      </w:pPr>
      <w:r w:rsidRPr="008C2BFE">
        <w:rPr>
          <w:rStyle w:val="Emphasis-Remove"/>
        </w:rPr>
        <w:t>“(2)</w:t>
      </w:r>
      <w:r w:rsidRPr="008C2BFE">
        <w:rPr>
          <w:rStyle w:val="Emphasis-Remove"/>
        </w:rPr>
        <w:tab/>
        <w:t>For the purpose of subclause</w:t>
      </w:r>
      <w:r>
        <w:rPr>
          <w:rStyle w:val="Emphasis-Remove"/>
        </w:rPr>
        <w:t xml:space="preserve"> (1)</w:t>
      </w:r>
      <w:r w:rsidRPr="008C2BFE">
        <w:rPr>
          <w:rStyle w:val="Emphasis-Remove"/>
        </w:rPr>
        <w:t>, 'notional deductible interest' means the amount determined in accordance with the formula</w:t>
      </w:r>
      <w:r>
        <w:rPr>
          <w:szCs w:val="24"/>
        </w:rPr>
        <w:t>–</w:t>
      </w:r>
    </w:p>
    <w:p w:rsidR="008C2BFE" w:rsidRPr="00CE52E5" w:rsidRDefault="008C2BFE" w:rsidP="008C2BFE">
      <w:pPr>
        <w:pStyle w:val="UnnumberedL2"/>
        <w:ind w:left="1418"/>
        <w:rPr>
          <w:bCs/>
          <w:lang w:eastAsia="en-NZ"/>
        </w:rPr>
      </w:pPr>
      <w:r w:rsidRPr="00CE52E5">
        <w:rPr>
          <w:bCs/>
          <w:lang w:eastAsia="en-NZ"/>
        </w:rPr>
        <w:t>(((</w:t>
      </w:r>
      <w:r w:rsidRPr="00CE52E5">
        <w:rPr>
          <w:b/>
          <w:bCs/>
          <w:lang w:eastAsia="en-NZ"/>
        </w:rPr>
        <w:t xml:space="preserve">regulatory investment value </w:t>
      </w:r>
      <w:r w:rsidRPr="00CE52E5">
        <w:rPr>
          <w:bCs/>
          <w:lang w:eastAsia="en-NZ"/>
        </w:rPr>
        <w:t>+</w:t>
      </w:r>
      <w:r w:rsidRPr="00CE52E5">
        <w:rPr>
          <w:b/>
          <w:bCs/>
          <w:lang w:eastAsia="en-NZ"/>
        </w:rPr>
        <w:t xml:space="preserve"> </w:t>
      </w:r>
      <w:r w:rsidRPr="00CE52E5">
        <w:rPr>
          <w:bCs/>
          <w:i/>
          <w:lang w:eastAsia="en-NZ"/>
        </w:rPr>
        <w:t>RAB proportionate investment</w:t>
      </w:r>
      <w:r w:rsidRPr="00CE52E5">
        <w:rPr>
          <w:bCs/>
          <w:lang w:eastAsia="en-NZ"/>
        </w:rPr>
        <w:t>)</w:t>
      </w:r>
      <w:r w:rsidRPr="00CE52E5">
        <w:rPr>
          <w:b/>
          <w:bCs/>
          <w:lang w:eastAsia="en-NZ"/>
        </w:rPr>
        <w:t xml:space="preserve"> </w:t>
      </w:r>
      <w:r w:rsidRPr="00CE52E5">
        <w:rPr>
          <w:bCs/>
          <w:lang w:eastAsia="en-NZ"/>
        </w:rPr>
        <w:t>x</w:t>
      </w:r>
      <w:r w:rsidRPr="00CE52E5">
        <w:rPr>
          <w:b/>
          <w:bCs/>
          <w:lang w:eastAsia="en-NZ"/>
        </w:rPr>
        <w:t xml:space="preserve"> leverage </w:t>
      </w:r>
      <w:r w:rsidRPr="00CE52E5">
        <w:rPr>
          <w:bCs/>
          <w:lang w:eastAsia="en-NZ"/>
        </w:rPr>
        <w:t>x</w:t>
      </w:r>
      <w:r w:rsidRPr="00CE52E5">
        <w:rPr>
          <w:b/>
          <w:bCs/>
          <w:lang w:eastAsia="en-NZ"/>
        </w:rPr>
        <w:t xml:space="preserve"> cost of debt</w:t>
      </w:r>
      <w:r w:rsidRPr="00CE52E5">
        <w:rPr>
          <w:bCs/>
          <w:lang w:eastAsia="en-NZ"/>
        </w:rPr>
        <w:t>) +</w:t>
      </w:r>
      <w:r w:rsidRPr="00CE52E5">
        <w:rPr>
          <w:b/>
          <w:bCs/>
          <w:lang w:eastAsia="en-NZ"/>
        </w:rPr>
        <w:t xml:space="preserve"> term credit spread differential allowance</w:t>
      </w:r>
      <w:r w:rsidRPr="00CE52E5">
        <w:rPr>
          <w:bCs/>
          <w:lang w:eastAsia="en-NZ"/>
        </w:rPr>
        <w:t>)</w:t>
      </w:r>
    </w:p>
    <w:p w:rsidR="008C2BFE" w:rsidRPr="00CE52E5" w:rsidRDefault="008C2BFE" w:rsidP="008C2BFE">
      <w:pPr>
        <w:pStyle w:val="BodyTextIndent"/>
        <w:ind w:left="1418"/>
      </w:pPr>
      <w:r w:rsidRPr="00CE52E5">
        <w:t>÷</w:t>
      </w:r>
    </w:p>
    <w:p w:rsidR="001B1E70" w:rsidRPr="00CE52E5" w:rsidRDefault="008C2BFE" w:rsidP="008C2BFE">
      <w:pPr>
        <w:pStyle w:val="UnnumberedL2"/>
        <w:ind w:left="1418"/>
      </w:pPr>
      <w:r w:rsidRPr="00CE52E5">
        <w:t xml:space="preserve">√(1 + </w:t>
      </w:r>
      <w:r w:rsidRPr="00CE52E5">
        <w:rPr>
          <w:b/>
          <w:bCs/>
          <w:lang w:eastAsia="en-NZ"/>
        </w:rPr>
        <w:t>cost</w:t>
      </w:r>
      <w:r w:rsidRPr="00CE52E5">
        <w:rPr>
          <w:b/>
        </w:rPr>
        <w:t xml:space="preserve"> of debt</w:t>
      </w:r>
      <w:r w:rsidRPr="00CE52E5">
        <w:t>).”.</w:t>
      </w:r>
    </w:p>
    <w:sectPr w:rsidR="001B1E70" w:rsidRPr="00CE52E5" w:rsidSect="00633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1134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00" w:rsidRDefault="00457D00">
      <w:r>
        <w:separator/>
      </w:r>
    </w:p>
  </w:endnote>
  <w:endnote w:type="continuationSeparator" w:id="0">
    <w:p w:rsidR="00457D00" w:rsidRDefault="0045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00" w:rsidRDefault="00457D00" w:rsidP="00A64675">
    <w:pPr>
      <w:pStyle w:val="Footer"/>
      <w:jc w:val="right"/>
      <w:rPr>
        <w:sz w:val="16"/>
      </w:rPr>
    </w:pPr>
  </w:p>
  <w:p w:rsidR="00090727" w:rsidRDefault="00090727">
    <w:pPr>
      <w:pStyle w:val="Footer"/>
      <w:jc w:val="right"/>
      <w:rPr>
        <w:sz w:val="16"/>
      </w:rPr>
    </w:pPr>
  </w:p>
  <w:p w:rsidR="00AE251F" w:rsidRDefault="00AE251F" w:rsidP="0084027D">
    <w:pPr>
      <w:pStyle w:val="Footer"/>
      <w:jc w:val="right"/>
      <w:rPr>
        <w:sz w:val="16"/>
      </w:rPr>
    </w:pPr>
  </w:p>
  <w:p w:rsidR="0084276D" w:rsidRPr="00A64675" w:rsidRDefault="0084276D" w:rsidP="00126DD6">
    <w:pPr>
      <w:pStyle w:val="Footer"/>
      <w:jc w:val="right"/>
      <w:rPr>
        <w:sz w:val="16"/>
      </w:rPr>
    </w:pPr>
    <w:r w:rsidRPr="00126DD6">
      <w:rPr>
        <w:sz w:val="16"/>
      </w:rPr>
      <w:t>1883949.1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00" w:rsidRDefault="00457D00" w:rsidP="00A64675">
    <w:pPr>
      <w:pStyle w:val="Footer"/>
      <w:jc w:val="left"/>
      <w:rPr>
        <w:sz w:val="16"/>
      </w:rPr>
    </w:pPr>
  </w:p>
  <w:p w:rsidR="00090727" w:rsidRDefault="00090727">
    <w:pPr>
      <w:pStyle w:val="Footer"/>
      <w:jc w:val="left"/>
      <w:rPr>
        <w:sz w:val="16"/>
      </w:rPr>
    </w:pPr>
  </w:p>
  <w:p w:rsidR="00AE251F" w:rsidRDefault="00AE251F" w:rsidP="0084027D">
    <w:pPr>
      <w:pStyle w:val="Footer"/>
      <w:jc w:val="left"/>
      <w:rPr>
        <w:sz w:val="16"/>
      </w:rPr>
    </w:pPr>
  </w:p>
  <w:p w:rsidR="0084276D" w:rsidRPr="00A64675" w:rsidRDefault="0084276D" w:rsidP="00126DD6">
    <w:pPr>
      <w:pStyle w:val="Footer"/>
      <w:jc w:val="left"/>
      <w:rPr>
        <w:sz w:val="16"/>
      </w:rPr>
    </w:pPr>
    <w:r w:rsidRPr="00126DD6">
      <w:rPr>
        <w:sz w:val="16"/>
      </w:rPr>
      <w:t>1883949.1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56" w:rsidRDefault="00412956" w:rsidP="00A64675">
    <w:pPr>
      <w:pStyle w:val="Footer"/>
      <w:jc w:val="left"/>
      <w:rPr>
        <w:sz w:val="16"/>
      </w:rPr>
    </w:pPr>
  </w:p>
  <w:p w:rsidR="00090727" w:rsidRDefault="00090727">
    <w:pPr>
      <w:pStyle w:val="Footer"/>
      <w:jc w:val="left"/>
      <w:rPr>
        <w:sz w:val="16"/>
      </w:rPr>
    </w:pPr>
  </w:p>
  <w:p w:rsidR="00AE251F" w:rsidRDefault="00AE251F" w:rsidP="0084027D">
    <w:pPr>
      <w:pStyle w:val="Footer"/>
      <w:jc w:val="left"/>
      <w:rPr>
        <w:sz w:val="16"/>
      </w:rPr>
    </w:pPr>
  </w:p>
  <w:p w:rsidR="0084276D" w:rsidRPr="00A64675" w:rsidRDefault="0084276D" w:rsidP="00126DD6">
    <w:pPr>
      <w:pStyle w:val="Footer"/>
      <w:jc w:val="left"/>
      <w:rPr>
        <w:sz w:val="16"/>
      </w:rPr>
    </w:pPr>
    <w:r w:rsidRPr="00126DD6">
      <w:rPr>
        <w:sz w:val="16"/>
      </w:rPr>
      <w:t>1883949.1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00" w:rsidRDefault="00457D00">
      <w:r>
        <w:separator/>
      </w:r>
    </w:p>
  </w:footnote>
  <w:footnote w:type="continuationSeparator" w:id="0">
    <w:p w:rsidR="00457D00" w:rsidRDefault="00457D00">
      <w:r>
        <w:continuationSeparator/>
      </w:r>
    </w:p>
  </w:footnote>
  <w:footnote w:id="1">
    <w:p w:rsidR="00B342E8" w:rsidRDefault="00B342E8" w:rsidP="00B342E8">
      <w:pPr>
        <w:pStyle w:val="FootnoteText"/>
        <w:spacing w:line="264" w:lineRule="auto"/>
        <w:ind w:left="709" w:hanging="709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This catastrophic event re-opener clause will be inserted when the High Court issues its orders on the appeals on the input methodologies. We expect this to be </w:t>
      </w:r>
      <w:r w:rsidR="00192965">
        <w:t>prior to</w:t>
      </w:r>
      <w:r>
        <w:t xml:space="preserve"> our final decision due in November 2014. Clauses 4.5.1 to 4.5.3 currently cover the reconsideration of a default price-quality path.</w:t>
      </w:r>
    </w:p>
    <w:p w:rsidR="00B342E8" w:rsidRDefault="00B342E8" w:rsidP="00B342E8">
      <w:pPr>
        <w:pStyle w:val="FootnoteText"/>
        <w:spacing w:line="264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56" w:rsidRDefault="00412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00" w:rsidRPr="001D7657" w:rsidRDefault="00457D00">
    <w:pPr>
      <w:pStyle w:val="Header"/>
    </w:pPr>
    <w:r w:rsidRPr="001D7657">
      <w:rPr>
        <w:rStyle w:val="PageNumber"/>
      </w:rPr>
      <w:fldChar w:fldCharType="begin"/>
    </w:r>
    <w:r w:rsidRPr="001D7657">
      <w:rPr>
        <w:rStyle w:val="PageNumber"/>
      </w:rPr>
      <w:instrText xml:space="preserve"> PAGE   \* MERGEFORMAT </w:instrText>
    </w:r>
    <w:r w:rsidRPr="001D7657">
      <w:rPr>
        <w:rStyle w:val="PageNumber"/>
      </w:rPr>
      <w:fldChar w:fldCharType="separate"/>
    </w:r>
    <w:r w:rsidR="00FF2916">
      <w:rPr>
        <w:rStyle w:val="PageNumber"/>
        <w:noProof/>
      </w:rPr>
      <w:t>10</w:t>
    </w:r>
    <w:r w:rsidRPr="001D765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00" w:rsidRDefault="00457D00" w:rsidP="0044768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5D0"/>
    <w:multiLevelType w:val="hybridMultilevel"/>
    <w:tmpl w:val="944EE97E"/>
    <w:lvl w:ilvl="0" w:tplc="DA0C8E9A">
      <w:start w:val="1"/>
      <w:numFmt w:val="decimal"/>
      <w:pStyle w:val="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12237"/>
    <w:multiLevelType w:val="hybridMultilevel"/>
    <w:tmpl w:val="36AA933E"/>
    <w:lvl w:ilvl="0" w:tplc="0174046E">
      <w:start w:val="1"/>
      <w:numFmt w:val="decimal"/>
      <w:pStyle w:val="Numberedlist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4035E"/>
    <w:multiLevelType w:val="hybridMultilevel"/>
    <w:tmpl w:val="40102C9E"/>
    <w:lvl w:ilvl="0" w:tplc="B5B4420C">
      <w:numFmt w:val="bullet"/>
      <w:pStyle w:val="Level3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Calibri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E2503"/>
    <w:multiLevelType w:val="multilevel"/>
    <w:tmpl w:val="58C625A4"/>
    <w:styleLink w:val="Tablebulletlis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D224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950253B"/>
    <w:multiLevelType w:val="multilevel"/>
    <w:tmpl w:val="A57616B4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A717DC7"/>
    <w:multiLevelType w:val="multilevel"/>
    <w:tmpl w:val="F690BD30"/>
    <w:lvl w:ilvl="0">
      <w:start w:val="1"/>
      <w:numFmt w:val="decimal"/>
      <w:pStyle w:val="HeadingH1"/>
      <w:lvlText w:val="PART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z w:val="32"/>
        <w:szCs w:val="32"/>
      </w:rPr>
    </w:lvl>
    <w:lvl w:ilvl="1">
      <w:start w:val="1"/>
      <w:numFmt w:val="decimal"/>
      <w:pStyle w:val="HeadingH2"/>
      <w:lvlText w:val="SUBPART %2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pStyle w:val="HeadingH3SectionHeading"/>
      <w:lvlText w:val="SECTION 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2"/>
      <w:pStyle w:val="HeadingH4Clausetext"/>
      <w:lvlText w:val="%1.%2.%4"/>
      <w:lvlJc w:val="left"/>
      <w:pPr>
        <w:tabs>
          <w:tab w:val="num" w:pos="652"/>
        </w:tabs>
        <w:ind w:left="652" w:hanging="652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H5ClausesubtextL1"/>
      <w:lvlText w:val="(%5)"/>
      <w:lvlJc w:val="left"/>
      <w:pPr>
        <w:tabs>
          <w:tab w:val="num" w:pos="652"/>
        </w:tabs>
        <w:ind w:left="652" w:hanging="652"/>
      </w:pPr>
      <w:rPr>
        <w:rFonts w:ascii="Calibri" w:hAnsi="Calibri" w:hint="default"/>
      </w:rPr>
    </w:lvl>
    <w:lvl w:ilvl="5">
      <w:start w:val="1"/>
      <w:numFmt w:val="lowerLetter"/>
      <w:pStyle w:val="HeadingH6ClausesubtextL2"/>
      <w:lvlText w:val="(%6)"/>
      <w:lvlJc w:val="left"/>
      <w:pPr>
        <w:tabs>
          <w:tab w:val="num" w:pos="1764"/>
        </w:tabs>
        <w:ind w:left="1764" w:hanging="567"/>
      </w:pPr>
      <w:rPr>
        <w:rFonts w:ascii="Calibri" w:hAnsi="Calibri" w:hint="default"/>
      </w:rPr>
    </w:lvl>
    <w:lvl w:ilvl="6">
      <w:start w:val="1"/>
      <w:numFmt w:val="lowerRoman"/>
      <w:pStyle w:val="HeadingH7ClausesubtextL3"/>
      <w:lvlText w:val="(%7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7">
      <w:start w:val="1"/>
      <w:numFmt w:val="decimal"/>
      <w:lvlRestart w:val="0"/>
      <w:pStyle w:val="HeadingFigureHeading"/>
      <w:lvlText w:val="Figure 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9A52D8"/>
    <w:multiLevelType w:val="hybridMultilevel"/>
    <w:tmpl w:val="6584DC9C"/>
    <w:lvl w:ilvl="0" w:tplc="9E408F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62BAE"/>
    <w:multiLevelType w:val="multilevel"/>
    <w:tmpl w:val="102E164E"/>
    <w:styleLink w:val="Outlinestyle"/>
    <w:lvl w:ilvl="0">
      <w:start w:val="1"/>
      <w:numFmt w:val="decimal"/>
      <w:pStyle w:val="Par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Par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Par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435314D2"/>
    <w:multiLevelType w:val="hybridMultilevel"/>
    <w:tmpl w:val="FEC20E48"/>
    <w:lvl w:ilvl="0" w:tplc="24A2CDF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5353F"/>
    <w:multiLevelType w:val="multilevel"/>
    <w:tmpl w:val="8292B964"/>
    <w:styleLink w:val="zInstructionsbulletlist"/>
    <w:lvl w:ilvl="0">
      <w:start w:val="1"/>
      <w:numFmt w:val="bullet"/>
      <w:pStyle w:val="zInstructions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58C66B4A"/>
    <w:multiLevelType w:val="multilevel"/>
    <w:tmpl w:val="9D00A394"/>
    <w:styleLink w:val="Attachmentsliststyle"/>
    <w:lvl w:ilvl="0">
      <w:start w:val="1"/>
      <w:numFmt w:val="upperLetter"/>
      <w:pStyle w:val="Attachmentsheading"/>
      <w:lvlText w:val="Attachment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91E0F60"/>
    <w:multiLevelType w:val="hybridMultilevel"/>
    <w:tmpl w:val="AA062754"/>
    <w:lvl w:ilvl="0" w:tplc="A6C42CF8">
      <w:start w:val="1"/>
      <w:numFmt w:val="bullet"/>
      <w:pStyle w:val="Level1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9788F"/>
    <w:multiLevelType w:val="multilevel"/>
    <w:tmpl w:val="102E164E"/>
    <w:numStyleLink w:val="Outlinestyle"/>
  </w:abstractNum>
  <w:abstractNum w:abstractNumId="13">
    <w:nsid w:val="79AE6065"/>
    <w:multiLevelType w:val="multilevel"/>
    <w:tmpl w:val="FD2E6198"/>
    <w:styleLink w:val="Bulletliststyle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u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7CCB3E2C"/>
    <w:multiLevelType w:val="hybridMultilevel"/>
    <w:tmpl w:val="94A29726"/>
    <w:lvl w:ilvl="0" w:tplc="26B6920E">
      <w:numFmt w:val="bullet"/>
      <w:pStyle w:val="Level2bullet"/>
      <w:lvlText w:val=""/>
      <w:lvlJc w:val="left"/>
      <w:pPr>
        <w:tabs>
          <w:tab w:val="num" w:pos="568"/>
        </w:tabs>
        <w:ind w:left="568" w:hanging="284"/>
      </w:pPr>
      <w:rPr>
        <w:rFonts w:ascii="Symbol" w:eastAsia="Calibri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5"/>
  </w:num>
  <w:num w:numId="17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9">
    <w:abstractNumId w:val="6"/>
  </w:num>
  <w:num w:numId="20">
    <w:abstractNumId w:val="12"/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</w:num>
  <w:num w:numId="21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2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pStyle w:val="Para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Para2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Para3"/>
        <w:lvlText w:val="%1.%2.%3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ara4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pStyle w:val="Para5"/>
        <w:lvlText w:val="(%5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SavedAs" w:val="1883949.1"/>
    <w:docVar w:name="WordOperator" w:val="AMW"/>
  </w:docVars>
  <w:rsids>
    <w:rsidRoot w:val="00BB1CDB"/>
    <w:rsid w:val="00012AF2"/>
    <w:rsid w:val="00035B14"/>
    <w:rsid w:val="00060608"/>
    <w:rsid w:val="00062ECF"/>
    <w:rsid w:val="00075444"/>
    <w:rsid w:val="0008008D"/>
    <w:rsid w:val="00087F5D"/>
    <w:rsid w:val="00090346"/>
    <w:rsid w:val="000904E6"/>
    <w:rsid w:val="00090727"/>
    <w:rsid w:val="000930D6"/>
    <w:rsid w:val="00096237"/>
    <w:rsid w:val="000A0D6B"/>
    <w:rsid w:val="000A5550"/>
    <w:rsid w:val="000A584E"/>
    <w:rsid w:val="000B0A51"/>
    <w:rsid w:val="000B3702"/>
    <w:rsid w:val="000C0DAB"/>
    <w:rsid w:val="000D6BDB"/>
    <w:rsid w:val="000D6FA8"/>
    <w:rsid w:val="000E04E6"/>
    <w:rsid w:val="000F4B17"/>
    <w:rsid w:val="0010489A"/>
    <w:rsid w:val="001132DE"/>
    <w:rsid w:val="00113F9A"/>
    <w:rsid w:val="0012329A"/>
    <w:rsid w:val="00126C06"/>
    <w:rsid w:val="00126DD6"/>
    <w:rsid w:val="00130761"/>
    <w:rsid w:val="00140E12"/>
    <w:rsid w:val="0014147F"/>
    <w:rsid w:val="001566BF"/>
    <w:rsid w:val="0015715F"/>
    <w:rsid w:val="0016534A"/>
    <w:rsid w:val="00167BCF"/>
    <w:rsid w:val="00176486"/>
    <w:rsid w:val="00180A21"/>
    <w:rsid w:val="00182E25"/>
    <w:rsid w:val="0018387A"/>
    <w:rsid w:val="00184191"/>
    <w:rsid w:val="001845F6"/>
    <w:rsid w:val="00192965"/>
    <w:rsid w:val="001948F4"/>
    <w:rsid w:val="00196CDD"/>
    <w:rsid w:val="001A4595"/>
    <w:rsid w:val="001B1E70"/>
    <w:rsid w:val="001B47FF"/>
    <w:rsid w:val="001D7657"/>
    <w:rsid w:val="001E34CB"/>
    <w:rsid w:val="002045EF"/>
    <w:rsid w:val="00226D7D"/>
    <w:rsid w:val="00235A4B"/>
    <w:rsid w:val="002649D8"/>
    <w:rsid w:val="00273751"/>
    <w:rsid w:val="00275CC6"/>
    <w:rsid w:val="00282BE7"/>
    <w:rsid w:val="00287994"/>
    <w:rsid w:val="00295209"/>
    <w:rsid w:val="002A1B47"/>
    <w:rsid w:val="002A47F9"/>
    <w:rsid w:val="002A6196"/>
    <w:rsid w:val="002B4091"/>
    <w:rsid w:val="002B798C"/>
    <w:rsid w:val="002D53F4"/>
    <w:rsid w:val="003003CF"/>
    <w:rsid w:val="0031466A"/>
    <w:rsid w:val="00321FBD"/>
    <w:rsid w:val="00342AFA"/>
    <w:rsid w:val="00352045"/>
    <w:rsid w:val="003546A5"/>
    <w:rsid w:val="00355898"/>
    <w:rsid w:val="00364035"/>
    <w:rsid w:val="00366875"/>
    <w:rsid w:val="003745C4"/>
    <w:rsid w:val="0037524D"/>
    <w:rsid w:val="003A6B84"/>
    <w:rsid w:val="003B0B55"/>
    <w:rsid w:val="003B1B9B"/>
    <w:rsid w:val="003B5858"/>
    <w:rsid w:val="003B6A88"/>
    <w:rsid w:val="003B725F"/>
    <w:rsid w:val="003C0259"/>
    <w:rsid w:val="003E2138"/>
    <w:rsid w:val="003F154A"/>
    <w:rsid w:val="003F512B"/>
    <w:rsid w:val="003F66A7"/>
    <w:rsid w:val="003F790D"/>
    <w:rsid w:val="00407D22"/>
    <w:rsid w:val="00412956"/>
    <w:rsid w:val="00417CE6"/>
    <w:rsid w:val="00424431"/>
    <w:rsid w:val="0042691E"/>
    <w:rsid w:val="004349D3"/>
    <w:rsid w:val="0044768C"/>
    <w:rsid w:val="004557CC"/>
    <w:rsid w:val="00457D00"/>
    <w:rsid w:val="0046186F"/>
    <w:rsid w:val="004665AB"/>
    <w:rsid w:val="00471049"/>
    <w:rsid w:val="00475D31"/>
    <w:rsid w:val="00483060"/>
    <w:rsid w:val="00487F7A"/>
    <w:rsid w:val="004C45B1"/>
    <w:rsid w:val="004D1A98"/>
    <w:rsid w:val="004E48B7"/>
    <w:rsid w:val="00515A10"/>
    <w:rsid w:val="00517783"/>
    <w:rsid w:val="00532A9D"/>
    <w:rsid w:val="00533FA3"/>
    <w:rsid w:val="005368D7"/>
    <w:rsid w:val="00537F3C"/>
    <w:rsid w:val="005429D9"/>
    <w:rsid w:val="005562F5"/>
    <w:rsid w:val="0057306C"/>
    <w:rsid w:val="00574915"/>
    <w:rsid w:val="00595CE3"/>
    <w:rsid w:val="005A7573"/>
    <w:rsid w:val="005C1208"/>
    <w:rsid w:val="005D60F0"/>
    <w:rsid w:val="005D7F50"/>
    <w:rsid w:val="005F2DA0"/>
    <w:rsid w:val="005F383F"/>
    <w:rsid w:val="00601CC8"/>
    <w:rsid w:val="00606164"/>
    <w:rsid w:val="006112C5"/>
    <w:rsid w:val="0062068A"/>
    <w:rsid w:val="00621D77"/>
    <w:rsid w:val="00625656"/>
    <w:rsid w:val="00627666"/>
    <w:rsid w:val="00633EB5"/>
    <w:rsid w:val="00634BC8"/>
    <w:rsid w:val="006376C9"/>
    <w:rsid w:val="00637BEE"/>
    <w:rsid w:val="00640B44"/>
    <w:rsid w:val="00652047"/>
    <w:rsid w:val="0065325A"/>
    <w:rsid w:val="00664E51"/>
    <w:rsid w:val="0069380F"/>
    <w:rsid w:val="00694EF4"/>
    <w:rsid w:val="006B4F4F"/>
    <w:rsid w:val="006B6A68"/>
    <w:rsid w:val="006D0F27"/>
    <w:rsid w:val="006D4FAC"/>
    <w:rsid w:val="006D5120"/>
    <w:rsid w:val="006E0BDF"/>
    <w:rsid w:val="006F102A"/>
    <w:rsid w:val="00721148"/>
    <w:rsid w:val="0074155C"/>
    <w:rsid w:val="00754EAD"/>
    <w:rsid w:val="00762923"/>
    <w:rsid w:val="00767FAF"/>
    <w:rsid w:val="007827BC"/>
    <w:rsid w:val="00793EF5"/>
    <w:rsid w:val="00796F86"/>
    <w:rsid w:val="007A2568"/>
    <w:rsid w:val="007B126A"/>
    <w:rsid w:val="007B387A"/>
    <w:rsid w:val="007D53EC"/>
    <w:rsid w:val="007D66D5"/>
    <w:rsid w:val="007D6937"/>
    <w:rsid w:val="007F109B"/>
    <w:rsid w:val="007F7260"/>
    <w:rsid w:val="008024F7"/>
    <w:rsid w:val="00811656"/>
    <w:rsid w:val="0081624B"/>
    <w:rsid w:val="00817758"/>
    <w:rsid w:val="00833FB3"/>
    <w:rsid w:val="00835D7A"/>
    <w:rsid w:val="008360D1"/>
    <w:rsid w:val="0084027D"/>
    <w:rsid w:val="00842329"/>
    <w:rsid w:val="0084273B"/>
    <w:rsid w:val="0084276D"/>
    <w:rsid w:val="008522FC"/>
    <w:rsid w:val="00854B7E"/>
    <w:rsid w:val="00860AB7"/>
    <w:rsid w:val="00871110"/>
    <w:rsid w:val="00875B0C"/>
    <w:rsid w:val="0088567F"/>
    <w:rsid w:val="008928D2"/>
    <w:rsid w:val="008A3B39"/>
    <w:rsid w:val="008B7A8A"/>
    <w:rsid w:val="008C1A80"/>
    <w:rsid w:val="008C2BFE"/>
    <w:rsid w:val="008C4F8C"/>
    <w:rsid w:val="008D31A8"/>
    <w:rsid w:val="008D69E6"/>
    <w:rsid w:val="008D7321"/>
    <w:rsid w:val="008E0099"/>
    <w:rsid w:val="008E1250"/>
    <w:rsid w:val="008F1CDC"/>
    <w:rsid w:val="008F32BF"/>
    <w:rsid w:val="0090125C"/>
    <w:rsid w:val="00901E87"/>
    <w:rsid w:val="00907F3F"/>
    <w:rsid w:val="00927366"/>
    <w:rsid w:val="0093486B"/>
    <w:rsid w:val="00934D05"/>
    <w:rsid w:val="009425B8"/>
    <w:rsid w:val="009448AB"/>
    <w:rsid w:val="00946427"/>
    <w:rsid w:val="00952B36"/>
    <w:rsid w:val="00955509"/>
    <w:rsid w:val="0096417F"/>
    <w:rsid w:val="009658DA"/>
    <w:rsid w:val="009740D0"/>
    <w:rsid w:val="00980C00"/>
    <w:rsid w:val="009908F8"/>
    <w:rsid w:val="00997F94"/>
    <w:rsid w:val="009B3AE0"/>
    <w:rsid w:val="009B5BC3"/>
    <w:rsid w:val="009B6DD3"/>
    <w:rsid w:val="009B7408"/>
    <w:rsid w:val="009D6B64"/>
    <w:rsid w:val="009E2879"/>
    <w:rsid w:val="009F128D"/>
    <w:rsid w:val="009F5EC2"/>
    <w:rsid w:val="009F701F"/>
    <w:rsid w:val="00A008C2"/>
    <w:rsid w:val="00A00D39"/>
    <w:rsid w:val="00A06261"/>
    <w:rsid w:val="00A10A3D"/>
    <w:rsid w:val="00A164B4"/>
    <w:rsid w:val="00A22BFA"/>
    <w:rsid w:val="00A31D26"/>
    <w:rsid w:val="00A33DB3"/>
    <w:rsid w:val="00A4469E"/>
    <w:rsid w:val="00A47888"/>
    <w:rsid w:val="00A50849"/>
    <w:rsid w:val="00A61078"/>
    <w:rsid w:val="00A64675"/>
    <w:rsid w:val="00A64D90"/>
    <w:rsid w:val="00A77417"/>
    <w:rsid w:val="00A80C3E"/>
    <w:rsid w:val="00A82AB9"/>
    <w:rsid w:val="00A8399E"/>
    <w:rsid w:val="00A95807"/>
    <w:rsid w:val="00AA31D8"/>
    <w:rsid w:val="00AA422B"/>
    <w:rsid w:val="00AA430F"/>
    <w:rsid w:val="00AA4BBE"/>
    <w:rsid w:val="00AB5457"/>
    <w:rsid w:val="00AC6B05"/>
    <w:rsid w:val="00AC7CFB"/>
    <w:rsid w:val="00AE251F"/>
    <w:rsid w:val="00AE52B5"/>
    <w:rsid w:val="00B10691"/>
    <w:rsid w:val="00B27B22"/>
    <w:rsid w:val="00B32B3B"/>
    <w:rsid w:val="00B32BEB"/>
    <w:rsid w:val="00B342E8"/>
    <w:rsid w:val="00B40A2D"/>
    <w:rsid w:val="00B518F8"/>
    <w:rsid w:val="00B54FCF"/>
    <w:rsid w:val="00B7392D"/>
    <w:rsid w:val="00B80C5D"/>
    <w:rsid w:val="00B91421"/>
    <w:rsid w:val="00B92D2C"/>
    <w:rsid w:val="00B95FFD"/>
    <w:rsid w:val="00BA2685"/>
    <w:rsid w:val="00BA35EF"/>
    <w:rsid w:val="00BB1628"/>
    <w:rsid w:val="00BB1CDB"/>
    <w:rsid w:val="00BB5D0D"/>
    <w:rsid w:val="00BB68DF"/>
    <w:rsid w:val="00BC6750"/>
    <w:rsid w:val="00BF1239"/>
    <w:rsid w:val="00BF4B79"/>
    <w:rsid w:val="00BF5A5D"/>
    <w:rsid w:val="00C0016F"/>
    <w:rsid w:val="00C00BDE"/>
    <w:rsid w:val="00C06075"/>
    <w:rsid w:val="00C07C87"/>
    <w:rsid w:val="00C07F1E"/>
    <w:rsid w:val="00C13212"/>
    <w:rsid w:val="00C14584"/>
    <w:rsid w:val="00C27058"/>
    <w:rsid w:val="00C70021"/>
    <w:rsid w:val="00C70E6F"/>
    <w:rsid w:val="00C85104"/>
    <w:rsid w:val="00C93F35"/>
    <w:rsid w:val="00CA2547"/>
    <w:rsid w:val="00CA2D9B"/>
    <w:rsid w:val="00CA40B7"/>
    <w:rsid w:val="00CB072C"/>
    <w:rsid w:val="00CE52E5"/>
    <w:rsid w:val="00CE5721"/>
    <w:rsid w:val="00D02CC4"/>
    <w:rsid w:val="00D221BF"/>
    <w:rsid w:val="00D22A41"/>
    <w:rsid w:val="00D26FC5"/>
    <w:rsid w:val="00D5502E"/>
    <w:rsid w:val="00D605C2"/>
    <w:rsid w:val="00D6162E"/>
    <w:rsid w:val="00D62F2A"/>
    <w:rsid w:val="00D64583"/>
    <w:rsid w:val="00D8236E"/>
    <w:rsid w:val="00D82E8E"/>
    <w:rsid w:val="00DA038C"/>
    <w:rsid w:val="00DA1757"/>
    <w:rsid w:val="00DB5513"/>
    <w:rsid w:val="00DC38EC"/>
    <w:rsid w:val="00DD066C"/>
    <w:rsid w:val="00DE0A25"/>
    <w:rsid w:val="00DE2A8A"/>
    <w:rsid w:val="00DF18F5"/>
    <w:rsid w:val="00E01567"/>
    <w:rsid w:val="00E01FD9"/>
    <w:rsid w:val="00E0314C"/>
    <w:rsid w:val="00E14918"/>
    <w:rsid w:val="00E15BF5"/>
    <w:rsid w:val="00E16F7B"/>
    <w:rsid w:val="00E25C2F"/>
    <w:rsid w:val="00E27142"/>
    <w:rsid w:val="00E27880"/>
    <w:rsid w:val="00E378F2"/>
    <w:rsid w:val="00E400BF"/>
    <w:rsid w:val="00E40E6E"/>
    <w:rsid w:val="00E46CE9"/>
    <w:rsid w:val="00E60CF5"/>
    <w:rsid w:val="00E6624C"/>
    <w:rsid w:val="00E7103D"/>
    <w:rsid w:val="00E77E73"/>
    <w:rsid w:val="00E85587"/>
    <w:rsid w:val="00EA50E9"/>
    <w:rsid w:val="00EB199C"/>
    <w:rsid w:val="00ED3A5B"/>
    <w:rsid w:val="00ED6373"/>
    <w:rsid w:val="00EE715F"/>
    <w:rsid w:val="00EF740F"/>
    <w:rsid w:val="00F07042"/>
    <w:rsid w:val="00F100C1"/>
    <w:rsid w:val="00F25895"/>
    <w:rsid w:val="00F4063E"/>
    <w:rsid w:val="00F67F68"/>
    <w:rsid w:val="00F71846"/>
    <w:rsid w:val="00F77405"/>
    <w:rsid w:val="00F84C0B"/>
    <w:rsid w:val="00F90830"/>
    <w:rsid w:val="00F91222"/>
    <w:rsid w:val="00F9376C"/>
    <w:rsid w:val="00F96CE5"/>
    <w:rsid w:val="00FA0734"/>
    <w:rsid w:val="00FA6D08"/>
    <w:rsid w:val="00FA7949"/>
    <w:rsid w:val="00FB1D24"/>
    <w:rsid w:val="00FC017A"/>
    <w:rsid w:val="00FC1B1B"/>
    <w:rsid w:val="00FC23A2"/>
    <w:rsid w:val="00FC6798"/>
    <w:rsid w:val="00FF2916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rsid w:val="001D7657"/>
    <w:rPr>
      <w:rFonts w:ascii="Calibri" w:hAnsi="Calibri"/>
      <w:sz w:val="24"/>
      <w:lang w:eastAsia="en-GB"/>
    </w:rPr>
  </w:style>
  <w:style w:type="paragraph" w:styleId="Heading1">
    <w:name w:val="heading 1"/>
    <w:basedOn w:val="Normal"/>
    <w:next w:val="BodyText"/>
    <w:qFormat/>
    <w:rsid w:val="001D7657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link w:val="Heading2Char"/>
    <w:qFormat/>
    <w:rsid w:val="001D7657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D7657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semiHidden/>
    <w:qFormat/>
    <w:rsid w:val="001D7657"/>
    <w:pPr>
      <w:outlineLvl w:val="3"/>
    </w:pPr>
  </w:style>
  <w:style w:type="paragraph" w:styleId="Heading5">
    <w:name w:val="heading 5"/>
    <w:basedOn w:val="Normal"/>
    <w:semiHidden/>
    <w:qFormat/>
    <w:rsid w:val="001D7657"/>
    <w:pPr>
      <w:outlineLvl w:val="4"/>
    </w:pPr>
  </w:style>
  <w:style w:type="paragraph" w:styleId="Heading6">
    <w:name w:val="heading 6"/>
    <w:basedOn w:val="Normal"/>
    <w:semiHidden/>
    <w:qFormat/>
    <w:rsid w:val="001D7657"/>
    <w:pPr>
      <w:outlineLvl w:val="5"/>
    </w:pPr>
  </w:style>
  <w:style w:type="paragraph" w:styleId="Heading7">
    <w:name w:val="heading 7"/>
    <w:basedOn w:val="Normal"/>
    <w:next w:val="Normal"/>
    <w:semiHidden/>
    <w:qFormat/>
    <w:rsid w:val="001D7657"/>
    <w:pPr>
      <w:outlineLvl w:val="6"/>
    </w:pPr>
  </w:style>
  <w:style w:type="paragraph" w:styleId="Heading8">
    <w:name w:val="heading 8"/>
    <w:basedOn w:val="Normal"/>
    <w:next w:val="Normal"/>
    <w:semiHidden/>
    <w:qFormat/>
    <w:rsid w:val="001D7657"/>
    <w:pPr>
      <w:outlineLvl w:val="7"/>
    </w:pPr>
  </w:style>
  <w:style w:type="paragraph" w:styleId="Heading9">
    <w:name w:val="heading 9"/>
    <w:basedOn w:val="Normal"/>
    <w:next w:val="Normal"/>
    <w:semiHidden/>
    <w:qFormat/>
    <w:rsid w:val="001D76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D7657"/>
    <w:pPr>
      <w:spacing w:after="240" w:line="264" w:lineRule="atLeast"/>
    </w:pPr>
  </w:style>
  <w:style w:type="character" w:customStyle="1" w:styleId="BodyTextChar">
    <w:name w:val="Body Text Char"/>
    <w:basedOn w:val="DefaultParagraphFont"/>
    <w:link w:val="BodyText"/>
    <w:rsid w:val="00FA6D08"/>
    <w:rPr>
      <w:rFonts w:ascii="Calibri" w:hAnsi="Calibri"/>
      <w:sz w:val="24"/>
      <w:lang w:eastAsia="en-GB"/>
    </w:rPr>
  </w:style>
  <w:style w:type="paragraph" w:customStyle="1" w:styleId="Bullet">
    <w:name w:val="Bullet"/>
    <w:basedOn w:val="Normal"/>
    <w:qFormat/>
    <w:rsid w:val="008D31A8"/>
    <w:pPr>
      <w:numPr>
        <w:numId w:val="15"/>
      </w:numPr>
      <w:spacing w:before="120"/>
    </w:pPr>
  </w:style>
  <w:style w:type="numbering" w:customStyle="1" w:styleId="Bulletliststyle">
    <w:name w:val="Bullet list style"/>
    <w:basedOn w:val="NoList"/>
    <w:uiPriority w:val="99"/>
    <w:rsid w:val="008D31A8"/>
    <w:pPr>
      <w:numPr>
        <w:numId w:val="4"/>
      </w:numPr>
    </w:pPr>
  </w:style>
  <w:style w:type="paragraph" w:styleId="Date">
    <w:name w:val="Date"/>
    <w:basedOn w:val="Normal"/>
    <w:next w:val="BodyText"/>
    <w:link w:val="DateChar"/>
    <w:semiHidden/>
    <w:rsid w:val="001D7657"/>
    <w:pPr>
      <w:spacing w:after="454"/>
    </w:pPr>
  </w:style>
  <w:style w:type="character" w:customStyle="1" w:styleId="DateChar">
    <w:name w:val="Date Char"/>
    <w:basedOn w:val="DefaultParagraphFont"/>
    <w:link w:val="Date"/>
    <w:semiHidden/>
    <w:rsid w:val="00A22BFA"/>
    <w:rPr>
      <w:rFonts w:ascii="Calibri" w:hAnsi="Calibri"/>
      <w:sz w:val="24"/>
      <w:lang w:eastAsia="en-GB"/>
    </w:rPr>
  </w:style>
  <w:style w:type="paragraph" w:styleId="EnvelopeAddress">
    <w:name w:val="envelope address"/>
    <w:basedOn w:val="Normal"/>
    <w:semiHidden/>
    <w:rsid w:val="001D765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7657"/>
    <w:rPr>
      <w:rFonts w:cs="Arial"/>
      <w:color w:val="003366"/>
      <w:sz w:val="18"/>
      <w:szCs w:val="18"/>
    </w:rPr>
  </w:style>
  <w:style w:type="paragraph" w:styleId="Footer">
    <w:name w:val="footer"/>
    <w:basedOn w:val="Normal"/>
    <w:link w:val="FooterChar"/>
    <w:semiHidden/>
    <w:rsid w:val="001D765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22BFA"/>
    <w:rPr>
      <w:rFonts w:ascii="Calibri" w:hAnsi="Calibri"/>
      <w:lang w:eastAsia="en-GB"/>
    </w:rPr>
  </w:style>
  <w:style w:type="paragraph" w:styleId="FootnoteText">
    <w:name w:val="footnote text"/>
    <w:basedOn w:val="Normal"/>
    <w:link w:val="FootnoteTextChar"/>
    <w:semiHidden/>
    <w:rsid w:val="001D7657"/>
    <w:pPr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657"/>
    <w:rPr>
      <w:rFonts w:ascii="Calibri" w:hAnsi="Calibri"/>
      <w:lang w:eastAsia="en-GB"/>
    </w:rPr>
  </w:style>
  <w:style w:type="paragraph" w:styleId="Header">
    <w:name w:val="header"/>
    <w:basedOn w:val="Normal"/>
    <w:link w:val="HeaderChar"/>
    <w:semiHidden/>
    <w:rsid w:val="001D7657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A22BFA"/>
    <w:rPr>
      <w:rFonts w:ascii="Calibri" w:hAnsi="Calibri"/>
      <w:sz w:val="24"/>
      <w:lang w:eastAsia="en-GB"/>
    </w:rPr>
  </w:style>
  <w:style w:type="character" w:styleId="Hyperlink">
    <w:name w:val="Hyperlink"/>
    <w:basedOn w:val="DefaultParagraphFont"/>
    <w:semiHidden/>
    <w:rsid w:val="001D7657"/>
    <w:rPr>
      <w:color w:val="0000FF"/>
      <w:u w:val="single"/>
    </w:rPr>
  </w:style>
  <w:style w:type="paragraph" w:styleId="List">
    <w:name w:val="List"/>
    <w:basedOn w:val="BodyText"/>
    <w:semiHidden/>
    <w:rsid w:val="001D7657"/>
    <w:pPr>
      <w:numPr>
        <w:numId w:val="8"/>
      </w:numPr>
    </w:pPr>
  </w:style>
  <w:style w:type="paragraph" w:styleId="ListBullet">
    <w:name w:val="List Bullet"/>
    <w:basedOn w:val="BodyText"/>
    <w:semiHidden/>
    <w:rsid w:val="001D7657"/>
  </w:style>
  <w:style w:type="paragraph" w:styleId="ListBullet2">
    <w:name w:val="List Bullet 2"/>
    <w:basedOn w:val="BodyText"/>
    <w:rsid w:val="001D7657"/>
  </w:style>
  <w:style w:type="paragraph" w:styleId="ListBullet3">
    <w:name w:val="List Bullet 3"/>
    <w:basedOn w:val="BodyText"/>
    <w:semiHidden/>
    <w:rsid w:val="001D7657"/>
  </w:style>
  <w:style w:type="numbering" w:customStyle="1" w:styleId="Outlinestyle">
    <w:name w:val="Outline style"/>
    <w:basedOn w:val="NoList"/>
    <w:uiPriority w:val="99"/>
    <w:rsid w:val="001D7657"/>
    <w:pPr>
      <w:numPr>
        <w:numId w:val="11"/>
      </w:numPr>
    </w:pPr>
  </w:style>
  <w:style w:type="character" w:styleId="PageNumber">
    <w:name w:val="page number"/>
    <w:basedOn w:val="DefaultParagraphFont"/>
    <w:semiHidden/>
    <w:rsid w:val="001D7657"/>
    <w:rPr>
      <w:rFonts w:ascii="Calibri" w:hAnsi="Calibri"/>
      <w:sz w:val="20"/>
    </w:rPr>
  </w:style>
  <w:style w:type="paragraph" w:customStyle="1" w:styleId="Quotation">
    <w:name w:val="Quotation"/>
    <w:basedOn w:val="BodyText"/>
    <w:qFormat/>
    <w:rsid w:val="00980C00"/>
    <w:pPr>
      <w:ind w:left="709" w:right="709"/>
    </w:pPr>
    <w:rPr>
      <w:sz w:val="20"/>
    </w:rPr>
  </w:style>
  <w:style w:type="paragraph" w:customStyle="1" w:styleId="Tablebodytext">
    <w:name w:val="Table body text"/>
    <w:basedOn w:val="BodyText"/>
    <w:qFormat/>
    <w:rsid w:val="001D7657"/>
    <w:rPr>
      <w:rFonts w:cs="Arial"/>
      <w:szCs w:val="17"/>
    </w:rPr>
  </w:style>
  <w:style w:type="paragraph" w:customStyle="1" w:styleId="Tablebullet">
    <w:name w:val="Table bullet"/>
    <w:basedOn w:val="Tablebodytext"/>
    <w:qFormat/>
    <w:rsid w:val="001D7657"/>
    <w:pPr>
      <w:numPr>
        <w:numId w:val="13"/>
      </w:numPr>
    </w:pPr>
  </w:style>
  <w:style w:type="table" w:styleId="TableGrid">
    <w:name w:val="Table Grid"/>
    <w:basedOn w:val="TableNormal"/>
    <w:rsid w:val="001D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bodytext"/>
    <w:qFormat/>
    <w:rsid w:val="001D7657"/>
    <w:pPr>
      <w:keepNext/>
      <w:spacing w:after="60"/>
      <w:jc w:val="center"/>
    </w:pPr>
    <w:rPr>
      <w:b/>
    </w:rPr>
  </w:style>
  <w:style w:type="paragraph" w:customStyle="1" w:styleId="Tablenumberedlist">
    <w:name w:val="Table numbered list"/>
    <w:basedOn w:val="Tablebodytext"/>
    <w:qFormat/>
    <w:rsid w:val="001D7657"/>
    <w:pPr>
      <w:numPr>
        <w:numId w:val="14"/>
      </w:numPr>
    </w:pPr>
  </w:style>
  <w:style w:type="paragraph" w:styleId="TableofAuthorities">
    <w:name w:val="table of authorities"/>
    <w:basedOn w:val="Normal"/>
    <w:next w:val="Normal"/>
    <w:semiHidden/>
    <w:rsid w:val="001D7657"/>
    <w:pPr>
      <w:ind w:left="200" w:hanging="200"/>
    </w:pPr>
  </w:style>
  <w:style w:type="paragraph" w:styleId="Title">
    <w:name w:val="Title"/>
    <w:basedOn w:val="Normal"/>
    <w:next w:val="BodyText"/>
    <w:link w:val="TitleChar"/>
    <w:qFormat/>
    <w:rsid w:val="001D7657"/>
    <w:pPr>
      <w:keepNext/>
      <w:spacing w:after="24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22BFA"/>
    <w:rPr>
      <w:rFonts w:ascii="Calibri" w:hAnsi="Calibri"/>
      <w:b/>
      <w:sz w:val="36"/>
      <w:lang w:eastAsia="en-GB"/>
    </w:rPr>
  </w:style>
  <w:style w:type="paragraph" w:styleId="TOC1">
    <w:name w:val="toc 1"/>
    <w:basedOn w:val="Normal"/>
    <w:autoRedefine/>
    <w:uiPriority w:val="39"/>
    <w:rsid w:val="008D31A8"/>
    <w:pPr>
      <w:tabs>
        <w:tab w:val="right" w:leader="dot" w:pos="8930"/>
      </w:tabs>
      <w:ind w:right="425"/>
    </w:pPr>
    <w:rPr>
      <w:b/>
      <w:caps/>
      <w:sz w:val="22"/>
    </w:rPr>
  </w:style>
  <w:style w:type="paragraph" w:styleId="TOC2">
    <w:name w:val="toc 2"/>
    <w:basedOn w:val="TOC1"/>
    <w:autoRedefine/>
    <w:uiPriority w:val="39"/>
    <w:rsid w:val="008D31A8"/>
    <w:pPr>
      <w:tabs>
        <w:tab w:val="clear" w:pos="8930"/>
        <w:tab w:val="right" w:leader="dot" w:pos="8931"/>
      </w:tabs>
      <w:ind w:left="425"/>
    </w:pPr>
    <w:rPr>
      <w:b w:val="0"/>
      <w:noProof/>
    </w:rPr>
  </w:style>
  <w:style w:type="paragraph" w:styleId="TOC3">
    <w:name w:val="toc 3"/>
    <w:basedOn w:val="TOC2"/>
    <w:autoRedefine/>
    <w:uiPriority w:val="39"/>
    <w:rsid w:val="008D31A8"/>
    <w:pPr>
      <w:ind w:left="851"/>
    </w:pPr>
    <w:rPr>
      <w:i/>
      <w:caps w:val="0"/>
      <w:sz w:val="20"/>
    </w:rPr>
  </w:style>
  <w:style w:type="paragraph" w:customStyle="1" w:styleId="Attachmentsheading">
    <w:name w:val="Attachments heading"/>
    <w:basedOn w:val="Normal"/>
    <w:next w:val="BodyText"/>
    <w:rsid w:val="001D7657"/>
    <w:pPr>
      <w:keepNext/>
      <w:pageBreakBefore/>
      <w:numPr>
        <w:numId w:val="3"/>
      </w:numPr>
      <w:spacing w:after="120"/>
    </w:pPr>
    <w:rPr>
      <w:b/>
      <w:sz w:val="28"/>
    </w:rPr>
  </w:style>
  <w:style w:type="numbering" w:customStyle="1" w:styleId="Attachmentsliststyle">
    <w:name w:val="Attachments list style"/>
    <w:basedOn w:val="NoList"/>
    <w:uiPriority w:val="99"/>
    <w:rsid w:val="001D7657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1D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FA8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aliases w:val="(NECG) Footnote Reference,(NECG) Footnote"/>
    <w:basedOn w:val="DefaultParagraphFont"/>
    <w:semiHidden/>
    <w:rsid w:val="001D7657"/>
    <w:rPr>
      <w:vertAlign w:val="superscript"/>
    </w:rPr>
  </w:style>
  <w:style w:type="paragraph" w:customStyle="1" w:styleId="Para1">
    <w:name w:val="Para 1"/>
    <w:basedOn w:val="BodyText"/>
    <w:qFormat/>
    <w:rsid w:val="001D7657"/>
    <w:pPr>
      <w:numPr>
        <w:numId w:val="12"/>
      </w:numPr>
    </w:pPr>
  </w:style>
  <w:style w:type="paragraph" w:customStyle="1" w:styleId="Para2">
    <w:name w:val="Para 2"/>
    <w:basedOn w:val="BodyText"/>
    <w:qFormat/>
    <w:rsid w:val="001D7657"/>
    <w:pPr>
      <w:numPr>
        <w:ilvl w:val="1"/>
        <w:numId w:val="12"/>
      </w:numPr>
    </w:pPr>
  </w:style>
  <w:style w:type="paragraph" w:customStyle="1" w:styleId="Para3">
    <w:name w:val="Para 3"/>
    <w:basedOn w:val="Para2"/>
    <w:qFormat/>
    <w:rsid w:val="001D7657"/>
    <w:pPr>
      <w:numPr>
        <w:ilvl w:val="2"/>
      </w:numPr>
    </w:pPr>
  </w:style>
  <w:style w:type="paragraph" w:customStyle="1" w:styleId="Para4">
    <w:name w:val="Para 4"/>
    <w:basedOn w:val="Para3"/>
    <w:qFormat/>
    <w:rsid w:val="001D7657"/>
    <w:pPr>
      <w:numPr>
        <w:ilvl w:val="3"/>
      </w:numPr>
    </w:pPr>
  </w:style>
  <w:style w:type="paragraph" w:customStyle="1" w:styleId="Para5">
    <w:name w:val="Para 5"/>
    <w:basedOn w:val="Para4"/>
    <w:qFormat/>
    <w:rsid w:val="001D7657"/>
    <w:pPr>
      <w:numPr>
        <w:ilvl w:val="4"/>
      </w:numPr>
    </w:pPr>
  </w:style>
  <w:style w:type="paragraph" w:customStyle="1" w:styleId="Singlespacedparagraph">
    <w:name w:val="Single spaced paragraph"/>
    <w:basedOn w:val="Normal"/>
    <w:qFormat/>
    <w:rsid w:val="001D7657"/>
  </w:style>
  <w:style w:type="numbering" w:customStyle="1" w:styleId="Tablebulletlist">
    <w:name w:val="Table bullet list"/>
    <w:uiPriority w:val="99"/>
    <w:rsid w:val="001D7657"/>
    <w:pPr>
      <w:numPr>
        <w:numId w:val="13"/>
      </w:numPr>
    </w:pPr>
  </w:style>
  <w:style w:type="paragraph" w:customStyle="1" w:styleId="zContactdetails">
    <w:name w:val="z_Contact details"/>
    <w:basedOn w:val="BodyText"/>
    <w:semiHidden/>
    <w:rsid w:val="001D7657"/>
    <w:pPr>
      <w:spacing w:after="120"/>
    </w:pPr>
  </w:style>
  <w:style w:type="paragraph" w:customStyle="1" w:styleId="zContactheadings">
    <w:name w:val="z_Contact headings"/>
    <w:basedOn w:val="BodyText"/>
    <w:semiHidden/>
    <w:rsid w:val="001D7657"/>
    <w:pPr>
      <w:spacing w:after="120"/>
    </w:pPr>
    <w:rPr>
      <w:b/>
    </w:rPr>
  </w:style>
  <w:style w:type="paragraph" w:customStyle="1" w:styleId="zPagename">
    <w:name w:val="z_Page name"/>
    <w:basedOn w:val="Title"/>
    <w:next w:val="BodyText"/>
    <w:semiHidden/>
    <w:rsid w:val="001D7657"/>
    <w:pPr>
      <w:spacing w:before="720"/>
    </w:pPr>
  </w:style>
  <w:style w:type="paragraph" w:customStyle="1" w:styleId="zInstructions">
    <w:name w:val="z_Instructions"/>
    <w:basedOn w:val="BodyText"/>
    <w:semiHidden/>
    <w:rsid w:val="00640B44"/>
    <w:pPr>
      <w:shd w:val="clear" w:color="auto" w:fill="A6A6A6" w:themeFill="background1" w:themeFillShade="A6"/>
      <w:spacing w:after="120" w:line="260" w:lineRule="atLeast"/>
    </w:pPr>
    <w:rPr>
      <w:color w:val="FFFFFF"/>
      <w:sz w:val="22"/>
    </w:rPr>
  </w:style>
  <w:style w:type="paragraph" w:customStyle="1" w:styleId="zInstructionsbullet">
    <w:name w:val="z_Instructions bullet"/>
    <w:basedOn w:val="zInstructions"/>
    <w:semiHidden/>
    <w:rsid w:val="00640B44"/>
    <w:pPr>
      <w:numPr>
        <w:numId w:val="2"/>
      </w:numPr>
    </w:pPr>
  </w:style>
  <w:style w:type="numbering" w:customStyle="1" w:styleId="zInstructionsbulletlist">
    <w:name w:val="z_Instructions bullet list"/>
    <w:basedOn w:val="NoList"/>
    <w:uiPriority w:val="99"/>
    <w:rsid w:val="00640B44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qFormat/>
    <w:rsid w:val="001D76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A7573"/>
    <w:rPr>
      <w:rFonts w:ascii="Calibri" w:hAnsi="Calibri"/>
      <w:sz w:val="24"/>
      <w:lang w:eastAsia="en-GB"/>
    </w:rPr>
  </w:style>
  <w:style w:type="paragraph" w:customStyle="1" w:styleId="ImanageHeader">
    <w:name w:val="ImanageHeader"/>
    <w:basedOn w:val="Normal"/>
    <w:semiHidden/>
    <w:rsid w:val="001D7657"/>
    <w:pPr>
      <w:jc w:val="right"/>
    </w:pPr>
    <w:rPr>
      <w:sz w:val="20"/>
    </w:rPr>
  </w:style>
  <w:style w:type="paragraph" w:customStyle="1" w:styleId="Level1bullet">
    <w:name w:val="Level 1 bullet"/>
    <w:basedOn w:val="Normal"/>
    <w:semiHidden/>
    <w:rsid w:val="001D7657"/>
    <w:pPr>
      <w:numPr>
        <w:numId w:val="5"/>
      </w:numPr>
      <w:spacing w:before="120"/>
    </w:pPr>
  </w:style>
  <w:style w:type="paragraph" w:customStyle="1" w:styleId="Level2bullet">
    <w:name w:val="Level 2 bullet"/>
    <w:basedOn w:val="Normal"/>
    <w:semiHidden/>
    <w:rsid w:val="001D7657"/>
    <w:pPr>
      <w:numPr>
        <w:numId w:val="6"/>
      </w:numPr>
      <w:spacing w:before="120"/>
    </w:pPr>
  </w:style>
  <w:style w:type="paragraph" w:customStyle="1" w:styleId="Level3bullet">
    <w:name w:val="Level 3 bullet"/>
    <w:basedOn w:val="Normal"/>
    <w:semiHidden/>
    <w:rsid w:val="001D7657"/>
    <w:pPr>
      <w:numPr>
        <w:numId w:val="7"/>
      </w:numPr>
      <w:spacing w:before="120"/>
    </w:pPr>
  </w:style>
  <w:style w:type="paragraph" w:customStyle="1" w:styleId="Numberedlist">
    <w:name w:val="Numbered list"/>
    <w:basedOn w:val="Normal"/>
    <w:semiHidden/>
    <w:rsid w:val="001D7657"/>
    <w:pPr>
      <w:numPr>
        <w:numId w:val="9"/>
      </w:numPr>
    </w:pPr>
  </w:style>
  <w:style w:type="paragraph" w:customStyle="1" w:styleId="Outline1">
    <w:name w:val="Outline 1"/>
    <w:basedOn w:val="Normal"/>
    <w:semiHidden/>
    <w:rsid w:val="001D7657"/>
    <w:pPr>
      <w:spacing w:after="120"/>
    </w:pPr>
  </w:style>
  <w:style w:type="paragraph" w:customStyle="1" w:styleId="Outline1Heading">
    <w:name w:val="Outline 1 Heading"/>
    <w:basedOn w:val="Normal"/>
    <w:next w:val="Outline1"/>
    <w:semiHidden/>
    <w:rsid w:val="001D7657"/>
    <w:pPr>
      <w:keepNext/>
      <w:spacing w:before="240" w:after="60"/>
      <w:outlineLvl w:val="0"/>
    </w:pPr>
    <w:rPr>
      <w:b/>
    </w:rPr>
  </w:style>
  <w:style w:type="paragraph" w:customStyle="1" w:styleId="Outline2">
    <w:name w:val="Outline 2"/>
    <w:basedOn w:val="Normal"/>
    <w:semiHidden/>
    <w:rsid w:val="001D7657"/>
    <w:pPr>
      <w:numPr>
        <w:numId w:val="10"/>
      </w:numPr>
      <w:spacing w:after="120"/>
    </w:pPr>
  </w:style>
  <w:style w:type="character" w:styleId="CommentReference">
    <w:name w:val="annotation reference"/>
    <w:basedOn w:val="DefaultParagraphFont"/>
    <w:semiHidden/>
    <w:rsid w:val="00417C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C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CE6"/>
    <w:rPr>
      <w:rFonts w:ascii="Calibri" w:hAnsi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25B8"/>
    <w:rPr>
      <w:rFonts w:ascii="Calibri" w:hAnsi="Calibri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rsid w:val="0044768C"/>
    <w:rPr>
      <w:rFonts w:ascii="Calibri" w:hAnsi="Calibri"/>
      <w:b/>
      <w:sz w:val="24"/>
      <w:lang w:eastAsia="en-GB"/>
    </w:rPr>
  </w:style>
  <w:style w:type="paragraph" w:customStyle="1" w:styleId="zFileRef">
    <w:name w:val="z_File Ref"/>
    <w:basedOn w:val="Normal"/>
    <w:semiHidden/>
    <w:rsid w:val="0044768C"/>
    <w:pPr>
      <w:jc w:val="right"/>
    </w:pPr>
  </w:style>
  <w:style w:type="character" w:customStyle="1" w:styleId="Emphasis-Italics">
    <w:name w:val="Emphasis - Italics"/>
    <w:rsid w:val="008C1A80"/>
    <w:rPr>
      <w:i/>
      <w:lang w:val="en-NZ"/>
    </w:rPr>
  </w:style>
  <w:style w:type="paragraph" w:customStyle="1" w:styleId="zReportsubtitle">
    <w:name w:val="z_Report sub title"/>
    <w:basedOn w:val="Normal"/>
    <w:semiHidden/>
    <w:rsid w:val="00C27058"/>
    <w:rPr>
      <w:b/>
      <w:sz w:val="28"/>
    </w:rPr>
  </w:style>
  <w:style w:type="paragraph" w:styleId="Revision">
    <w:name w:val="Revision"/>
    <w:hidden/>
    <w:uiPriority w:val="99"/>
    <w:semiHidden/>
    <w:rsid w:val="00C27058"/>
    <w:rPr>
      <w:rFonts w:ascii="Calibri" w:hAnsi="Calibri"/>
      <w:sz w:val="24"/>
      <w:lang w:eastAsia="en-GB"/>
    </w:rPr>
  </w:style>
  <w:style w:type="paragraph" w:customStyle="1" w:styleId="HeadingH1">
    <w:name w:val="Heading H1"/>
    <w:basedOn w:val="Normal"/>
    <w:next w:val="HeadingH2"/>
    <w:rsid w:val="00A06261"/>
    <w:pPr>
      <w:keepNext/>
      <w:pageBreakBefore/>
      <w:numPr>
        <w:numId w:val="16"/>
      </w:numPr>
      <w:spacing w:after="360" w:line="276" w:lineRule="auto"/>
      <w:jc w:val="center"/>
      <w:outlineLvl w:val="0"/>
    </w:pPr>
    <w:rPr>
      <w:rFonts w:asciiTheme="minorHAnsi" w:eastAsiaTheme="minorEastAsia" w:hAnsiTheme="minorHAnsi" w:cstheme="minorBidi"/>
      <w:b/>
      <w:caps/>
      <w:sz w:val="32"/>
      <w:szCs w:val="24"/>
      <w:lang w:eastAsia="en-US"/>
    </w:rPr>
  </w:style>
  <w:style w:type="paragraph" w:customStyle="1" w:styleId="HeadingH2">
    <w:name w:val="Heading H2"/>
    <w:basedOn w:val="Normal"/>
    <w:next w:val="HeadingH3SectionHeading"/>
    <w:rsid w:val="00A06261"/>
    <w:pPr>
      <w:keepNext/>
      <w:keepLines/>
      <w:numPr>
        <w:ilvl w:val="1"/>
        <w:numId w:val="16"/>
      </w:numPr>
      <w:spacing w:before="360" w:after="120" w:line="276" w:lineRule="auto"/>
      <w:outlineLvl w:val="1"/>
    </w:pPr>
    <w:rPr>
      <w:rFonts w:asciiTheme="minorHAnsi" w:eastAsiaTheme="minorEastAsia" w:hAnsiTheme="minorHAnsi" w:cstheme="minorBidi"/>
      <w:b/>
      <w:sz w:val="28"/>
      <w:szCs w:val="24"/>
      <w:lang w:eastAsia="en-US"/>
    </w:rPr>
  </w:style>
  <w:style w:type="paragraph" w:customStyle="1" w:styleId="HeadingH3SectionHeading">
    <w:name w:val="Heading H3: Section Heading"/>
    <w:basedOn w:val="Normal"/>
    <w:next w:val="HeadingH4Clausetext"/>
    <w:rsid w:val="00A06261"/>
    <w:pPr>
      <w:keepNext/>
      <w:keepLines/>
      <w:numPr>
        <w:ilvl w:val="2"/>
        <w:numId w:val="16"/>
      </w:numPr>
      <w:spacing w:after="120" w:line="276" w:lineRule="auto"/>
      <w:outlineLvl w:val="2"/>
    </w:pPr>
    <w:rPr>
      <w:rFonts w:asciiTheme="minorHAnsi" w:eastAsiaTheme="minorEastAsia" w:hAnsiTheme="minorHAnsi" w:cstheme="minorBidi"/>
      <w:b/>
      <w:szCs w:val="24"/>
      <w:lang w:eastAsia="en-US"/>
    </w:rPr>
  </w:style>
  <w:style w:type="paragraph" w:customStyle="1" w:styleId="HeadingH4Clausetext">
    <w:name w:val="Heading H4: Clause text"/>
    <w:basedOn w:val="Normal"/>
    <w:qFormat/>
    <w:rsid w:val="00A06261"/>
    <w:pPr>
      <w:keepNext/>
      <w:keepLines/>
      <w:numPr>
        <w:ilvl w:val="3"/>
        <w:numId w:val="16"/>
      </w:numPr>
      <w:spacing w:before="180" w:after="60" w:line="276" w:lineRule="auto"/>
      <w:outlineLvl w:val="3"/>
    </w:pPr>
    <w:rPr>
      <w:rFonts w:asciiTheme="minorHAnsi" w:eastAsiaTheme="minorEastAsia" w:hAnsiTheme="minorHAnsi" w:cstheme="minorBidi"/>
      <w:szCs w:val="24"/>
      <w:u w:val="single"/>
      <w:lang w:eastAsia="en-US"/>
    </w:rPr>
  </w:style>
  <w:style w:type="paragraph" w:customStyle="1" w:styleId="HeadingH5ClausesubtextL1">
    <w:name w:val="Heading H5: Clause subtext L1"/>
    <w:basedOn w:val="Normal"/>
    <w:rsid w:val="00A06261"/>
    <w:pPr>
      <w:numPr>
        <w:ilvl w:val="4"/>
        <w:numId w:val="16"/>
      </w:numPr>
      <w:spacing w:after="120" w:line="276" w:lineRule="auto"/>
      <w:contextualSpacing/>
      <w:outlineLvl w:val="4"/>
    </w:pPr>
    <w:rPr>
      <w:rFonts w:asciiTheme="minorHAnsi" w:eastAsiaTheme="minorEastAsia" w:hAnsiTheme="minorHAnsi" w:cstheme="minorBidi"/>
      <w:szCs w:val="24"/>
      <w:lang w:eastAsia="en-US"/>
    </w:rPr>
  </w:style>
  <w:style w:type="paragraph" w:customStyle="1" w:styleId="HeadingH6ClausesubtextL2">
    <w:name w:val="Heading H6: Clause subtext L2"/>
    <w:basedOn w:val="Normal"/>
    <w:rsid w:val="00A06261"/>
    <w:pPr>
      <w:numPr>
        <w:ilvl w:val="5"/>
        <w:numId w:val="16"/>
      </w:numPr>
      <w:spacing w:after="120" w:line="276" w:lineRule="auto"/>
      <w:contextualSpacing/>
      <w:outlineLvl w:val="5"/>
    </w:pPr>
    <w:rPr>
      <w:rFonts w:asciiTheme="minorHAnsi" w:eastAsiaTheme="minorEastAsia" w:hAnsiTheme="minorHAnsi" w:cstheme="minorBidi"/>
      <w:szCs w:val="24"/>
      <w:lang w:eastAsia="en-US"/>
    </w:rPr>
  </w:style>
  <w:style w:type="paragraph" w:customStyle="1" w:styleId="HeadingH7ClausesubtextL3">
    <w:name w:val="Heading H7: Clause subtext L3"/>
    <w:basedOn w:val="Normal"/>
    <w:rsid w:val="00A06261"/>
    <w:pPr>
      <w:numPr>
        <w:ilvl w:val="6"/>
        <w:numId w:val="16"/>
      </w:numPr>
      <w:spacing w:after="120" w:line="276" w:lineRule="auto"/>
      <w:contextualSpacing/>
      <w:outlineLvl w:val="6"/>
    </w:pPr>
    <w:rPr>
      <w:rFonts w:asciiTheme="minorHAnsi" w:eastAsiaTheme="minorEastAsia" w:hAnsiTheme="minorHAnsi" w:cstheme="minorBidi"/>
      <w:szCs w:val="24"/>
      <w:lang w:eastAsia="en-US"/>
    </w:rPr>
  </w:style>
  <w:style w:type="paragraph" w:customStyle="1" w:styleId="HeadingFigureHeading">
    <w:name w:val="Heading: Figure Heading"/>
    <w:basedOn w:val="Normal"/>
    <w:next w:val="HeadingH7ClausesubtextL3"/>
    <w:rsid w:val="00A06261"/>
    <w:pPr>
      <w:numPr>
        <w:ilvl w:val="7"/>
        <w:numId w:val="16"/>
      </w:numPr>
      <w:spacing w:after="120" w:line="276" w:lineRule="auto"/>
      <w:outlineLvl w:val="7"/>
    </w:pPr>
    <w:rPr>
      <w:rFonts w:asciiTheme="minorHAnsi" w:eastAsiaTheme="minorEastAsia" w:hAnsiTheme="minorHAnsi" w:cstheme="minorBidi"/>
      <w:b/>
      <w:szCs w:val="24"/>
      <w:lang w:eastAsia="en-US"/>
    </w:rPr>
  </w:style>
  <w:style w:type="character" w:customStyle="1" w:styleId="Emphasis-Bold">
    <w:name w:val="Emphasis - Bold"/>
    <w:basedOn w:val="Strong"/>
    <w:rsid w:val="00A06261"/>
    <w:rPr>
      <w:b/>
      <w:bCs/>
      <w:lang w:val="en-NZ"/>
    </w:rPr>
  </w:style>
  <w:style w:type="character" w:customStyle="1" w:styleId="Emphasis-Remove">
    <w:name w:val="Emphasis - Remove"/>
    <w:rsid w:val="00A06261"/>
    <w:rPr>
      <w:lang w:val="en-NZ"/>
    </w:rPr>
  </w:style>
  <w:style w:type="character" w:styleId="Strong">
    <w:name w:val="Strong"/>
    <w:basedOn w:val="DefaultParagraphFont"/>
    <w:semiHidden/>
    <w:qFormat/>
    <w:rsid w:val="00A062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B072C"/>
    <w:rPr>
      <w:color w:val="808080"/>
    </w:rPr>
  </w:style>
  <w:style w:type="paragraph" w:customStyle="1" w:styleId="UnnumberedL2">
    <w:name w:val="Unnumbered L2"/>
    <w:basedOn w:val="Normal"/>
    <w:rsid w:val="008C2BFE"/>
    <w:pPr>
      <w:spacing w:after="120" w:line="276" w:lineRule="auto"/>
      <w:ind w:left="1134"/>
    </w:pPr>
    <w:rPr>
      <w:rFonts w:asciiTheme="minorHAnsi" w:eastAsiaTheme="minorEastAsia" w:hAnsiTheme="minorHAnsi" w:cstheme="minorBidi"/>
      <w:szCs w:val="24"/>
      <w:lang w:eastAsia="en-US"/>
    </w:rPr>
  </w:style>
  <w:style w:type="paragraph" w:customStyle="1" w:styleId="Default">
    <w:name w:val="Default"/>
    <w:rsid w:val="00A839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rsid w:val="001D7657"/>
    <w:rPr>
      <w:rFonts w:ascii="Calibri" w:hAnsi="Calibri"/>
      <w:sz w:val="24"/>
      <w:lang w:eastAsia="en-GB"/>
    </w:rPr>
  </w:style>
  <w:style w:type="paragraph" w:styleId="Heading1">
    <w:name w:val="heading 1"/>
    <w:basedOn w:val="Normal"/>
    <w:next w:val="BodyText"/>
    <w:qFormat/>
    <w:rsid w:val="001D7657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link w:val="Heading2Char"/>
    <w:qFormat/>
    <w:rsid w:val="001D7657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D7657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semiHidden/>
    <w:qFormat/>
    <w:rsid w:val="001D7657"/>
    <w:pPr>
      <w:outlineLvl w:val="3"/>
    </w:pPr>
  </w:style>
  <w:style w:type="paragraph" w:styleId="Heading5">
    <w:name w:val="heading 5"/>
    <w:basedOn w:val="Normal"/>
    <w:semiHidden/>
    <w:qFormat/>
    <w:rsid w:val="001D7657"/>
    <w:pPr>
      <w:outlineLvl w:val="4"/>
    </w:pPr>
  </w:style>
  <w:style w:type="paragraph" w:styleId="Heading6">
    <w:name w:val="heading 6"/>
    <w:basedOn w:val="Normal"/>
    <w:semiHidden/>
    <w:qFormat/>
    <w:rsid w:val="001D7657"/>
    <w:pPr>
      <w:outlineLvl w:val="5"/>
    </w:pPr>
  </w:style>
  <w:style w:type="paragraph" w:styleId="Heading7">
    <w:name w:val="heading 7"/>
    <w:basedOn w:val="Normal"/>
    <w:next w:val="Normal"/>
    <w:semiHidden/>
    <w:qFormat/>
    <w:rsid w:val="001D7657"/>
    <w:pPr>
      <w:outlineLvl w:val="6"/>
    </w:pPr>
  </w:style>
  <w:style w:type="paragraph" w:styleId="Heading8">
    <w:name w:val="heading 8"/>
    <w:basedOn w:val="Normal"/>
    <w:next w:val="Normal"/>
    <w:semiHidden/>
    <w:qFormat/>
    <w:rsid w:val="001D7657"/>
    <w:pPr>
      <w:outlineLvl w:val="7"/>
    </w:pPr>
  </w:style>
  <w:style w:type="paragraph" w:styleId="Heading9">
    <w:name w:val="heading 9"/>
    <w:basedOn w:val="Normal"/>
    <w:next w:val="Normal"/>
    <w:semiHidden/>
    <w:qFormat/>
    <w:rsid w:val="001D76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D7657"/>
    <w:pPr>
      <w:spacing w:after="240" w:line="264" w:lineRule="atLeast"/>
    </w:pPr>
  </w:style>
  <w:style w:type="character" w:customStyle="1" w:styleId="BodyTextChar">
    <w:name w:val="Body Text Char"/>
    <w:basedOn w:val="DefaultParagraphFont"/>
    <w:link w:val="BodyText"/>
    <w:rsid w:val="00FA6D08"/>
    <w:rPr>
      <w:rFonts w:ascii="Calibri" w:hAnsi="Calibri"/>
      <w:sz w:val="24"/>
      <w:lang w:eastAsia="en-GB"/>
    </w:rPr>
  </w:style>
  <w:style w:type="paragraph" w:customStyle="1" w:styleId="Bullet">
    <w:name w:val="Bullet"/>
    <w:basedOn w:val="Normal"/>
    <w:qFormat/>
    <w:rsid w:val="008D31A8"/>
    <w:pPr>
      <w:numPr>
        <w:numId w:val="15"/>
      </w:numPr>
      <w:spacing w:before="120"/>
    </w:pPr>
  </w:style>
  <w:style w:type="numbering" w:customStyle="1" w:styleId="Bulletliststyle">
    <w:name w:val="Bullet list style"/>
    <w:basedOn w:val="NoList"/>
    <w:uiPriority w:val="99"/>
    <w:rsid w:val="008D31A8"/>
    <w:pPr>
      <w:numPr>
        <w:numId w:val="4"/>
      </w:numPr>
    </w:pPr>
  </w:style>
  <w:style w:type="paragraph" w:styleId="Date">
    <w:name w:val="Date"/>
    <w:basedOn w:val="Normal"/>
    <w:next w:val="BodyText"/>
    <w:link w:val="DateChar"/>
    <w:semiHidden/>
    <w:rsid w:val="001D7657"/>
    <w:pPr>
      <w:spacing w:after="454"/>
    </w:pPr>
  </w:style>
  <w:style w:type="character" w:customStyle="1" w:styleId="DateChar">
    <w:name w:val="Date Char"/>
    <w:basedOn w:val="DefaultParagraphFont"/>
    <w:link w:val="Date"/>
    <w:semiHidden/>
    <w:rsid w:val="00A22BFA"/>
    <w:rPr>
      <w:rFonts w:ascii="Calibri" w:hAnsi="Calibri"/>
      <w:sz w:val="24"/>
      <w:lang w:eastAsia="en-GB"/>
    </w:rPr>
  </w:style>
  <w:style w:type="paragraph" w:styleId="EnvelopeAddress">
    <w:name w:val="envelope address"/>
    <w:basedOn w:val="Normal"/>
    <w:semiHidden/>
    <w:rsid w:val="001D765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7657"/>
    <w:rPr>
      <w:rFonts w:cs="Arial"/>
      <w:color w:val="003366"/>
      <w:sz w:val="18"/>
      <w:szCs w:val="18"/>
    </w:rPr>
  </w:style>
  <w:style w:type="paragraph" w:styleId="Footer">
    <w:name w:val="footer"/>
    <w:basedOn w:val="Normal"/>
    <w:link w:val="FooterChar"/>
    <w:semiHidden/>
    <w:rsid w:val="001D765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22BFA"/>
    <w:rPr>
      <w:rFonts w:ascii="Calibri" w:hAnsi="Calibri"/>
      <w:lang w:eastAsia="en-GB"/>
    </w:rPr>
  </w:style>
  <w:style w:type="paragraph" w:styleId="FootnoteText">
    <w:name w:val="footnote text"/>
    <w:basedOn w:val="Normal"/>
    <w:link w:val="FootnoteTextChar"/>
    <w:semiHidden/>
    <w:rsid w:val="001D7657"/>
    <w:pPr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657"/>
    <w:rPr>
      <w:rFonts w:ascii="Calibri" w:hAnsi="Calibri"/>
      <w:lang w:eastAsia="en-GB"/>
    </w:rPr>
  </w:style>
  <w:style w:type="paragraph" w:styleId="Header">
    <w:name w:val="header"/>
    <w:basedOn w:val="Normal"/>
    <w:link w:val="HeaderChar"/>
    <w:semiHidden/>
    <w:rsid w:val="001D7657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A22BFA"/>
    <w:rPr>
      <w:rFonts w:ascii="Calibri" w:hAnsi="Calibri"/>
      <w:sz w:val="24"/>
      <w:lang w:eastAsia="en-GB"/>
    </w:rPr>
  </w:style>
  <w:style w:type="character" w:styleId="Hyperlink">
    <w:name w:val="Hyperlink"/>
    <w:basedOn w:val="DefaultParagraphFont"/>
    <w:semiHidden/>
    <w:rsid w:val="001D7657"/>
    <w:rPr>
      <w:color w:val="0000FF"/>
      <w:u w:val="single"/>
    </w:rPr>
  </w:style>
  <w:style w:type="paragraph" w:styleId="List">
    <w:name w:val="List"/>
    <w:basedOn w:val="BodyText"/>
    <w:semiHidden/>
    <w:rsid w:val="001D7657"/>
    <w:pPr>
      <w:numPr>
        <w:numId w:val="8"/>
      </w:numPr>
    </w:pPr>
  </w:style>
  <w:style w:type="paragraph" w:styleId="ListBullet">
    <w:name w:val="List Bullet"/>
    <w:basedOn w:val="BodyText"/>
    <w:semiHidden/>
    <w:rsid w:val="001D7657"/>
  </w:style>
  <w:style w:type="paragraph" w:styleId="ListBullet2">
    <w:name w:val="List Bullet 2"/>
    <w:basedOn w:val="BodyText"/>
    <w:rsid w:val="001D7657"/>
  </w:style>
  <w:style w:type="paragraph" w:styleId="ListBullet3">
    <w:name w:val="List Bullet 3"/>
    <w:basedOn w:val="BodyText"/>
    <w:semiHidden/>
    <w:rsid w:val="001D7657"/>
  </w:style>
  <w:style w:type="numbering" w:customStyle="1" w:styleId="Outlinestyle">
    <w:name w:val="Outline style"/>
    <w:basedOn w:val="NoList"/>
    <w:uiPriority w:val="99"/>
    <w:rsid w:val="001D7657"/>
    <w:pPr>
      <w:numPr>
        <w:numId w:val="11"/>
      </w:numPr>
    </w:pPr>
  </w:style>
  <w:style w:type="character" w:styleId="PageNumber">
    <w:name w:val="page number"/>
    <w:basedOn w:val="DefaultParagraphFont"/>
    <w:semiHidden/>
    <w:rsid w:val="001D7657"/>
    <w:rPr>
      <w:rFonts w:ascii="Calibri" w:hAnsi="Calibri"/>
      <w:sz w:val="20"/>
    </w:rPr>
  </w:style>
  <w:style w:type="paragraph" w:customStyle="1" w:styleId="Quotation">
    <w:name w:val="Quotation"/>
    <w:basedOn w:val="BodyText"/>
    <w:qFormat/>
    <w:rsid w:val="00980C00"/>
    <w:pPr>
      <w:ind w:left="709" w:right="709"/>
    </w:pPr>
    <w:rPr>
      <w:sz w:val="20"/>
    </w:rPr>
  </w:style>
  <w:style w:type="paragraph" w:customStyle="1" w:styleId="Tablebodytext">
    <w:name w:val="Table body text"/>
    <w:basedOn w:val="BodyText"/>
    <w:qFormat/>
    <w:rsid w:val="001D7657"/>
    <w:rPr>
      <w:rFonts w:cs="Arial"/>
      <w:szCs w:val="17"/>
    </w:rPr>
  </w:style>
  <w:style w:type="paragraph" w:customStyle="1" w:styleId="Tablebullet">
    <w:name w:val="Table bullet"/>
    <w:basedOn w:val="Tablebodytext"/>
    <w:qFormat/>
    <w:rsid w:val="001D7657"/>
    <w:pPr>
      <w:numPr>
        <w:numId w:val="13"/>
      </w:numPr>
    </w:pPr>
  </w:style>
  <w:style w:type="table" w:styleId="TableGrid">
    <w:name w:val="Table Grid"/>
    <w:basedOn w:val="TableNormal"/>
    <w:rsid w:val="001D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bodytext"/>
    <w:qFormat/>
    <w:rsid w:val="001D7657"/>
    <w:pPr>
      <w:keepNext/>
      <w:spacing w:after="60"/>
      <w:jc w:val="center"/>
    </w:pPr>
    <w:rPr>
      <w:b/>
    </w:rPr>
  </w:style>
  <w:style w:type="paragraph" w:customStyle="1" w:styleId="Tablenumberedlist">
    <w:name w:val="Table numbered list"/>
    <w:basedOn w:val="Tablebodytext"/>
    <w:qFormat/>
    <w:rsid w:val="001D7657"/>
    <w:pPr>
      <w:numPr>
        <w:numId w:val="14"/>
      </w:numPr>
    </w:pPr>
  </w:style>
  <w:style w:type="paragraph" w:styleId="TableofAuthorities">
    <w:name w:val="table of authorities"/>
    <w:basedOn w:val="Normal"/>
    <w:next w:val="Normal"/>
    <w:semiHidden/>
    <w:rsid w:val="001D7657"/>
    <w:pPr>
      <w:ind w:left="200" w:hanging="200"/>
    </w:pPr>
  </w:style>
  <w:style w:type="paragraph" w:styleId="Title">
    <w:name w:val="Title"/>
    <w:basedOn w:val="Normal"/>
    <w:next w:val="BodyText"/>
    <w:link w:val="TitleChar"/>
    <w:qFormat/>
    <w:rsid w:val="001D7657"/>
    <w:pPr>
      <w:keepNext/>
      <w:spacing w:after="24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22BFA"/>
    <w:rPr>
      <w:rFonts w:ascii="Calibri" w:hAnsi="Calibri"/>
      <w:b/>
      <w:sz w:val="36"/>
      <w:lang w:eastAsia="en-GB"/>
    </w:rPr>
  </w:style>
  <w:style w:type="paragraph" w:styleId="TOC1">
    <w:name w:val="toc 1"/>
    <w:basedOn w:val="Normal"/>
    <w:autoRedefine/>
    <w:uiPriority w:val="39"/>
    <w:rsid w:val="008D31A8"/>
    <w:pPr>
      <w:tabs>
        <w:tab w:val="right" w:leader="dot" w:pos="8930"/>
      </w:tabs>
      <w:ind w:right="425"/>
    </w:pPr>
    <w:rPr>
      <w:b/>
      <w:caps/>
      <w:sz w:val="22"/>
    </w:rPr>
  </w:style>
  <w:style w:type="paragraph" w:styleId="TOC2">
    <w:name w:val="toc 2"/>
    <w:basedOn w:val="TOC1"/>
    <w:autoRedefine/>
    <w:uiPriority w:val="39"/>
    <w:rsid w:val="008D31A8"/>
    <w:pPr>
      <w:tabs>
        <w:tab w:val="clear" w:pos="8930"/>
        <w:tab w:val="right" w:leader="dot" w:pos="8931"/>
      </w:tabs>
      <w:ind w:left="425"/>
    </w:pPr>
    <w:rPr>
      <w:b w:val="0"/>
      <w:noProof/>
    </w:rPr>
  </w:style>
  <w:style w:type="paragraph" w:styleId="TOC3">
    <w:name w:val="toc 3"/>
    <w:basedOn w:val="TOC2"/>
    <w:autoRedefine/>
    <w:uiPriority w:val="39"/>
    <w:rsid w:val="008D31A8"/>
    <w:pPr>
      <w:ind w:left="851"/>
    </w:pPr>
    <w:rPr>
      <w:i/>
      <w:caps w:val="0"/>
      <w:sz w:val="20"/>
    </w:rPr>
  </w:style>
  <w:style w:type="paragraph" w:customStyle="1" w:styleId="Attachmentsheading">
    <w:name w:val="Attachments heading"/>
    <w:basedOn w:val="Normal"/>
    <w:next w:val="BodyText"/>
    <w:rsid w:val="001D7657"/>
    <w:pPr>
      <w:keepNext/>
      <w:pageBreakBefore/>
      <w:numPr>
        <w:numId w:val="3"/>
      </w:numPr>
      <w:spacing w:after="120"/>
    </w:pPr>
    <w:rPr>
      <w:b/>
      <w:sz w:val="28"/>
    </w:rPr>
  </w:style>
  <w:style w:type="numbering" w:customStyle="1" w:styleId="Attachmentsliststyle">
    <w:name w:val="Attachments list style"/>
    <w:basedOn w:val="NoList"/>
    <w:uiPriority w:val="99"/>
    <w:rsid w:val="001D7657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1D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FA8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aliases w:val="(NECG) Footnote Reference,(NECG) Footnote"/>
    <w:basedOn w:val="DefaultParagraphFont"/>
    <w:semiHidden/>
    <w:rsid w:val="001D7657"/>
    <w:rPr>
      <w:vertAlign w:val="superscript"/>
    </w:rPr>
  </w:style>
  <w:style w:type="paragraph" w:customStyle="1" w:styleId="Para1">
    <w:name w:val="Para 1"/>
    <w:basedOn w:val="BodyText"/>
    <w:qFormat/>
    <w:rsid w:val="001D7657"/>
    <w:pPr>
      <w:numPr>
        <w:numId w:val="12"/>
      </w:numPr>
    </w:pPr>
  </w:style>
  <w:style w:type="paragraph" w:customStyle="1" w:styleId="Para2">
    <w:name w:val="Para 2"/>
    <w:basedOn w:val="BodyText"/>
    <w:qFormat/>
    <w:rsid w:val="001D7657"/>
    <w:pPr>
      <w:numPr>
        <w:ilvl w:val="1"/>
        <w:numId w:val="12"/>
      </w:numPr>
    </w:pPr>
  </w:style>
  <w:style w:type="paragraph" w:customStyle="1" w:styleId="Para3">
    <w:name w:val="Para 3"/>
    <w:basedOn w:val="Para2"/>
    <w:qFormat/>
    <w:rsid w:val="001D7657"/>
    <w:pPr>
      <w:numPr>
        <w:ilvl w:val="2"/>
      </w:numPr>
    </w:pPr>
  </w:style>
  <w:style w:type="paragraph" w:customStyle="1" w:styleId="Para4">
    <w:name w:val="Para 4"/>
    <w:basedOn w:val="Para3"/>
    <w:qFormat/>
    <w:rsid w:val="001D7657"/>
    <w:pPr>
      <w:numPr>
        <w:ilvl w:val="3"/>
      </w:numPr>
    </w:pPr>
  </w:style>
  <w:style w:type="paragraph" w:customStyle="1" w:styleId="Para5">
    <w:name w:val="Para 5"/>
    <w:basedOn w:val="Para4"/>
    <w:qFormat/>
    <w:rsid w:val="001D7657"/>
    <w:pPr>
      <w:numPr>
        <w:ilvl w:val="4"/>
      </w:numPr>
    </w:pPr>
  </w:style>
  <w:style w:type="paragraph" w:customStyle="1" w:styleId="Singlespacedparagraph">
    <w:name w:val="Single spaced paragraph"/>
    <w:basedOn w:val="Normal"/>
    <w:qFormat/>
    <w:rsid w:val="001D7657"/>
  </w:style>
  <w:style w:type="numbering" w:customStyle="1" w:styleId="Tablebulletlist">
    <w:name w:val="Table bullet list"/>
    <w:uiPriority w:val="99"/>
    <w:rsid w:val="001D7657"/>
    <w:pPr>
      <w:numPr>
        <w:numId w:val="13"/>
      </w:numPr>
    </w:pPr>
  </w:style>
  <w:style w:type="paragraph" w:customStyle="1" w:styleId="zContactdetails">
    <w:name w:val="z_Contact details"/>
    <w:basedOn w:val="BodyText"/>
    <w:semiHidden/>
    <w:rsid w:val="001D7657"/>
    <w:pPr>
      <w:spacing w:after="120"/>
    </w:pPr>
  </w:style>
  <w:style w:type="paragraph" w:customStyle="1" w:styleId="zContactheadings">
    <w:name w:val="z_Contact headings"/>
    <w:basedOn w:val="BodyText"/>
    <w:semiHidden/>
    <w:rsid w:val="001D7657"/>
    <w:pPr>
      <w:spacing w:after="120"/>
    </w:pPr>
    <w:rPr>
      <w:b/>
    </w:rPr>
  </w:style>
  <w:style w:type="paragraph" w:customStyle="1" w:styleId="zPagename">
    <w:name w:val="z_Page name"/>
    <w:basedOn w:val="Title"/>
    <w:next w:val="BodyText"/>
    <w:semiHidden/>
    <w:rsid w:val="001D7657"/>
    <w:pPr>
      <w:spacing w:before="720"/>
    </w:pPr>
  </w:style>
  <w:style w:type="paragraph" w:customStyle="1" w:styleId="zInstructions">
    <w:name w:val="z_Instructions"/>
    <w:basedOn w:val="BodyText"/>
    <w:semiHidden/>
    <w:rsid w:val="00640B44"/>
    <w:pPr>
      <w:shd w:val="clear" w:color="auto" w:fill="A6A6A6" w:themeFill="background1" w:themeFillShade="A6"/>
      <w:spacing w:after="120" w:line="260" w:lineRule="atLeast"/>
    </w:pPr>
    <w:rPr>
      <w:color w:val="FFFFFF"/>
      <w:sz w:val="22"/>
    </w:rPr>
  </w:style>
  <w:style w:type="paragraph" w:customStyle="1" w:styleId="zInstructionsbullet">
    <w:name w:val="z_Instructions bullet"/>
    <w:basedOn w:val="zInstructions"/>
    <w:semiHidden/>
    <w:rsid w:val="00640B44"/>
    <w:pPr>
      <w:numPr>
        <w:numId w:val="2"/>
      </w:numPr>
    </w:pPr>
  </w:style>
  <w:style w:type="numbering" w:customStyle="1" w:styleId="zInstructionsbulletlist">
    <w:name w:val="z_Instructions bullet list"/>
    <w:basedOn w:val="NoList"/>
    <w:uiPriority w:val="99"/>
    <w:rsid w:val="00640B44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qFormat/>
    <w:rsid w:val="001D76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A7573"/>
    <w:rPr>
      <w:rFonts w:ascii="Calibri" w:hAnsi="Calibri"/>
      <w:sz w:val="24"/>
      <w:lang w:eastAsia="en-GB"/>
    </w:rPr>
  </w:style>
  <w:style w:type="paragraph" w:customStyle="1" w:styleId="ImanageHeader">
    <w:name w:val="ImanageHeader"/>
    <w:basedOn w:val="Normal"/>
    <w:semiHidden/>
    <w:rsid w:val="001D7657"/>
    <w:pPr>
      <w:jc w:val="right"/>
    </w:pPr>
    <w:rPr>
      <w:sz w:val="20"/>
    </w:rPr>
  </w:style>
  <w:style w:type="paragraph" w:customStyle="1" w:styleId="Level1bullet">
    <w:name w:val="Level 1 bullet"/>
    <w:basedOn w:val="Normal"/>
    <w:semiHidden/>
    <w:rsid w:val="001D7657"/>
    <w:pPr>
      <w:numPr>
        <w:numId w:val="5"/>
      </w:numPr>
      <w:spacing w:before="120"/>
    </w:pPr>
  </w:style>
  <w:style w:type="paragraph" w:customStyle="1" w:styleId="Level2bullet">
    <w:name w:val="Level 2 bullet"/>
    <w:basedOn w:val="Normal"/>
    <w:semiHidden/>
    <w:rsid w:val="001D7657"/>
    <w:pPr>
      <w:numPr>
        <w:numId w:val="6"/>
      </w:numPr>
      <w:spacing w:before="120"/>
    </w:pPr>
  </w:style>
  <w:style w:type="paragraph" w:customStyle="1" w:styleId="Level3bullet">
    <w:name w:val="Level 3 bullet"/>
    <w:basedOn w:val="Normal"/>
    <w:semiHidden/>
    <w:rsid w:val="001D7657"/>
    <w:pPr>
      <w:numPr>
        <w:numId w:val="7"/>
      </w:numPr>
      <w:spacing w:before="120"/>
    </w:pPr>
  </w:style>
  <w:style w:type="paragraph" w:customStyle="1" w:styleId="Numberedlist">
    <w:name w:val="Numbered list"/>
    <w:basedOn w:val="Normal"/>
    <w:semiHidden/>
    <w:rsid w:val="001D7657"/>
    <w:pPr>
      <w:numPr>
        <w:numId w:val="9"/>
      </w:numPr>
    </w:pPr>
  </w:style>
  <w:style w:type="paragraph" w:customStyle="1" w:styleId="Outline1">
    <w:name w:val="Outline 1"/>
    <w:basedOn w:val="Normal"/>
    <w:semiHidden/>
    <w:rsid w:val="001D7657"/>
    <w:pPr>
      <w:spacing w:after="120"/>
    </w:pPr>
  </w:style>
  <w:style w:type="paragraph" w:customStyle="1" w:styleId="Outline1Heading">
    <w:name w:val="Outline 1 Heading"/>
    <w:basedOn w:val="Normal"/>
    <w:next w:val="Outline1"/>
    <w:semiHidden/>
    <w:rsid w:val="001D7657"/>
    <w:pPr>
      <w:keepNext/>
      <w:spacing w:before="240" w:after="60"/>
      <w:outlineLvl w:val="0"/>
    </w:pPr>
    <w:rPr>
      <w:b/>
    </w:rPr>
  </w:style>
  <w:style w:type="paragraph" w:customStyle="1" w:styleId="Outline2">
    <w:name w:val="Outline 2"/>
    <w:basedOn w:val="Normal"/>
    <w:semiHidden/>
    <w:rsid w:val="001D7657"/>
    <w:pPr>
      <w:numPr>
        <w:numId w:val="10"/>
      </w:numPr>
      <w:spacing w:after="120"/>
    </w:pPr>
  </w:style>
  <w:style w:type="character" w:styleId="CommentReference">
    <w:name w:val="annotation reference"/>
    <w:basedOn w:val="DefaultParagraphFont"/>
    <w:semiHidden/>
    <w:rsid w:val="00417C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C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CE6"/>
    <w:rPr>
      <w:rFonts w:ascii="Calibri" w:hAnsi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25B8"/>
    <w:rPr>
      <w:rFonts w:ascii="Calibri" w:hAnsi="Calibri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rsid w:val="0044768C"/>
    <w:rPr>
      <w:rFonts w:ascii="Calibri" w:hAnsi="Calibri"/>
      <w:b/>
      <w:sz w:val="24"/>
      <w:lang w:eastAsia="en-GB"/>
    </w:rPr>
  </w:style>
  <w:style w:type="paragraph" w:customStyle="1" w:styleId="zFileRef">
    <w:name w:val="z_File Ref"/>
    <w:basedOn w:val="Normal"/>
    <w:semiHidden/>
    <w:rsid w:val="0044768C"/>
    <w:pPr>
      <w:jc w:val="right"/>
    </w:pPr>
  </w:style>
  <w:style w:type="character" w:customStyle="1" w:styleId="Emphasis-Italics">
    <w:name w:val="Emphasis - Italics"/>
    <w:rsid w:val="008C1A80"/>
    <w:rPr>
      <w:i/>
      <w:lang w:val="en-NZ"/>
    </w:rPr>
  </w:style>
  <w:style w:type="paragraph" w:customStyle="1" w:styleId="zReportsubtitle">
    <w:name w:val="z_Report sub title"/>
    <w:basedOn w:val="Normal"/>
    <w:semiHidden/>
    <w:rsid w:val="00C27058"/>
    <w:rPr>
      <w:b/>
      <w:sz w:val="28"/>
    </w:rPr>
  </w:style>
  <w:style w:type="paragraph" w:styleId="Revision">
    <w:name w:val="Revision"/>
    <w:hidden/>
    <w:uiPriority w:val="99"/>
    <w:semiHidden/>
    <w:rsid w:val="00C27058"/>
    <w:rPr>
      <w:rFonts w:ascii="Calibri" w:hAnsi="Calibri"/>
      <w:sz w:val="24"/>
      <w:lang w:eastAsia="en-GB"/>
    </w:rPr>
  </w:style>
  <w:style w:type="paragraph" w:customStyle="1" w:styleId="HeadingH1">
    <w:name w:val="Heading H1"/>
    <w:basedOn w:val="Normal"/>
    <w:next w:val="HeadingH2"/>
    <w:rsid w:val="00A06261"/>
    <w:pPr>
      <w:keepNext/>
      <w:pageBreakBefore/>
      <w:numPr>
        <w:numId w:val="16"/>
      </w:numPr>
      <w:spacing w:after="360" w:line="276" w:lineRule="auto"/>
      <w:jc w:val="center"/>
      <w:outlineLvl w:val="0"/>
    </w:pPr>
    <w:rPr>
      <w:rFonts w:asciiTheme="minorHAnsi" w:eastAsiaTheme="minorEastAsia" w:hAnsiTheme="minorHAnsi" w:cstheme="minorBidi"/>
      <w:b/>
      <w:caps/>
      <w:sz w:val="32"/>
      <w:szCs w:val="24"/>
      <w:lang w:eastAsia="en-US"/>
    </w:rPr>
  </w:style>
  <w:style w:type="paragraph" w:customStyle="1" w:styleId="HeadingH2">
    <w:name w:val="Heading H2"/>
    <w:basedOn w:val="Normal"/>
    <w:next w:val="HeadingH3SectionHeading"/>
    <w:rsid w:val="00A06261"/>
    <w:pPr>
      <w:keepNext/>
      <w:keepLines/>
      <w:numPr>
        <w:ilvl w:val="1"/>
        <w:numId w:val="16"/>
      </w:numPr>
      <w:spacing w:before="360" w:after="120" w:line="276" w:lineRule="auto"/>
      <w:outlineLvl w:val="1"/>
    </w:pPr>
    <w:rPr>
      <w:rFonts w:asciiTheme="minorHAnsi" w:eastAsiaTheme="minorEastAsia" w:hAnsiTheme="minorHAnsi" w:cstheme="minorBidi"/>
      <w:b/>
      <w:sz w:val="28"/>
      <w:szCs w:val="24"/>
      <w:lang w:eastAsia="en-US"/>
    </w:rPr>
  </w:style>
  <w:style w:type="paragraph" w:customStyle="1" w:styleId="HeadingH3SectionHeading">
    <w:name w:val="Heading H3: Section Heading"/>
    <w:basedOn w:val="Normal"/>
    <w:next w:val="HeadingH4Clausetext"/>
    <w:rsid w:val="00A06261"/>
    <w:pPr>
      <w:keepNext/>
      <w:keepLines/>
      <w:numPr>
        <w:ilvl w:val="2"/>
        <w:numId w:val="16"/>
      </w:numPr>
      <w:spacing w:after="120" w:line="276" w:lineRule="auto"/>
      <w:outlineLvl w:val="2"/>
    </w:pPr>
    <w:rPr>
      <w:rFonts w:asciiTheme="minorHAnsi" w:eastAsiaTheme="minorEastAsia" w:hAnsiTheme="minorHAnsi" w:cstheme="minorBidi"/>
      <w:b/>
      <w:szCs w:val="24"/>
      <w:lang w:eastAsia="en-US"/>
    </w:rPr>
  </w:style>
  <w:style w:type="paragraph" w:customStyle="1" w:styleId="HeadingH4Clausetext">
    <w:name w:val="Heading H4: Clause text"/>
    <w:basedOn w:val="Normal"/>
    <w:qFormat/>
    <w:rsid w:val="00A06261"/>
    <w:pPr>
      <w:keepNext/>
      <w:keepLines/>
      <w:numPr>
        <w:ilvl w:val="3"/>
        <w:numId w:val="16"/>
      </w:numPr>
      <w:spacing w:before="180" w:after="60" w:line="276" w:lineRule="auto"/>
      <w:outlineLvl w:val="3"/>
    </w:pPr>
    <w:rPr>
      <w:rFonts w:asciiTheme="minorHAnsi" w:eastAsiaTheme="minorEastAsia" w:hAnsiTheme="minorHAnsi" w:cstheme="minorBidi"/>
      <w:szCs w:val="24"/>
      <w:u w:val="single"/>
      <w:lang w:eastAsia="en-US"/>
    </w:rPr>
  </w:style>
  <w:style w:type="paragraph" w:customStyle="1" w:styleId="HeadingH5ClausesubtextL1">
    <w:name w:val="Heading H5: Clause subtext L1"/>
    <w:basedOn w:val="Normal"/>
    <w:rsid w:val="00A06261"/>
    <w:pPr>
      <w:numPr>
        <w:ilvl w:val="4"/>
        <w:numId w:val="16"/>
      </w:numPr>
      <w:spacing w:after="120" w:line="276" w:lineRule="auto"/>
      <w:contextualSpacing/>
      <w:outlineLvl w:val="4"/>
    </w:pPr>
    <w:rPr>
      <w:rFonts w:asciiTheme="minorHAnsi" w:eastAsiaTheme="minorEastAsia" w:hAnsiTheme="minorHAnsi" w:cstheme="minorBidi"/>
      <w:szCs w:val="24"/>
      <w:lang w:eastAsia="en-US"/>
    </w:rPr>
  </w:style>
  <w:style w:type="paragraph" w:customStyle="1" w:styleId="HeadingH6ClausesubtextL2">
    <w:name w:val="Heading H6: Clause subtext L2"/>
    <w:basedOn w:val="Normal"/>
    <w:rsid w:val="00A06261"/>
    <w:pPr>
      <w:numPr>
        <w:ilvl w:val="5"/>
        <w:numId w:val="16"/>
      </w:numPr>
      <w:spacing w:after="120" w:line="276" w:lineRule="auto"/>
      <w:contextualSpacing/>
      <w:outlineLvl w:val="5"/>
    </w:pPr>
    <w:rPr>
      <w:rFonts w:asciiTheme="minorHAnsi" w:eastAsiaTheme="minorEastAsia" w:hAnsiTheme="minorHAnsi" w:cstheme="minorBidi"/>
      <w:szCs w:val="24"/>
      <w:lang w:eastAsia="en-US"/>
    </w:rPr>
  </w:style>
  <w:style w:type="paragraph" w:customStyle="1" w:styleId="HeadingH7ClausesubtextL3">
    <w:name w:val="Heading H7: Clause subtext L3"/>
    <w:basedOn w:val="Normal"/>
    <w:rsid w:val="00A06261"/>
    <w:pPr>
      <w:numPr>
        <w:ilvl w:val="6"/>
        <w:numId w:val="16"/>
      </w:numPr>
      <w:spacing w:after="120" w:line="276" w:lineRule="auto"/>
      <w:contextualSpacing/>
      <w:outlineLvl w:val="6"/>
    </w:pPr>
    <w:rPr>
      <w:rFonts w:asciiTheme="minorHAnsi" w:eastAsiaTheme="minorEastAsia" w:hAnsiTheme="minorHAnsi" w:cstheme="minorBidi"/>
      <w:szCs w:val="24"/>
      <w:lang w:eastAsia="en-US"/>
    </w:rPr>
  </w:style>
  <w:style w:type="paragraph" w:customStyle="1" w:styleId="HeadingFigureHeading">
    <w:name w:val="Heading: Figure Heading"/>
    <w:basedOn w:val="Normal"/>
    <w:next w:val="HeadingH7ClausesubtextL3"/>
    <w:rsid w:val="00A06261"/>
    <w:pPr>
      <w:numPr>
        <w:ilvl w:val="7"/>
        <w:numId w:val="16"/>
      </w:numPr>
      <w:spacing w:after="120" w:line="276" w:lineRule="auto"/>
      <w:outlineLvl w:val="7"/>
    </w:pPr>
    <w:rPr>
      <w:rFonts w:asciiTheme="minorHAnsi" w:eastAsiaTheme="minorEastAsia" w:hAnsiTheme="minorHAnsi" w:cstheme="minorBidi"/>
      <w:b/>
      <w:szCs w:val="24"/>
      <w:lang w:eastAsia="en-US"/>
    </w:rPr>
  </w:style>
  <w:style w:type="character" w:customStyle="1" w:styleId="Emphasis-Bold">
    <w:name w:val="Emphasis - Bold"/>
    <w:basedOn w:val="Strong"/>
    <w:rsid w:val="00A06261"/>
    <w:rPr>
      <w:b/>
      <w:bCs/>
      <w:lang w:val="en-NZ"/>
    </w:rPr>
  </w:style>
  <w:style w:type="character" w:customStyle="1" w:styleId="Emphasis-Remove">
    <w:name w:val="Emphasis - Remove"/>
    <w:rsid w:val="00A06261"/>
    <w:rPr>
      <w:lang w:val="en-NZ"/>
    </w:rPr>
  </w:style>
  <w:style w:type="character" w:styleId="Strong">
    <w:name w:val="Strong"/>
    <w:basedOn w:val="DefaultParagraphFont"/>
    <w:semiHidden/>
    <w:qFormat/>
    <w:rsid w:val="00A062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B072C"/>
    <w:rPr>
      <w:color w:val="808080"/>
    </w:rPr>
  </w:style>
  <w:style w:type="paragraph" w:customStyle="1" w:styleId="UnnumberedL2">
    <w:name w:val="Unnumbered L2"/>
    <w:basedOn w:val="Normal"/>
    <w:rsid w:val="008C2BFE"/>
    <w:pPr>
      <w:spacing w:after="120" w:line="276" w:lineRule="auto"/>
      <w:ind w:left="1134"/>
    </w:pPr>
    <w:rPr>
      <w:rFonts w:asciiTheme="minorHAnsi" w:eastAsiaTheme="minorEastAsia" w:hAnsiTheme="minorHAnsi" w:cstheme="minorBidi"/>
      <w:szCs w:val="24"/>
      <w:lang w:eastAsia="en-US"/>
    </w:rPr>
  </w:style>
  <w:style w:type="paragraph" w:customStyle="1" w:styleId="Default">
    <w:name w:val="Default"/>
    <w:rsid w:val="00A839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E0F2-43F1-4981-BBF0-1E910967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2544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davidr</dc:creator>
  <cp:lastModifiedBy>Mark D Robinson</cp:lastModifiedBy>
  <cp:revision>2</cp:revision>
  <cp:lastPrinted>2014-10-19T20:27:00Z</cp:lastPrinted>
  <dcterms:created xsi:type="dcterms:W3CDTF">2014-10-31T00:25:00Z</dcterms:created>
  <dcterms:modified xsi:type="dcterms:W3CDTF">2014-10-31T00:25:00Z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DocumentDesc">
    <vt:lpwstr>Drafting Spec - Updated Opex IRIS</vt:lpwstr>
  </property>
  <property fmtid="{D5CDD505-2E9C-101B-9397-08002B2CF9AE}" pid="3" name="imAuthorInitials">
    <vt:lpwstr>DAVIDR</vt:lpwstr>
  </property>
  <property fmtid="{D5CDD505-2E9C-101B-9397-08002B2CF9AE}" pid="4" name="imAuthorName">
    <vt:lpwstr>David Rauscher</vt:lpwstr>
  </property>
  <property fmtid="{D5CDD505-2E9C-101B-9397-08002B2CF9AE}" pid="5" name="imAuthorFax">
    <vt:lpwstr/>
  </property>
  <property fmtid="{D5CDD505-2E9C-101B-9397-08002B2CF9AE}" pid="6" name="imAuthorPhone">
    <vt:lpwstr/>
  </property>
  <property fmtid="{D5CDD505-2E9C-101B-9397-08002B2CF9AE}" pid="7" name="imAuthorEmail">
    <vt:lpwstr>David.Rauscher@comcom.govt.nz</vt:lpwstr>
  </property>
  <property fmtid="{D5CDD505-2E9C-101B-9397-08002B2CF9AE}" pid="8" name="imType">
    <vt:lpwstr>WORKPAPER</vt:lpwstr>
  </property>
  <property fmtid="{D5CDD505-2E9C-101B-9397-08002B2CF9AE}" pid="9" name="imSubType">
    <vt:lpwstr/>
  </property>
  <property fmtid="{D5CDD505-2E9C-101B-9397-08002B2CF9AE}" pid="10" name="imOutput">
    <vt:lpwstr>14.07</vt:lpwstr>
  </property>
  <property fmtid="{D5CDD505-2E9C-101B-9397-08002B2CF9AE}" pid="11" name="imProjectNo">
    <vt:lpwstr>14118</vt:lpwstr>
  </property>
  <property fmtid="{D5CDD505-2E9C-101B-9397-08002B2CF9AE}" pid="12" name="imClassification">
    <vt:lpwstr>In-Confidence - Internal use only</vt:lpwstr>
  </property>
  <property fmtid="{D5CDD505-2E9C-101B-9397-08002B2CF9AE}" pid="13" name="imStatus">
    <vt:lpwstr/>
  </property>
  <property fmtid="{D5CDD505-2E9C-101B-9397-08002B2CF9AE}" pid="14" name="imForeMostNo">
    <vt:lpwstr>ACA-14.07-14118-02</vt:lpwstr>
  </property>
  <property fmtid="{D5CDD505-2E9C-101B-9397-08002B2CF9AE}" pid="15" name="imOperatorInitials">
    <vt:lpwstr>DAVIDR</vt:lpwstr>
  </property>
  <property fmtid="{D5CDD505-2E9C-101B-9397-08002B2CF9AE}" pid="16" name="imOperatorName">
    <vt:lpwstr>David Rauscher</vt:lpwstr>
  </property>
  <property fmtid="{D5CDD505-2E9C-101B-9397-08002B2CF9AE}" pid="17" name="imOperatorPhone">
    <vt:lpwstr/>
  </property>
  <property fmtid="{D5CDD505-2E9C-101B-9397-08002B2CF9AE}" pid="18" name="imApplication">
    <vt:lpwstr>WORDX</vt:lpwstr>
  </property>
  <property fmtid="{D5CDD505-2E9C-101B-9397-08002B2CF9AE}" pid="19" name="imPartiesTo">
    <vt:lpwstr/>
  </property>
  <property fmtid="{D5CDD505-2E9C-101B-9397-08002B2CF9AE}" pid="20" name="imPartiesFrom">
    <vt:lpwstr/>
  </property>
  <property fmtid="{D5CDD505-2E9C-101B-9397-08002B2CF9AE}" pid="21" name="imDocumentDate">
    <vt:filetime>1899-12-29T12:00:00Z</vt:filetime>
  </property>
  <property fmtid="{D5CDD505-2E9C-101B-9397-08002B2CF9AE}" pid="22" name="iManageDocumentNumber">
    <vt:lpwstr>999999-</vt:lpwstr>
  </property>
  <property fmtid="{D5CDD505-2E9C-101B-9397-08002B2CF9AE}" pid="23" name="iManageDocumentVersion">
    <vt:lpwstr>9</vt:lpwstr>
  </property>
</Properties>
</file>