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35" w:rsidRPr="00364B3D" w:rsidRDefault="00201E35" w:rsidP="00201E35">
      <w:pPr>
        <w:pStyle w:val="zFileRef"/>
        <w:spacing w:before="840"/>
      </w:pPr>
    </w:p>
    <w:p w:rsidR="00201E35" w:rsidRPr="0066553F" w:rsidRDefault="00201E35" w:rsidP="00201E35">
      <w:pPr>
        <w:pStyle w:val="BodyText"/>
      </w:pPr>
      <w:r>
        <w:t>13 August 2014</w:t>
      </w:r>
    </w:p>
    <w:bookmarkStart w:id="0" w:name="Cursor"/>
    <w:p w:rsidR="00201E35" w:rsidRDefault="00201E35" w:rsidP="00201E35">
      <w:r>
        <w:fldChar w:fldCharType="begin"/>
      </w:r>
      <w:r>
        <w:instrText xml:space="preserve"> MERGEFIELD "MRMS" </w:instrText>
      </w:r>
      <w:r>
        <w:fldChar w:fldCharType="separate"/>
      </w:r>
      <w:r>
        <w:rPr>
          <w:noProof/>
        </w:rPr>
        <w:t>«MRMS»</w:t>
      </w:r>
      <w:r>
        <w:fldChar w:fldCharType="end"/>
      </w:r>
      <w:r>
        <w:t xml:space="preserve"> </w:t>
      </w:r>
      <w:r w:rsidR="00170439">
        <w:fldChar w:fldCharType="begin"/>
      </w:r>
      <w:r w:rsidR="00170439">
        <w:instrText xml:space="preserve"> MERGEFIELD "NAME" </w:instrText>
      </w:r>
      <w:r w:rsidR="00170439">
        <w:fldChar w:fldCharType="separate"/>
      </w:r>
      <w:r>
        <w:rPr>
          <w:noProof/>
        </w:rPr>
        <w:t>«NAME»</w:t>
      </w:r>
      <w:r w:rsidR="00170439">
        <w:rPr>
          <w:noProof/>
        </w:rPr>
        <w:fldChar w:fldCharType="end"/>
      </w:r>
      <w:r>
        <w:t xml:space="preserve"> </w:t>
      </w:r>
      <w:r w:rsidR="00170439">
        <w:fldChar w:fldCharType="begin"/>
      </w:r>
      <w:r w:rsidR="00170439">
        <w:instrText xml:space="preserve"> MERGEFIELD "SURNAME" </w:instrText>
      </w:r>
      <w:r w:rsidR="00170439">
        <w:fldChar w:fldCharType="separate"/>
      </w:r>
      <w:r>
        <w:rPr>
          <w:noProof/>
        </w:rPr>
        <w:t>«SURNAME»</w:t>
      </w:r>
      <w:r w:rsidR="00170439">
        <w:rPr>
          <w:noProof/>
        </w:rPr>
        <w:fldChar w:fldCharType="end"/>
      </w:r>
    </w:p>
    <w:p w:rsidR="00201E35" w:rsidRDefault="00170439" w:rsidP="00201E35">
      <w:r>
        <w:fldChar w:fldCharType="begin"/>
      </w:r>
      <w:r>
        <w:instrText xml:space="preserve"> MERGEFIELD "Job_Title" </w:instrText>
      </w:r>
      <w:r>
        <w:fldChar w:fldCharType="separate"/>
      </w:r>
      <w:r w:rsidR="00201E35">
        <w:rPr>
          <w:noProof/>
        </w:rPr>
        <w:t>«Job_Title»</w:t>
      </w:r>
      <w:r>
        <w:rPr>
          <w:noProof/>
        </w:rPr>
        <w:fldChar w:fldCharType="end"/>
      </w:r>
    </w:p>
    <w:p w:rsidR="00201E35" w:rsidRPr="0066553F" w:rsidRDefault="00170439" w:rsidP="00201E35">
      <w:r>
        <w:fldChar w:fldCharType="begin"/>
      </w:r>
      <w:r>
        <w:instrText xml:space="preserve"> MERGEFIELD "COMPANY" </w:instrText>
      </w:r>
      <w:r>
        <w:fldChar w:fldCharType="separate"/>
      </w:r>
      <w:r w:rsidR="00201E35">
        <w:rPr>
          <w:noProof/>
        </w:rPr>
        <w:t>«COMPANY»</w:t>
      </w:r>
      <w:r>
        <w:rPr>
          <w:noProof/>
        </w:rPr>
        <w:fldChar w:fldCharType="end"/>
      </w:r>
    </w:p>
    <w:p w:rsidR="00201E35" w:rsidRPr="0066553F" w:rsidRDefault="00170439" w:rsidP="00201E35">
      <w:r>
        <w:fldChar w:fldCharType="begin"/>
      </w:r>
      <w:r>
        <w:instrText xml:space="preserve"> MERGEFIELD PO_BOX </w:instrText>
      </w:r>
      <w:r>
        <w:fldChar w:fldCharType="separate"/>
      </w:r>
      <w:r w:rsidR="00201E35">
        <w:rPr>
          <w:noProof/>
        </w:rPr>
        <w:t>«PO_BOX»</w:t>
      </w:r>
      <w:r>
        <w:rPr>
          <w:noProof/>
        </w:rPr>
        <w:fldChar w:fldCharType="end"/>
      </w:r>
    </w:p>
    <w:p w:rsidR="00201E35" w:rsidRPr="0066553F" w:rsidRDefault="00170439" w:rsidP="00201E35">
      <w:r>
        <w:fldChar w:fldCharType="begin"/>
      </w:r>
      <w:r>
        <w:instrText xml:space="preserve"> MERGEFIELD CITY </w:instrText>
      </w:r>
      <w:r>
        <w:fldChar w:fldCharType="separate"/>
      </w:r>
      <w:r w:rsidR="00201E35">
        <w:rPr>
          <w:noProof/>
        </w:rPr>
        <w:t>«CITY»</w:t>
      </w:r>
      <w:r>
        <w:rPr>
          <w:noProof/>
        </w:rPr>
        <w:fldChar w:fldCharType="end"/>
      </w:r>
    </w:p>
    <w:bookmarkEnd w:id="0"/>
    <w:p w:rsidR="00201E35" w:rsidRPr="0066553F" w:rsidRDefault="00201E35" w:rsidP="00201E35">
      <w:pPr>
        <w:pStyle w:val="zDear"/>
      </w:pPr>
      <w:r w:rsidRPr="0066553F">
        <w:t xml:space="preserve">Dear </w:t>
      </w:r>
      <w:r w:rsidR="00170439">
        <w:fldChar w:fldCharType="begin"/>
      </w:r>
      <w:r w:rsidR="00170439">
        <w:instrText xml:space="preserve"> MERGEFIELD MRMS </w:instrText>
      </w:r>
      <w:r w:rsidR="00170439">
        <w:fldChar w:fldCharType="separate"/>
      </w:r>
      <w:r>
        <w:rPr>
          <w:noProof/>
        </w:rPr>
        <w:t>«MRMS»</w:t>
      </w:r>
      <w:r w:rsidR="00170439">
        <w:rPr>
          <w:noProof/>
        </w:rPr>
        <w:fldChar w:fldCharType="end"/>
      </w:r>
      <w:r w:rsidRPr="0066553F">
        <w:t xml:space="preserve"> </w:t>
      </w:r>
      <w:r w:rsidR="00170439">
        <w:fldChar w:fldCharType="begin"/>
      </w:r>
      <w:r w:rsidR="00170439">
        <w:instrText xml:space="preserve"> MERGEFIELD SURNAME </w:instrText>
      </w:r>
      <w:r w:rsidR="00170439">
        <w:fldChar w:fldCharType="separate"/>
      </w:r>
      <w:r>
        <w:rPr>
          <w:noProof/>
        </w:rPr>
        <w:t>«SURNAME»</w:t>
      </w:r>
      <w:r w:rsidR="00170439">
        <w:rPr>
          <w:noProof/>
        </w:rPr>
        <w:fldChar w:fldCharType="end"/>
      </w:r>
    </w:p>
    <w:p w:rsidR="00201E35" w:rsidRPr="0066553F" w:rsidRDefault="00201E35" w:rsidP="00201E35">
      <w:pPr>
        <w:pStyle w:val="Heading2"/>
        <w:rPr>
          <w:bCs/>
        </w:rPr>
      </w:pPr>
      <w:r w:rsidRPr="0066553F">
        <w:t>Notice to supply information to the Commerce Commission under section 53ZD of the Commerce Act 1986</w:t>
      </w:r>
      <w:r w:rsidRPr="0066553F">
        <w:rPr>
          <w:bCs/>
        </w:rPr>
        <w:t xml:space="preserve"> </w:t>
      </w:r>
    </w:p>
    <w:p w:rsidR="00201E35" w:rsidRDefault="00201E35" w:rsidP="00201E35">
      <w:pPr>
        <w:pStyle w:val="Para1"/>
      </w:pPr>
      <w:r w:rsidRPr="0066553F">
        <w:t xml:space="preserve">The Commerce Commission (Commission) requires </w:t>
      </w:r>
      <w:r w:rsidR="00170439">
        <w:fldChar w:fldCharType="begin"/>
      </w:r>
      <w:r w:rsidR="00170439">
        <w:instrText xml:space="preserve"> MERGEFIELD "COMPANY" </w:instrText>
      </w:r>
      <w:r w:rsidR="00170439">
        <w:fldChar w:fldCharType="separate"/>
      </w:r>
      <w:r>
        <w:rPr>
          <w:noProof/>
        </w:rPr>
        <w:t>«COMPANY»</w:t>
      </w:r>
      <w:r w:rsidR="00170439">
        <w:rPr>
          <w:noProof/>
        </w:rPr>
        <w:fldChar w:fldCharType="end"/>
      </w:r>
      <w:r w:rsidRPr="0066553F">
        <w:t xml:space="preserve">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rsidRPr="0066553F">
        <w:t xml:space="preserve">) to provide us with the information specified in this notice, issued under s 53ZD of the Commerce Act 1986 (the Act). We </w:t>
      </w:r>
      <w:r>
        <w:t>require</w:t>
      </w:r>
      <w:r w:rsidRPr="0066553F">
        <w:t xml:space="preserve"> this information for the purpose of carrying out our functions and exercising our powers under Part 4 of the Act. Specifically, this information </w:t>
      </w:r>
      <w:r>
        <w:t>will</w:t>
      </w:r>
      <w:r w:rsidRPr="0066553F">
        <w:t xml:space="preserve"> inform our decisions on the </w:t>
      </w:r>
      <w:r>
        <w:t>r</w:t>
      </w:r>
      <w:r w:rsidRPr="0066553F">
        <w:t>eset of the default price-quality paths applying to suppliers of electricity distribution services.</w:t>
      </w:r>
    </w:p>
    <w:p w:rsidR="00201E35" w:rsidRDefault="00201E35" w:rsidP="00201E35">
      <w:pPr>
        <w:pStyle w:val="Para1"/>
      </w:pPr>
      <w:r w:rsidRPr="0066553F">
        <w:t>The info</w:t>
      </w:r>
      <w:r>
        <w:t>rmation required by this notice is:</w:t>
      </w:r>
    </w:p>
    <w:p w:rsidR="00201E35" w:rsidRDefault="00201E35" w:rsidP="00201E35">
      <w:pPr>
        <w:pStyle w:val="Para2"/>
      </w:pPr>
      <w:r>
        <w:t>line charge revenue,</w:t>
      </w:r>
      <w:r>
        <w:rPr>
          <w:rStyle w:val="FootnoteReference"/>
        </w:rPr>
        <w:footnoteReference w:id="1"/>
      </w:r>
      <w:r>
        <w:t xml:space="preserve"> transmission charges,</w:t>
      </w:r>
      <w:r w:rsidRPr="007F6840">
        <w:rPr>
          <w:rStyle w:val="FootnoteReference"/>
        </w:rPr>
        <w:t xml:space="preserve"> </w:t>
      </w:r>
      <w:r>
        <w:rPr>
          <w:rStyle w:val="FootnoteReference"/>
        </w:rPr>
        <w:footnoteReference w:id="2"/>
      </w:r>
      <w:r>
        <w:t xml:space="preserve"> fixed charges,</w:t>
      </w:r>
      <w:r>
        <w:rPr>
          <w:rStyle w:val="FootnoteReference"/>
        </w:rPr>
        <w:footnoteReference w:id="3"/>
      </w:r>
      <w:r>
        <w:t xml:space="preserve"> energy supplied,</w:t>
      </w:r>
      <w:r>
        <w:rPr>
          <w:rStyle w:val="FootnoteReference"/>
        </w:rPr>
        <w:footnoteReference w:id="4"/>
      </w:r>
      <w:r>
        <w:t xml:space="preserve"> and the number of ICPs,</w:t>
      </w:r>
      <w:r>
        <w:rPr>
          <w:rStyle w:val="FootnoteReference"/>
        </w:rPr>
        <w:footnoteReference w:id="5"/>
      </w:r>
      <w:r>
        <w:t xml:space="preserve">  for the disclosure years 2011/12 to 2013/14, broken down into the following supply categories:</w:t>
      </w:r>
      <w:r>
        <w:rPr>
          <w:rStyle w:val="FootnoteReference"/>
        </w:rPr>
        <w:footnoteReference w:id="6"/>
      </w:r>
    </w:p>
    <w:p w:rsidR="00201E35" w:rsidRDefault="00201E35" w:rsidP="00201E35">
      <w:pPr>
        <w:pStyle w:val="Para3"/>
      </w:pPr>
      <w:r>
        <w:t>residential users;</w:t>
      </w:r>
    </w:p>
    <w:p w:rsidR="00201E35" w:rsidRDefault="00201E35" w:rsidP="00201E35">
      <w:pPr>
        <w:pStyle w:val="Para3"/>
      </w:pPr>
      <w:r>
        <w:t>commercial users; and</w:t>
      </w:r>
    </w:p>
    <w:p w:rsidR="00201E35" w:rsidRDefault="00201E35" w:rsidP="00201E35">
      <w:pPr>
        <w:pStyle w:val="Para3"/>
      </w:pPr>
      <w:r>
        <w:t>industrial users;</w:t>
      </w:r>
    </w:p>
    <w:p w:rsidR="00201E35" w:rsidRDefault="00201E35" w:rsidP="00201E35">
      <w:pPr>
        <w:pStyle w:val="Para2"/>
      </w:pPr>
      <w:r>
        <w:lastRenderedPageBreak/>
        <w:t xml:space="preserve">forecast capital contributions for disclosure years 2014/15 to 2019/20, in </w:t>
      </w:r>
      <w:r w:rsidRPr="00F46055">
        <w:t xml:space="preserve">constant </w:t>
      </w:r>
      <w:r>
        <w:t>2013/14 prices;</w:t>
      </w:r>
      <w:r>
        <w:rPr>
          <w:rStyle w:val="FootnoteReference"/>
        </w:rPr>
        <w:footnoteReference w:id="7"/>
      </w:r>
    </w:p>
    <w:p w:rsidR="00201E35" w:rsidRDefault="00201E35" w:rsidP="00201E35">
      <w:pPr>
        <w:pStyle w:val="Para2"/>
      </w:pPr>
      <w:r>
        <w:t>information related to actual and forecast acquisitions of transmission assets (or groups of assets) from Transpower for the disclosure years 2009/10 to 2019/20, consisting of, for each asset (or group of assets):</w:t>
      </w:r>
      <w:r>
        <w:rPr>
          <w:rStyle w:val="FootnoteReference"/>
        </w:rPr>
        <w:footnoteReference w:id="8"/>
      </w:r>
    </w:p>
    <w:p w:rsidR="00201E35" w:rsidRDefault="00201E35" w:rsidP="00201E35">
      <w:pPr>
        <w:pStyle w:val="Para3"/>
      </w:pPr>
      <w:r>
        <w:t>a description of the asset;</w:t>
      </w:r>
    </w:p>
    <w:p w:rsidR="00201E35" w:rsidRDefault="00201E35" w:rsidP="00201E35">
      <w:pPr>
        <w:pStyle w:val="Para3"/>
      </w:pPr>
      <w:r>
        <w:t>the date of acquisition;</w:t>
      </w:r>
    </w:p>
    <w:p w:rsidR="00201E35" w:rsidRDefault="00201E35" w:rsidP="00201E35">
      <w:pPr>
        <w:pStyle w:val="Para3"/>
      </w:pPr>
      <w:r>
        <w:t>the purchase price;</w:t>
      </w:r>
      <w:r>
        <w:rPr>
          <w:rStyle w:val="FootnoteReference"/>
        </w:rPr>
        <w:footnoteReference w:id="9"/>
      </w:r>
    </w:p>
    <w:p w:rsidR="00201E35" w:rsidRPr="00085EAD" w:rsidRDefault="00201E35" w:rsidP="00201E35">
      <w:pPr>
        <w:pStyle w:val="Para3"/>
      </w:pPr>
      <w:r w:rsidRPr="00085EAD">
        <w:t>the RAB value of the asset (actual or forecast) at transfer;</w:t>
      </w:r>
      <w:r w:rsidRPr="00085EAD">
        <w:rPr>
          <w:rStyle w:val="FootnoteReference"/>
        </w:rPr>
        <w:footnoteReference w:id="10"/>
      </w:r>
    </w:p>
    <w:p w:rsidR="00201E35" w:rsidRDefault="00201E35" w:rsidP="00201E35">
      <w:pPr>
        <w:pStyle w:val="Para3"/>
      </w:pPr>
      <w:r>
        <w:t>actual or forecast capital expenditure directly associated with that asset, for each disclosure year;</w:t>
      </w:r>
      <w:r>
        <w:rPr>
          <w:rStyle w:val="FootnoteReference"/>
        </w:rPr>
        <w:footnoteReference w:id="11"/>
      </w:r>
    </w:p>
    <w:p w:rsidR="00201E35" w:rsidRDefault="00201E35" w:rsidP="00201E35">
      <w:pPr>
        <w:pStyle w:val="Para3"/>
      </w:pPr>
      <w:r>
        <w:t>actual or forecast operational expenditure directly associated with the asset,</w:t>
      </w:r>
      <w:r w:rsidRPr="005B4FD2">
        <w:t xml:space="preserve"> </w:t>
      </w:r>
      <w:r>
        <w:t>for each disclosure year;</w:t>
      </w:r>
      <w:r>
        <w:rPr>
          <w:rStyle w:val="FootnoteReference"/>
        </w:rPr>
        <w:footnoteReference w:id="12"/>
      </w:r>
    </w:p>
    <w:p w:rsidR="00201E35" w:rsidRDefault="00201E35" w:rsidP="00201E35">
      <w:pPr>
        <w:pStyle w:val="Para3"/>
      </w:pPr>
      <w:r>
        <w:t xml:space="preserve">an explanation for any difference between the purchase price and the </w:t>
      </w:r>
      <w:r w:rsidRPr="00180CB7">
        <w:t>RAB value at transfer;</w:t>
      </w:r>
      <w:r>
        <w:t xml:space="preserve"> and</w:t>
      </w:r>
    </w:p>
    <w:p w:rsidR="00201E35" w:rsidRDefault="00201E35" w:rsidP="00201E35">
      <w:pPr>
        <w:pStyle w:val="Para3"/>
      </w:pPr>
      <w:r>
        <w:t>an explanation for any difference between these forecasts and those provided in the s53ZD request dated 12 March 2014;</w:t>
      </w:r>
    </w:p>
    <w:p w:rsidR="00201E35" w:rsidRDefault="00201E35" w:rsidP="00201E35">
      <w:pPr>
        <w:pStyle w:val="Para2"/>
      </w:pPr>
      <w:bookmarkStart w:id="1" w:name="_Ref394996685"/>
      <w:r>
        <w:t xml:space="preserve">for each asset (or group of assets) acquired from Transpower after 1 April 2005, information relating to planned and unplanned interruptions originating within that asset (or group), for the period </w:t>
      </w:r>
      <w:r>
        <w:rPr>
          <w:i/>
        </w:rPr>
        <w:t>after</w:t>
      </w:r>
      <w:r>
        <w:t xml:space="preserve">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rPr>
          <w:noProof/>
        </w:rPr>
        <w:t xml:space="preserve"> acquired it (or them), specifically for each interruption:</w:t>
      </w:r>
      <w:r>
        <w:rPr>
          <w:rStyle w:val="FootnoteReference"/>
        </w:rPr>
        <w:footnoteReference w:id="13"/>
      </w:r>
      <w:bookmarkEnd w:id="1"/>
    </w:p>
    <w:p w:rsidR="00585920" w:rsidRDefault="00585920" w:rsidP="00201E35">
      <w:pPr>
        <w:pStyle w:val="Para3"/>
      </w:pPr>
      <w:r>
        <w:lastRenderedPageBreak/>
        <w:t xml:space="preserve">the name of the asset on which </w:t>
      </w:r>
      <w:r w:rsidR="00854CA4">
        <w:t>the interruption</w:t>
      </w:r>
      <w:r>
        <w:t xml:space="preserve"> occurred;</w:t>
      </w:r>
    </w:p>
    <w:p w:rsidR="00201E35" w:rsidRDefault="00201E35" w:rsidP="00201E35">
      <w:pPr>
        <w:pStyle w:val="Para3"/>
      </w:pPr>
      <w:r>
        <w:t>the start date;</w:t>
      </w:r>
    </w:p>
    <w:p w:rsidR="00201E35" w:rsidRDefault="00201E35" w:rsidP="00201E35">
      <w:pPr>
        <w:pStyle w:val="Para3"/>
      </w:pPr>
      <w:r>
        <w:t>the number of customers interrupted;</w:t>
      </w:r>
    </w:p>
    <w:p w:rsidR="00201E35" w:rsidRDefault="00201E35" w:rsidP="00201E35">
      <w:pPr>
        <w:pStyle w:val="Para3"/>
      </w:pPr>
      <w:r>
        <w:t>the number of customer minutes lost;</w:t>
      </w:r>
    </w:p>
    <w:p w:rsidR="00201E35" w:rsidRDefault="00201E35" w:rsidP="00201E35">
      <w:pPr>
        <w:pStyle w:val="Para3"/>
      </w:pPr>
      <w:r>
        <w:t xml:space="preserve">whether the interruption was a planned interruption or an unplanned interruption; </w:t>
      </w:r>
    </w:p>
    <w:p w:rsidR="00201E35" w:rsidRPr="00F42186" w:rsidRDefault="00201E35" w:rsidP="00201E35">
      <w:pPr>
        <w:pStyle w:val="Para3"/>
      </w:pPr>
      <w:r w:rsidRPr="00F42186">
        <w:t xml:space="preserve">the SAIDI and SAIFI </w:t>
      </w:r>
      <w:r>
        <w:t>values for the interruption</w:t>
      </w:r>
      <w:r w:rsidRPr="00F42186">
        <w:t>;</w:t>
      </w:r>
    </w:p>
    <w:p w:rsidR="00201E35" w:rsidRDefault="00201E35" w:rsidP="00201E35">
      <w:pPr>
        <w:pStyle w:val="Para3"/>
      </w:pPr>
      <w:r>
        <w:t>the cause of the interruption;</w:t>
      </w:r>
      <w:r w:rsidR="00585920">
        <w:t xml:space="preserve"> and</w:t>
      </w:r>
    </w:p>
    <w:p w:rsidR="00585920" w:rsidRDefault="00585920" w:rsidP="00585920">
      <w:pPr>
        <w:pStyle w:val="Para3"/>
      </w:pPr>
      <w:r>
        <w:t>whether or not the interruption was included in the s 53ZD request for information dated 12 March 2012;</w:t>
      </w:r>
    </w:p>
    <w:p w:rsidR="00201E35" w:rsidRDefault="00201E35" w:rsidP="00201E35">
      <w:pPr>
        <w:pStyle w:val="Para2"/>
      </w:pPr>
      <w:r>
        <w:t xml:space="preserve">for assets (or groups of assets) acquired from Transpower after 1 April 2005, the information related to planned and unplanned interruptions listed in paragraph 2.4, for the period </w:t>
      </w:r>
      <w:r>
        <w:rPr>
          <w:i/>
        </w:rPr>
        <w:t>before</w:t>
      </w:r>
      <w:r>
        <w:t xml:space="preserve"> </w:t>
      </w:r>
      <w:r w:rsidR="00170439">
        <w:fldChar w:fldCharType="begin"/>
      </w:r>
      <w:r w:rsidR="00170439">
        <w:instrText xml:space="preserve"> </w:instrText>
      </w:r>
      <w:r w:rsidR="00170439">
        <w:instrText xml:space="preserve">MERGEFIELD ZZ </w:instrText>
      </w:r>
      <w:r w:rsidR="00170439">
        <w:fldChar w:fldCharType="separate"/>
      </w:r>
      <w:r>
        <w:rPr>
          <w:noProof/>
        </w:rPr>
        <w:t>«ZZ»</w:t>
      </w:r>
      <w:r w:rsidR="00170439">
        <w:rPr>
          <w:noProof/>
        </w:rPr>
        <w:fldChar w:fldCharType="end"/>
      </w:r>
      <w:r>
        <w:rPr>
          <w:noProof/>
        </w:rPr>
        <w:t xml:space="preserve"> acquired it (or them)</w:t>
      </w:r>
      <w:r>
        <w:t xml:space="preserve">, </w:t>
      </w:r>
      <w:r>
        <w:rPr>
          <w:noProof/>
        </w:rPr>
        <w:t>insofar as the information is available</w:t>
      </w:r>
      <w:r>
        <w:t>;</w:t>
      </w:r>
    </w:p>
    <w:p w:rsidR="00201E35" w:rsidRDefault="00201E35" w:rsidP="00201E35">
      <w:pPr>
        <w:pStyle w:val="Para2"/>
      </w:pPr>
      <w:r>
        <w:t>for assets (or groups of assets) forecast to be acquired from Transpower before 31 March 2015, the information related to planned and unplanned interruptions listed in paragraph 2.4, insofar as the information is available;</w:t>
      </w:r>
    </w:p>
    <w:p w:rsidR="00201E35" w:rsidRDefault="00201E35" w:rsidP="00201E35">
      <w:pPr>
        <w:pStyle w:val="Para2"/>
      </w:pPr>
      <w:r>
        <w:t>expenditure on assets forecast for disclosure years 2014/15 to 2019/20 in constant 2013/14 prices;</w:t>
      </w:r>
      <w:r>
        <w:rPr>
          <w:rStyle w:val="FootnoteReference"/>
        </w:rPr>
        <w:footnoteReference w:id="14"/>
      </w:r>
      <w:r>
        <w:t xml:space="preserve"> and</w:t>
      </w:r>
    </w:p>
    <w:p w:rsidR="00201E35" w:rsidRDefault="00201E35" w:rsidP="00201E35">
      <w:pPr>
        <w:pStyle w:val="Para2"/>
      </w:pPr>
      <w:proofErr w:type="gramStart"/>
      <w:r>
        <w:t>corrections</w:t>
      </w:r>
      <w:proofErr w:type="gramEnd"/>
      <w:r>
        <w:t xml:space="preserve"> or explanations of identified anomalies in the quality of supply information provided in response to the request for information issued by the Commission on 12 March 2012.</w:t>
      </w:r>
      <w:r>
        <w:rPr>
          <w:rStyle w:val="FootnoteReference"/>
        </w:rPr>
        <w:footnoteReference w:id="15"/>
      </w:r>
    </w:p>
    <w:p w:rsidR="00201E35" w:rsidRPr="0066553F" w:rsidRDefault="00201E35" w:rsidP="00201E35">
      <w:pPr>
        <w:pStyle w:val="Heading2"/>
      </w:pPr>
      <w:r w:rsidRPr="0066553F">
        <w:t>Interpretation</w:t>
      </w:r>
    </w:p>
    <w:p w:rsidR="00201E35" w:rsidRDefault="00201E35" w:rsidP="00201E35">
      <w:pPr>
        <w:pStyle w:val="Para1"/>
      </w:pPr>
      <w:r w:rsidRPr="0066553F">
        <w:t>Unless the context otherwise requires, words in bold type have the following meaning</w:t>
      </w:r>
      <w:r>
        <w:t>s</w:t>
      </w:r>
      <w:r w:rsidRPr="0066553F">
        <w:t>:</w:t>
      </w:r>
    </w:p>
    <w:p w:rsidR="00201E35" w:rsidRDefault="00201E35" w:rsidP="00201E35">
      <w:pPr>
        <w:pStyle w:val="BodyTextIndent"/>
      </w:pPr>
      <w:r w:rsidRPr="0066553F">
        <w:rPr>
          <w:b/>
        </w:rPr>
        <w:t xml:space="preserve">Request workbook </w:t>
      </w:r>
      <w:r w:rsidRPr="0066553F">
        <w:t>means the</w:t>
      </w:r>
      <w:r w:rsidRPr="0066553F">
        <w:rPr>
          <w:b/>
        </w:rPr>
        <w:t xml:space="preserve"> </w:t>
      </w:r>
      <w:r>
        <w:t>MS</w:t>
      </w:r>
      <w:r w:rsidRPr="0066553F">
        <w:t xml:space="preserve"> Excel workbook provided by the Commission labelled</w:t>
      </w:r>
      <w:r>
        <w:t xml:space="preserve"> ‘Electricity Distribution Business Price-Quality Regulation 2015–2020 Information Request Workbook v2.</w:t>
      </w:r>
      <w:r w:rsidR="00934986">
        <w:t>1</w:t>
      </w:r>
      <w:r>
        <w:t xml:space="preserve">, Issue date 13 August 2014’; </w:t>
      </w:r>
    </w:p>
    <w:p w:rsidR="00201E35" w:rsidRDefault="00201E35" w:rsidP="00201E35">
      <w:pPr>
        <w:pStyle w:val="BodyTextIndent"/>
      </w:pPr>
      <w:r>
        <w:rPr>
          <w:b/>
        </w:rPr>
        <w:t xml:space="preserve">Supplementary request workbook </w:t>
      </w:r>
      <w:r w:rsidRPr="003F07E7">
        <w:t xml:space="preserve">means </w:t>
      </w:r>
      <w:r>
        <w:t>the MS</w:t>
      </w:r>
      <w:r w:rsidRPr="0066553F">
        <w:t xml:space="preserve"> Excel workbook provided by the Commission labelled</w:t>
      </w:r>
      <w:r>
        <w:t xml:space="preserve"> ‘Electricity Distribution Business Price-Quality Regulation 2015–</w:t>
      </w:r>
      <w:r>
        <w:lastRenderedPageBreak/>
        <w:t>2020 Information Supplementary Request Workbook v2.</w:t>
      </w:r>
      <w:r w:rsidR="00934986">
        <w:t>1</w:t>
      </w:r>
      <w:r>
        <w:t>, Issue date 13 August 2014’;</w:t>
      </w:r>
    </w:p>
    <w:p w:rsidR="00201E35" w:rsidRDefault="00201E35" w:rsidP="00201E35">
      <w:pPr>
        <w:pStyle w:val="BodyTextIndent"/>
      </w:pPr>
      <w:r w:rsidRPr="00F37ED5">
        <w:rPr>
          <w:b/>
        </w:rPr>
        <w:t>Independent auditor</w:t>
      </w:r>
      <w:r w:rsidRPr="00F37ED5">
        <w:t xml:space="preserve"> has the meaning set out in the Electricity Distribution Information Disclosure Determination 2012 [2012] NZCC 22.</w:t>
      </w:r>
    </w:p>
    <w:p w:rsidR="00201E35" w:rsidRPr="0066553F" w:rsidRDefault="00201E35" w:rsidP="00201E35">
      <w:pPr>
        <w:pStyle w:val="Heading2"/>
      </w:pPr>
      <w:r w:rsidRPr="0066553F">
        <w:t>Information requirements</w:t>
      </w:r>
    </w:p>
    <w:p w:rsidR="00201E35" w:rsidRPr="0066553F" w:rsidRDefault="00201E35" w:rsidP="00201E35">
      <w:pPr>
        <w:pStyle w:val="Heading3"/>
      </w:pPr>
      <w:r w:rsidRPr="0066553F">
        <w:t>Schedules of required information</w:t>
      </w:r>
    </w:p>
    <w:bookmarkStart w:id="2" w:name="_Ref380508929"/>
    <w:p w:rsidR="00201E35" w:rsidRPr="0066553F" w:rsidRDefault="00201E35" w:rsidP="00201E35">
      <w:pPr>
        <w:pStyle w:val="Para1"/>
      </w:pPr>
      <w:r w:rsidRPr="0066553F">
        <w:fldChar w:fldCharType="begin"/>
      </w:r>
      <w:r w:rsidRPr="0066553F">
        <w:instrText xml:space="preserve"> MERGEFIELD ZZ </w:instrText>
      </w:r>
      <w:r w:rsidRPr="0066553F">
        <w:fldChar w:fldCharType="separate"/>
      </w:r>
      <w:r>
        <w:rPr>
          <w:noProof/>
        </w:rPr>
        <w:t>«ZZ»</w:t>
      </w:r>
      <w:r w:rsidRPr="0066553F">
        <w:fldChar w:fldCharType="end"/>
      </w:r>
      <w:r w:rsidRPr="0066553F">
        <w:t xml:space="preserve"> must provide the Commission with the following completed Schedules of the </w:t>
      </w:r>
      <w:r w:rsidRPr="0066553F">
        <w:rPr>
          <w:b/>
        </w:rPr>
        <w:t>Request workbook</w:t>
      </w:r>
      <w:r w:rsidRPr="0066553F">
        <w:t>:</w:t>
      </w:r>
      <w:bookmarkEnd w:id="2"/>
    </w:p>
    <w:p w:rsidR="00201E35" w:rsidRDefault="00201E35" w:rsidP="00201E35">
      <w:pPr>
        <w:pStyle w:val="Para2"/>
      </w:pPr>
      <w:r w:rsidRPr="0066553F">
        <w:t xml:space="preserve">Schedule </w:t>
      </w:r>
      <w:r>
        <w:t>A – Revenue breakdown;</w:t>
      </w:r>
    </w:p>
    <w:p w:rsidR="00201E35" w:rsidRDefault="00201E35" w:rsidP="00201E35">
      <w:pPr>
        <w:pStyle w:val="Para2"/>
      </w:pPr>
      <w:r>
        <w:t>Schedule B – Capital contributions;</w:t>
      </w:r>
    </w:p>
    <w:p w:rsidR="00201E35" w:rsidRDefault="00201E35" w:rsidP="00201E35">
      <w:pPr>
        <w:pStyle w:val="Para2"/>
      </w:pPr>
      <w:r>
        <w:t>Schedule C – Transmission assets.</w:t>
      </w:r>
    </w:p>
    <w:bookmarkStart w:id="3" w:name="_Ref380508866"/>
    <w:bookmarkStart w:id="4" w:name="_Ref394997094"/>
    <w:p w:rsidR="00201E35" w:rsidRDefault="00201E35" w:rsidP="00201E35">
      <w:pPr>
        <w:pStyle w:val="Para1"/>
      </w:pPr>
      <w:r>
        <w:fldChar w:fldCharType="begin"/>
      </w:r>
      <w:r>
        <w:instrText xml:space="preserve"> MERGEFIELD ZZ </w:instrText>
      </w:r>
      <w:r>
        <w:fldChar w:fldCharType="separate"/>
      </w:r>
      <w:r>
        <w:rPr>
          <w:noProof/>
        </w:rPr>
        <w:t>«ZZ»</w:t>
      </w:r>
      <w:r>
        <w:rPr>
          <w:noProof/>
        </w:rPr>
        <w:fldChar w:fldCharType="end"/>
      </w:r>
      <w:r>
        <w:t xml:space="preserve"> must provide the Commission with an MS Excel file containing the quality of supply information specified in the </w:t>
      </w:r>
      <w:r w:rsidRPr="00D747EF">
        <w:rPr>
          <w:b/>
        </w:rPr>
        <w:t>Request workbook</w:t>
      </w:r>
      <w:r>
        <w:t xml:space="preserve"> in Schedule D</w:t>
      </w:r>
      <w:bookmarkEnd w:id="3"/>
      <w:r>
        <w:t>—Quality data.</w:t>
      </w:r>
      <w:bookmarkEnd w:id="4"/>
    </w:p>
    <w:bookmarkStart w:id="5" w:name="_Ref394997099"/>
    <w:p w:rsidR="00201E35" w:rsidRDefault="00201E35" w:rsidP="00201E35">
      <w:pPr>
        <w:pStyle w:val="Para1"/>
      </w:pPr>
      <w:r>
        <w:fldChar w:fldCharType="begin"/>
      </w:r>
      <w:r>
        <w:instrText xml:space="preserve"> MERGEFIELD ZZ </w:instrText>
      </w:r>
      <w:r>
        <w:fldChar w:fldCharType="separate"/>
      </w:r>
      <w:r>
        <w:rPr>
          <w:noProof/>
        </w:rPr>
        <w:t>«ZZ»</w:t>
      </w:r>
      <w:r>
        <w:rPr>
          <w:noProof/>
        </w:rPr>
        <w:fldChar w:fldCharType="end"/>
      </w:r>
      <w:r>
        <w:rPr>
          <w:noProof/>
        </w:rPr>
        <w:t xml:space="preserve"> must provide the Commission with a completed version of Schedules A and B of the </w:t>
      </w:r>
      <w:r>
        <w:rPr>
          <w:b/>
          <w:noProof/>
        </w:rPr>
        <w:t>Supplementary request workbook</w:t>
      </w:r>
      <w:r w:rsidRPr="0066318C">
        <w:rPr>
          <w:noProof/>
        </w:rPr>
        <w:t>.</w:t>
      </w:r>
      <w:bookmarkEnd w:id="5"/>
    </w:p>
    <w:p w:rsidR="00201E35" w:rsidRPr="0066553F" w:rsidRDefault="00201E35" w:rsidP="00201E35">
      <w:pPr>
        <w:pStyle w:val="Heading2"/>
      </w:pPr>
      <w:r w:rsidRPr="0066553F">
        <w:t>Supporting information</w:t>
      </w:r>
    </w:p>
    <w:p w:rsidR="00201E35" w:rsidRPr="0066553F" w:rsidRDefault="00201E35" w:rsidP="00201E35">
      <w:pPr>
        <w:pStyle w:val="Heading3"/>
      </w:pPr>
      <w:r w:rsidRPr="0066553F">
        <w:t>Cover letter</w:t>
      </w:r>
    </w:p>
    <w:p w:rsidR="00201E35" w:rsidRPr="0066553F" w:rsidRDefault="00201E35" w:rsidP="00201E35">
      <w:pPr>
        <w:pStyle w:val="Para1"/>
      </w:pPr>
      <w:r w:rsidRPr="0066553F">
        <w:rPr>
          <w:bCs/>
        </w:rPr>
        <w:t xml:space="preserve">The information required by this notice must be provided </w:t>
      </w:r>
      <w:r w:rsidRPr="0066553F">
        <w:t xml:space="preserve">under cover of a letter on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rsidRPr="0066553F">
        <w:t xml:space="preserve">’s company letterhead, signed by </w:t>
      </w:r>
      <w:r>
        <w:t xml:space="preserve">an officer or director of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t>.</w:t>
      </w:r>
    </w:p>
    <w:p w:rsidR="00201E35" w:rsidRPr="0066553F" w:rsidRDefault="00201E35" w:rsidP="00201E35">
      <w:pPr>
        <w:pStyle w:val="Heading3"/>
      </w:pPr>
      <w:r>
        <w:t>C</w:t>
      </w:r>
      <w:r w:rsidRPr="0066553F">
        <w:t>ertificat</w:t>
      </w:r>
      <w:r>
        <w:t>ion</w:t>
      </w:r>
    </w:p>
    <w:p w:rsidR="00201E35" w:rsidRPr="00D7539B" w:rsidRDefault="00170439" w:rsidP="00201E35">
      <w:pPr>
        <w:pStyle w:val="Para1"/>
        <w:rPr>
          <w:lang w:val="en-US"/>
        </w:rPr>
      </w:pPr>
      <w:r>
        <w:fldChar w:fldCharType="begin"/>
      </w:r>
      <w:r>
        <w:instrText xml:space="preserve"> MERGEFIELD "ZZ" </w:instrText>
      </w:r>
      <w:r>
        <w:fldChar w:fldCharType="separate"/>
      </w:r>
      <w:r w:rsidR="00201E35">
        <w:rPr>
          <w:noProof/>
        </w:rPr>
        <w:t>«ZZ»</w:t>
      </w:r>
      <w:r>
        <w:rPr>
          <w:noProof/>
        </w:rPr>
        <w:fldChar w:fldCharType="end"/>
      </w:r>
      <w:r w:rsidR="00201E35">
        <w:t xml:space="preserve"> must provide the Commission:</w:t>
      </w:r>
    </w:p>
    <w:p w:rsidR="00201E35" w:rsidRDefault="00201E35" w:rsidP="00201E35">
      <w:pPr>
        <w:pStyle w:val="Para2"/>
        <w:rPr>
          <w:lang w:val="en-US"/>
        </w:rPr>
      </w:pPr>
      <w:r w:rsidRPr="0066553F">
        <w:t xml:space="preserve">with </w:t>
      </w:r>
      <w:r w:rsidRPr="0066553F">
        <w:rPr>
          <w:lang w:val="en-US"/>
        </w:rPr>
        <w:t>a certificate</w:t>
      </w:r>
      <w:r>
        <w:rPr>
          <w:lang w:val="en-US"/>
        </w:rPr>
        <w:t xml:space="preserve">, signed by two Directors of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rPr>
          <w:lang w:val="en-US"/>
        </w:rPr>
        <w:t>,</w:t>
      </w:r>
      <w:r w:rsidRPr="0066553F">
        <w:rPr>
          <w:lang w:val="en-US"/>
        </w:rPr>
        <w:t xml:space="preserve"> in the form set out in Attachment A</w:t>
      </w:r>
      <w:r>
        <w:rPr>
          <w:lang w:val="en-US"/>
        </w:rPr>
        <w:t xml:space="preserve">, in respect of all the information requested in the </w:t>
      </w:r>
      <w:r w:rsidRPr="00BC0807">
        <w:rPr>
          <w:b/>
          <w:lang w:val="en-US"/>
        </w:rPr>
        <w:t>Request workbook</w:t>
      </w:r>
      <w:r>
        <w:rPr>
          <w:b/>
          <w:lang w:val="en-US"/>
        </w:rPr>
        <w:t xml:space="preserve"> </w:t>
      </w:r>
      <w:r w:rsidRPr="0066318C">
        <w:rPr>
          <w:lang w:val="en-US"/>
        </w:rPr>
        <w:t>and the</w:t>
      </w:r>
      <w:r>
        <w:rPr>
          <w:b/>
          <w:lang w:val="en-US"/>
        </w:rPr>
        <w:t xml:space="preserve"> Supplementary request workbook</w:t>
      </w:r>
      <w:r>
        <w:t>; and</w:t>
      </w:r>
    </w:p>
    <w:p w:rsidR="00201E35" w:rsidRPr="00D7539B" w:rsidRDefault="00201E35" w:rsidP="00201E35">
      <w:pPr>
        <w:pStyle w:val="Para2"/>
        <w:rPr>
          <w:lang w:val="en-US"/>
        </w:rPr>
      </w:pPr>
      <w:proofErr w:type="gramStart"/>
      <w:r>
        <w:rPr>
          <w:lang w:val="en-US"/>
        </w:rPr>
        <w:t>with</w:t>
      </w:r>
      <w:proofErr w:type="gramEnd"/>
      <w:r>
        <w:rPr>
          <w:lang w:val="en-US"/>
        </w:rPr>
        <w:t xml:space="preserve"> an assurance report </w:t>
      </w:r>
      <w:r>
        <w:t>as specified in Attachment B</w:t>
      </w:r>
      <w:r>
        <w:rPr>
          <w:lang w:val="en-US"/>
        </w:rPr>
        <w:t xml:space="preserve">, prepared by an </w:t>
      </w:r>
      <w:r w:rsidRPr="00D747EF">
        <w:rPr>
          <w:b/>
          <w:lang w:val="en-US"/>
        </w:rPr>
        <w:t>independent auditor</w:t>
      </w:r>
      <w:r>
        <w:rPr>
          <w:lang w:val="en-US"/>
        </w:rPr>
        <w:t xml:space="preserve"> in respect of all the information requested in Schedule D of the </w:t>
      </w:r>
      <w:r w:rsidRPr="00BC0807">
        <w:rPr>
          <w:b/>
          <w:lang w:val="en-US"/>
        </w:rPr>
        <w:t>Request workbook</w:t>
      </w:r>
      <w:r>
        <w:t xml:space="preserve"> </w:t>
      </w:r>
      <w:r w:rsidRPr="0066318C">
        <w:t xml:space="preserve">and </w:t>
      </w:r>
      <w:r>
        <w:t xml:space="preserve">Schedule B of </w:t>
      </w:r>
      <w:r w:rsidRPr="0066318C">
        <w:t>the</w:t>
      </w:r>
      <w:r>
        <w:t xml:space="preserve"> </w:t>
      </w:r>
      <w:r>
        <w:rPr>
          <w:b/>
        </w:rPr>
        <w:t>Supplementary request workbook</w:t>
      </w:r>
      <w:r w:rsidRPr="0066318C">
        <w:t>.</w:t>
      </w:r>
    </w:p>
    <w:p w:rsidR="00201E35" w:rsidRPr="0066553F" w:rsidRDefault="00201E35" w:rsidP="00201E35">
      <w:pPr>
        <w:pStyle w:val="Heading2"/>
      </w:pPr>
      <w:r w:rsidRPr="0066553F">
        <w:t>Information format</w:t>
      </w:r>
    </w:p>
    <w:p w:rsidR="00201E35" w:rsidRPr="0066553F" w:rsidRDefault="00201E35" w:rsidP="00201E35">
      <w:pPr>
        <w:pStyle w:val="Para1"/>
      </w:pPr>
      <w:r w:rsidRPr="0066553F">
        <w:t xml:space="preserve">The information required by paragraph </w:t>
      </w:r>
      <w:r>
        <w:fldChar w:fldCharType="begin"/>
      </w:r>
      <w:r>
        <w:instrText xml:space="preserve"> REF _Ref380508929 \r \h </w:instrText>
      </w:r>
      <w:r>
        <w:fldChar w:fldCharType="separate"/>
      </w:r>
      <w:r w:rsidR="00585920">
        <w:t>4</w:t>
      </w:r>
      <w:r>
        <w:fldChar w:fldCharType="end"/>
      </w:r>
      <w:r w:rsidRPr="0066553F">
        <w:t xml:space="preserve"> must be supplied in the </w:t>
      </w:r>
      <w:r w:rsidRPr="0066553F">
        <w:rPr>
          <w:b/>
        </w:rPr>
        <w:t>Request workbook</w:t>
      </w:r>
      <w:r w:rsidRPr="0066553F">
        <w:t>.</w:t>
      </w:r>
    </w:p>
    <w:p w:rsidR="00201E35" w:rsidRPr="0066553F" w:rsidRDefault="00201E35" w:rsidP="00201E35">
      <w:pPr>
        <w:pStyle w:val="Para2"/>
      </w:pPr>
      <w:r w:rsidRPr="0066553F">
        <w:t xml:space="preserve">The </w:t>
      </w:r>
      <w:r w:rsidRPr="0066553F">
        <w:rPr>
          <w:b/>
        </w:rPr>
        <w:t>Request workbook</w:t>
      </w:r>
      <w:r w:rsidRPr="0066553F">
        <w:t xml:space="preserve"> must be completed in accordance with the instructions and definitions contained in the </w:t>
      </w:r>
      <w:r w:rsidRPr="0066553F">
        <w:rPr>
          <w:b/>
        </w:rPr>
        <w:t>Request workbook</w:t>
      </w:r>
      <w:r w:rsidRPr="0066553F">
        <w:t>.</w:t>
      </w:r>
    </w:p>
    <w:p w:rsidR="00201E35" w:rsidRDefault="00201E35" w:rsidP="00201E35">
      <w:pPr>
        <w:pStyle w:val="Para2"/>
      </w:pPr>
      <w:r w:rsidRPr="0066553F">
        <w:lastRenderedPageBreak/>
        <w:t>The</w:t>
      </w:r>
      <w:r>
        <w:t xml:space="preserve"> data entered in the</w:t>
      </w:r>
      <w:r w:rsidRPr="0066553F">
        <w:t xml:space="preserve"> </w:t>
      </w:r>
      <w:r w:rsidRPr="0066553F">
        <w:rPr>
          <w:b/>
        </w:rPr>
        <w:t>Request workbook</w:t>
      </w:r>
      <w:r w:rsidRPr="0066553F">
        <w:t xml:space="preserve"> must be ‘unlocked’</w:t>
      </w:r>
      <w:r>
        <w:t xml:space="preserve"> in MS Excel format</w:t>
      </w:r>
      <w:r w:rsidRPr="0066553F">
        <w:t>, so that information can be easily transferred (i.e.,</w:t>
      </w:r>
      <w:r>
        <w:t xml:space="preserve"> </w:t>
      </w:r>
      <w:r w:rsidRPr="0066553F">
        <w:t>able to be ‘copied and pasted’) by the Commission.</w:t>
      </w:r>
      <w:r w:rsidRPr="00C74C34">
        <w:t xml:space="preserve"> </w:t>
      </w:r>
    </w:p>
    <w:p w:rsidR="00201E35" w:rsidRDefault="00201E35" w:rsidP="00201E35">
      <w:pPr>
        <w:pStyle w:val="Para2"/>
      </w:pPr>
      <w:r>
        <w:t xml:space="preserve">The format of the </w:t>
      </w:r>
      <w:r w:rsidRPr="00C74C34">
        <w:rPr>
          <w:b/>
        </w:rPr>
        <w:t>Request workbook</w:t>
      </w:r>
      <w:r>
        <w:t xml:space="preserve"> should not be altered unless by agreement with the Commission.</w:t>
      </w:r>
    </w:p>
    <w:p w:rsidR="00201E35" w:rsidRDefault="00201E35" w:rsidP="00201E35">
      <w:pPr>
        <w:pStyle w:val="Para1"/>
      </w:pPr>
      <w:r>
        <w:t>The information required by paragraph</w:t>
      </w:r>
      <w:r>
        <w:rPr>
          <w:lang w:val="en-US"/>
        </w:rPr>
        <w:t xml:space="preserve"> </w:t>
      </w:r>
      <w:r>
        <w:rPr>
          <w:lang w:val="en-US"/>
        </w:rPr>
        <w:fldChar w:fldCharType="begin"/>
      </w:r>
      <w:r>
        <w:rPr>
          <w:lang w:val="en-US"/>
        </w:rPr>
        <w:instrText xml:space="preserve"> REF _Ref394997094 \r \h </w:instrText>
      </w:r>
      <w:r>
        <w:rPr>
          <w:lang w:val="en-US"/>
        </w:rPr>
      </w:r>
      <w:r>
        <w:rPr>
          <w:lang w:val="en-US"/>
        </w:rPr>
        <w:fldChar w:fldCharType="separate"/>
      </w:r>
      <w:r w:rsidR="00585920">
        <w:rPr>
          <w:lang w:val="en-US"/>
        </w:rPr>
        <w:t>5</w:t>
      </w:r>
      <w:r>
        <w:rPr>
          <w:lang w:val="en-US"/>
        </w:rPr>
        <w:fldChar w:fldCharType="end"/>
      </w:r>
      <w:r>
        <w:t xml:space="preserve"> must be supplied in an ‘unlocked’ MS Excel file.</w:t>
      </w:r>
    </w:p>
    <w:p w:rsidR="00201E35" w:rsidRPr="0066553F" w:rsidRDefault="00201E35" w:rsidP="00201E35">
      <w:pPr>
        <w:pStyle w:val="Para1"/>
      </w:pPr>
      <w:r>
        <w:t xml:space="preserve">The information required by paragraph </w:t>
      </w:r>
      <w:r>
        <w:fldChar w:fldCharType="begin"/>
      </w:r>
      <w:r>
        <w:instrText xml:space="preserve"> REF _Ref394997099 \r \h </w:instrText>
      </w:r>
      <w:r>
        <w:fldChar w:fldCharType="separate"/>
      </w:r>
      <w:r w:rsidR="00585920">
        <w:t>6</w:t>
      </w:r>
      <w:r>
        <w:fldChar w:fldCharType="end"/>
      </w:r>
      <w:r>
        <w:t xml:space="preserve"> must be supplied in the </w:t>
      </w:r>
      <w:r>
        <w:rPr>
          <w:b/>
        </w:rPr>
        <w:t>Supplementary request workbook</w:t>
      </w:r>
      <w:r>
        <w:t>, which is subject to the same requirements listed in paragraph 9.</w:t>
      </w:r>
    </w:p>
    <w:p w:rsidR="00201E35" w:rsidRPr="0066553F" w:rsidRDefault="00201E35" w:rsidP="00201E35">
      <w:pPr>
        <w:pStyle w:val="Heading2"/>
      </w:pPr>
      <w:r w:rsidRPr="0066553F">
        <w:t>Publication of supplied information and confidentiality</w:t>
      </w:r>
    </w:p>
    <w:p w:rsidR="00201E35" w:rsidRPr="0066553F" w:rsidRDefault="00201E35" w:rsidP="00201E35">
      <w:pPr>
        <w:pStyle w:val="Para1"/>
      </w:pPr>
      <w:r w:rsidRPr="0066553F">
        <w:t xml:space="preserve">The Commission </w:t>
      </w:r>
      <w:r>
        <w:t>may</w:t>
      </w:r>
      <w:r w:rsidRPr="0066553F">
        <w:t xml:space="preserve"> publish the information provided by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rsidRPr="0066553F">
        <w:t xml:space="preserve">. </w:t>
      </w:r>
    </w:p>
    <w:p w:rsidR="00201E35" w:rsidRDefault="00201E35" w:rsidP="00201E35">
      <w:pPr>
        <w:pStyle w:val="Para1"/>
      </w:pPr>
      <w:r>
        <w:t xml:space="preserve">The </w:t>
      </w:r>
      <w:r w:rsidRPr="00D747EF">
        <w:rPr>
          <w:b/>
        </w:rPr>
        <w:t>Request workbook</w:t>
      </w:r>
      <w:r w:rsidRPr="0066553F">
        <w:t xml:space="preserve"> </w:t>
      </w:r>
      <w:r>
        <w:t xml:space="preserve">or </w:t>
      </w:r>
      <w:r>
        <w:rPr>
          <w:b/>
        </w:rPr>
        <w:t xml:space="preserve">Supplementary request workbook </w:t>
      </w:r>
      <w:r w:rsidRPr="0066553F">
        <w:t>may contain requirements that parties consider require the disclosure of confidential information.</w:t>
      </w:r>
      <w:r>
        <w:t xml:space="preserve"> If there is information that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t xml:space="preserve"> considers should remain confidential,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t xml:space="preserve"> must:</w:t>
      </w:r>
    </w:p>
    <w:p w:rsidR="00201E35" w:rsidRDefault="00201E35" w:rsidP="00201E35">
      <w:pPr>
        <w:pStyle w:val="Para2"/>
      </w:pPr>
      <w:r>
        <w:t xml:space="preserve">clearly identify the specific piece of information and set out the reasons why it should remain confidential; and </w:t>
      </w:r>
    </w:p>
    <w:p w:rsidR="00201E35" w:rsidRDefault="00201E35" w:rsidP="00201E35">
      <w:pPr>
        <w:pStyle w:val="Para2"/>
        <w:rPr>
          <w:noProof/>
        </w:rPr>
      </w:pPr>
      <w:proofErr w:type="gramStart"/>
      <w:r w:rsidRPr="00C07DB5">
        <w:t>provide</w:t>
      </w:r>
      <w:proofErr w:type="gramEnd"/>
      <w:r w:rsidRPr="00C07DB5">
        <w:t xml:space="preserve"> the Commission with both confidential and public versions of its </w:t>
      </w:r>
      <w:r>
        <w:t xml:space="preserve">response to this notice. </w:t>
      </w:r>
      <w:r w:rsidRPr="00C07DB5">
        <w:t xml:space="preserve">The responsibility for ensuring that confidential information is not included in a public version of a disclosure rests entirely with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rPr>
          <w:noProof/>
        </w:rPr>
        <w:t>.</w:t>
      </w:r>
    </w:p>
    <w:p w:rsidR="00201E35" w:rsidRDefault="00201E35" w:rsidP="00201E35">
      <w:pPr>
        <w:pStyle w:val="Heading2"/>
      </w:pPr>
      <w:r w:rsidRPr="000A1207">
        <w:t>Date of response</w:t>
      </w:r>
    </w:p>
    <w:p w:rsidR="00201E35" w:rsidRPr="005058D6" w:rsidRDefault="00170439" w:rsidP="00201E35">
      <w:pPr>
        <w:pStyle w:val="Para1"/>
        <w:keepNext/>
        <w:keepLines/>
      </w:pPr>
      <w:r>
        <w:fldChar w:fldCharType="begin"/>
      </w:r>
      <w:r>
        <w:instrText xml:space="preserve"> MERGEFIELD ZZ </w:instrText>
      </w:r>
      <w:r>
        <w:fldChar w:fldCharType="separate"/>
      </w:r>
      <w:r w:rsidR="00201E35">
        <w:rPr>
          <w:noProof/>
        </w:rPr>
        <w:t>«ZZ»</w:t>
      </w:r>
      <w:r>
        <w:rPr>
          <w:noProof/>
        </w:rPr>
        <w:fldChar w:fldCharType="end"/>
      </w:r>
      <w:r w:rsidR="00201E35" w:rsidRPr="00262B3C">
        <w:t xml:space="preserve"> must supply the Commission</w:t>
      </w:r>
      <w:r w:rsidR="00201E35">
        <w:t>,</w:t>
      </w:r>
      <w:r w:rsidR="00201E35" w:rsidRPr="00262B3C">
        <w:t xml:space="preserve"> by email to the </w:t>
      </w:r>
      <w:r w:rsidR="00201E35" w:rsidRPr="00433CEC">
        <w:rPr>
          <w:bCs/>
        </w:rPr>
        <w:t>following</w:t>
      </w:r>
      <w:r w:rsidR="00201E35" w:rsidRPr="00262B3C">
        <w:t xml:space="preserve"> address: </w:t>
      </w:r>
      <w:hyperlink r:id="rId9" w:history="1">
        <w:r w:rsidR="00201E35" w:rsidRPr="00262B3C">
          <w:rPr>
            <w:rStyle w:val="Hyperlink"/>
          </w:rPr>
          <w:t>regulation.branch@comcom.govt.nz</w:t>
        </w:r>
      </w:hyperlink>
      <w:r w:rsidR="00201E35" w:rsidRPr="005058D6">
        <w:rPr>
          <w:rStyle w:val="Hyperlink"/>
          <w:u w:val="none"/>
        </w:rPr>
        <w:t xml:space="preserve"> </w:t>
      </w:r>
      <w:r w:rsidR="00201E35" w:rsidRPr="00262B3C">
        <w:t xml:space="preserve">by no later than </w:t>
      </w:r>
      <w:r w:rsidR="00201E35" w:rsidRPr="00134B96">
        <w:rPr>
          <w:b/>
          <w:bCs/>
        </w:rPr>
        <w:t xml:space="preserve">5pm on </w:t>
      </w:r>
      <w:r w:rsidR="00201E35">
        <w:rPr>
          <w:b/>
          <w:bCs/>
        </w:rPr>
        <w:t>Wednesday</w:t>
      </w:r>
      <w:r w:rsidR="00201E35" w:rsidRPr="00134B96">
        <w:rPr>
          <w:b/>
          <w:bCs/>
        </w:rPr>
        <w:t xml:space="preserve"> </w:t>
      </w:r>
      <w:r w:rsidR="00201E35">
        <w:rPr>
          <w:b/>
          <w:bCs/>
        </w:rPr>
        <w:t>24</w:t>
      </w:r>
      <w:r w:rsidR="00201E35" w:rsidRPr="00134B96">
        <w:rPr>
          <w:b/>
          <w:bCs/>
        </w:rPr>
        <w:t xml:space="preserve"> September</w:t>
      </w:r>
      <w:r w:rsidR="00201E35">
        <w:rPr>
          <w:bCs/>
        </w:rPr>
        <w:t>, the following:</w:t>
      </w:r>
    </w:p>
    <w:p w:rsidR="00201E35" w:rsidRDefault="00201E35" w:rsidP="00201E35">
      <w:pPr>
        <w:pStyle w:val="Para2"/>
      </w:pPr>
      <w:r>
        <w:t xml:space="preserve">the completed </w:t>
      </w:r>
      <w:r>
        <w:rPr>
          <w:b/>
        </w:rPr>
        <w:t>Request workbook</w:t>
      </w:r>
      <w:r w:rsidRPr="005058D6">
        <w:t>;</w:t>
      </w:r>
    </w:p>
    <w:p w:rsidR="00201E35" w:rsidRDefault="00201E35" w:rsidP="00201E35">
      <w:pPr>
        <w:pStyle w:val="Para2"/>
      </w:pPr>
      <w:r>
        <w:t xml:space="preserve">the completed </w:t>
      </w:r>
      <w:r>
        <w:rPr>
          <w:b/>
        </w:rPr>
        <w:t>Supplementary request workbook</w:t>
      </w:r>
      <w:r w:rsidRPr="005058D6">
        <w:t>;</w:t>
      </w:r>
      <w:r w:rsidR="00934986">
        <w:t xml:space="preserve"> and</w:t>
      </w:r>
    </w:p>
    <w:p w:rsidR="00201E35" w:rsidRDefault="00934986" w:rsidP="00201E35">
      <w:pPr>
        <w:pStyle w:val="Para2"/>
      </w:pPr>
      <w:proofErr w:type="gramStart"/>
      <w:r>
        <w:t>the</w:t>
      </w:r>
      <w:proofErr w:type="gramEnd"/>
      <w:r>
        <w:t xml:space="preserve"> signed covering letter.</w:t>
      </w:r>
    </w:p>
    <w:p w:rsidR="007707F7" w:rsidRPr="00934986" w:rsidRDefault="00170439" w:rsidP="007707F7">
      <w:pPr>
        <w:pStyle w:val="Para1"/>
      </w:pPr>
      <w:r>
        <w:fldChar w:fldCharType="begin"/>
      </w:r>
      <w:r>
        <w:instrText xml:space="preserve"> MERGEFIELD ZZ </w:instrText>
      </w:r>
      <w:r>
        <w:fldChar w:fldCharType="separate"/>
      </w:r>
      <w:r w:rsidR="007707F7">
        <w:rPr>
          <w:noProof/>
        </w:rPr>
        <w:t>«ZZ»</w:t>
      </w:r>
      <w:r>
        <w:rPr>
          <w:noProof/>
        </w:rPr>
        <w:fldChar w:fldCharType="end"/>
      </w:r>
      <w:r w:rsidR="007707F7">
        <w:rPr>
          <w:noProof/>
        </w:rPr>
        <w:t xml:space="preserve"> must supply the </w:t>
      </w:r>
      <w:r w:rsidR="007707F7">
        <w:t xml:space="preserve">to the Commission by no later than </w:t>
      </w:r>
      <w:r w:rsidR="007707F7">
        <w:rPr>
          <w:b/>
          <w:bCs/>
        </w:rPr>
        <w:t>5pm Tuesday 30 September</w:t>
      </w:r>
      <w:r w:rsidR="007707F7">
        <w:rPr>
          <w:bCs/>
        </w:rPr>
        <w:t>, the following:</w:t>
      </w:r>
    </w:p>
    <w:p w:rsidR="007707F7" w:rsidRDefault="007707F7" w:rsidP="007707F7">
      <w:pPr>
        <w:pStyle w:val="Para2"/>
      </w:pPr>
      <w:r>
        <w:t>The directors</w:t>
      </w:r>
      <w:r w:rsidR="00FA3601">
        <w:t>’</w:t>
      </w:r>
      <w:r>
        <w:t xml:space="preserve"> certificate, in the form of Attachment A; and</w:t>
      </w:r>
    </w:p>
    <w:p w:rsidR="007707F7" w:rsidRPr="005058D6" w:rsidRDefault="007707F7" w:rsidP="007707F7">
      <w:pPr>
        <w:pStyle w:val="Para2"/>
      </w:pPr>
      <w:proofErr w:type="gramStart"/>
      <w:r>
        <w:t>the</w:t>
      </w:r>
      <w:proofErr w:type="gramEnd"/>
      <w:r>
        <w:t xml:space="preserve"> completed </w:t>
      </w:r>
      <w:r w:rsidRPr="00934986">
        <w:rPr>
          <w:b/>
        </w:rPr>
        <w:t>independent auditor’s</w:t>
      </w:r>
      <w:r>
        <w:t xml:space="preserve"> assurance report, described in Attachment B.</w:t>
      </w:r>
    </w:p>
    <w:p w:rsidR="00201E35" w:rsidRDefault="00201E35" w:rsidP="00585920">
      <w:pPr>
        <w:pStyle w:val="Para1"/>
        <w:keepNext/>
        <w:keepLines/>
      </w:pPr>
      <w:r w:rsidRPr="00585920">
        <w:rPr>
          <w:bCs/>
        </w:rPr>
        <w:lastRenderedPageBreak/>
        <w:t xml:space="preserve">Should you have any queries on this notice, please send them to Hazel Burns, c/o </w:t>
      </w:r>
      <w:hyperlink r:id="rId10" w:history="1">
        <w:r w:rsidRPr="0066553F">
          <w:rPr>
            <w:rStyle w:val="Hyperlink"/>
          </w:rPr>
          <w:t>regulation.branch@comcom.govt.nz</w:t>
        </w:r>
      </w:hyperlink>
      <w:r>
        <w:t xml:space="preserve">. </w:t>
      </w:r>
    </w:p>
    <w:p w:rsidR="00585920" w:rsidRDefault="00585920" w:rsidP="00201E35">
      <w:pPr>
        <w:pStyle w:val="BodyText"/>
      </w:pPr>
    </w:p>
    <w:p w:rsidR="00201E35" w:rsidRPr="0066553F" w:rsidRDefault="00201E35" w:rsidP="00201E35">
      <w:pPr>
        <w:pStyle w:val="BodyText"/>
      </w:pPr>
      <w:r>
        <w:t>Dated at Wellington: 13 August 2014</w:t>
      </w:r>
    </w:p>
    <w:p w:rsidR="00201E35" w:rsidRDefault="00201E35" w:rsidP="00201E35">
      <w:pPr>
        <w:pStyle w:val="BodyText"/>
      </w:pPr>
      <w:r>
        <w:br/>
      </w:r>
      <w:r w:rsidRPr="0066553F">
        <w:t>Signed by:</w:t>
      </w:r>
    </w:p>
    <w:p w:rsidR="00201E35" w:rsidRPr="0066553F" w:rsidRDefault="00201E35" w:rsidP="00201E35">
      <w:pPr>
        <w:pStyle w:val="BodyText"/>
        <w:keepNext/>
        <w:keepLines/>
      </w:pPr>
      <w:r>
        <w:br/>
      </w:r>
      <w:r>
        <w:br/>
      </w:r>
      <w:r>
        <w:br/>
      </w:r>
      <w:r w:rsidRPr="0066553F">
        <w:t>Sue Begg</w:t>
      </w:r>
      <w:r w:rsidRPr="0066553F">
        <w:br/>
        <w:t>Commission Deputy Chair</w:t>
      </w:r>
    </w:p>
    <w:p w:rsidR="00201E35" w:rsidRPr="0066553F" w:rsidRDefault="00201E35" w:rsidP="00201E35">
      <w:r w:rsidRPr="0066553F">
        <w:br w:type="page"/>
      </w:r>
    </w:p>
    <w:p w:rsidR="00201E35" w:rsidRPr="0066553F" w:rsidRDefault="00201E35" w:rsidP="00201E35">
      <w:pPr>
        <w:pStyle w:val="Heading1"/>
        <w:rPr>
          <w:lang w:val="en-US"/>
        </w:rPr>
      </w:pPr>
      <w:r>
        <w:rPr>
          <w:lang w:val="en-US"/>
        </w:rPr>
        <w:lastRenderedPageBreak/>
        <w:t>A</w:t>
      </w:r>
      <w:r w:rsidRPr="0066553F">
        <w:rPr>
          <w:lang w:val="en-US"/>
        </w:rPr>
        <w:t xml:space="preserve">ttachment A: Form of </w:t>
      </w:r>
      <w:r>
        <w:rPr>
          <w:lang w:val="en-US"/>
        </w:rPr>
        <w:t>C</w:t>
      </w:r>
      <w:r w:rsidRPr="0066553F">
        <w:rPr>
          <w:lang w:val="en-US"/>
        </w:rPr>
        <w:t>ertificat</w:t>
      </w:r>
      <w:r>
        <w:rPr>
          <w:lang w:val="en-US"/>
        </w:rPr>
        <w:t>ion</w:t>
      </w:r>
      <w:r w:rsidRPr="0066553F">
        <w:rPr>
          <w:lang w:val="en-US"/>
        </w:rPr>
        <w:t xml:space="preserve"> </w:t>
      </w:r>
    </w:p>
    <w:p w:rsidR="00201E35" w:rsidRPr="0066553F" w:rsidRDefault="00201E35" w:rsidP="00201E35">
      <w:r>
        <w:t>I/We</w:t>
      </w:r>
      <w:r w:rsidRPr="0066553F">
        <w:t>, [</w:t>
      </w:r>
      <w:r w:rsidRPr="0066553F">
        <w:rPr>
          <w:i/>
        </w:rPr>
        <w:t>insert full name</w:t>
      </w:r>
      <w:r>
        <w:rPr>
          <w:i/>
        </w:rPr>
        <w:t>(s)</w:t>
      </w:r>
      <w:r w:rsidRPr="0066553F">
        <w:rPr>
          <w:i/>
        </w:rPr>
        <w:t xml:space="preserve"> of </w:t>
      </w:r>
      <w:r>
        <w:rPr>
          <w:i/>
        </w:rPr>
        <w:t>Director</w:t>
      </w:r>
      <w:r w:rsidRPr="0066553F">
        <w:t xml:space="preserve">], being </w:t>
      </w:r>
      <w:r>
        <w:t>[a Director/Director(s)]</w:t>
      </w:r>
      <w:r w:rsidRPr="0066553F">
        <w:t xml:space="preserve">of </w:t>
      </w:r>
      <w:r w:rsidR="00170439">
        <w:fldChar w:fldCharType="begin"/>
      </w:r>
      <w:r w:rsidR="00170439">
        <w:instrText xml:space="preserve"> MERGEFIELD </w:instrText>
      </w:r>
      <w:r w:rsidR="00170439">
        <w:instrText xml:space="preserve">"COMPANY" </w:instrText>
      </w:r>
      <w:r w:rsidR="00170439">
        <w:fldChar w:fldCharType="separate"/>
      </w:r>
      <w:r>
        <w:rPr>
          <w:noProof/>
        </w:rPr>
        <w:t>«COMPANY»</w:t>
      </w:r>
      <w:r w:rsidR="00170439">
        <w:rPr>
          <w:noProof/>
        </w:rPr>
        <w:fldChar w:fldCharType="end"/>
      </w:r>
      <w:r w:rsidRPr="0066553F">
        <w:t xml:space="preserve">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rsidRPr="0066553F">
        <w:t xml:space="preserve">) certify that, having made all reasonable enquiry, to the best of </w:t>
      </w:r>
      <w:r>
        <w:t>my/our</w:t>
      </w:r>
      <w:r w:rsidRPr="0066553F">
        <w:t xml:space="preserve"> knowledge and belief, the attached information complies with the Commerce Commission</w:t>
      </w:r>
      <w:r>
        <w:t>’</w:t>
      </w:r>
      <w:r w:rsidRPr="0066553F">
        <w:t xml:space="preserve">s requirements in respect of the request for information, which was issued by notice in writing to </w:t>
      </w:r>
      <w:r w:rsidR="00170439">
        <w:fldChar w:fldCharType="begin"/>
      </w:r>
      <w:r w:rsidR="00170439">
        <w:instrText xml:space="preserve"> MERGEFIELD ZZ </w:instrText>
      </w:r>
      <w:r w:rsidR="00170439">
        <w:fldChar w:fldCharType="separate"/>
      </w:r>
      <w:r>
        <w:rPr>
          <w:noProof/>
        </w:rPr>
        <w:t>«ZZ»</w:t>
      </w:r>
      <w:r w:rsidR="00170439">
        <w:rPr>
          <w:noProof/>
        </w:rPr>
        <w:fldChar w:fldCharType="end"/>
      </w:r>
      <w:r w:rsidRPr="0066553F">
        <w:t xml:space="preserve"> under section 53ZD of the Commerce Act 1986 on </w:t>
      </w:r>
      <w:r w:rsidR="00170439">
        <w:t>13</w:t>
      </w:r>
      <w:bookmarkStart w:id="6" w:name="_GoBack"/>
      <w:bookmarkEnd w:id="6"/>
      <w:r>
        <w:t xml:space="preserve"> August </w:t>
      </w:r>
      <w:r w:rsidRPr="0066553F">
        <w:t>201</w:t>
      </w:r>
      <w:r w:rsidR="00170439">
        <w:t>4</w:t>
      </w:r>
      <w:r w:rsidRPr="0066553F">
        <w:t xml:space="preserve"> *[except in the following respects: [</w:t>
      </w:r>
      <w:r w:rsidRPr="0066553F">
        <w:rPr>
          <w:i/>
        </w:rPr>
        <w:t>insert description of non-compliance</w:t>
      </w:r>
      <w:r w:rsidRPr="0066553F">
        <w:t>]]</w:t>
      </w:r>
    </w:p>
    <w:p w:rsidR="00201E35" w:rsidRPr="0066553F" w:rsidRDefault="00201E35" w:rsidP="00201E35">
      <w:pPr>
        <w:pStyle w:val="BodyText"/>
      </w:pPr>
    </w:p>
    <w:p w:rsidR="00201E35" w:rsidRPr="0066553F" w:rsidRDefault="00201E35" w:rsidP="00201E35">
      <w:pPr>
        <w:pStyle w:val="BodyText"/>
      </w:pPr>
      <w:r w:rsidRPr="0066553F">
        <w:t>[</w:t>
      </w:r>
      <w:r w:rsidRPr="0066553F">
        <w:rPr>
          <w:i/>
        </w:rPr>
        <w:t>Signature</w:t>
      </w:r>
      <w:r>
        <w:rPr>
          <w:i/>
        </w:rPr>
        <w:t xml:space="preserve"> of Director(s)</w:t>
      </w:r>
      <w:r w:rsidRPr="0066553F">
        <w:t xml:space="preserve">] </w:t>
      </w:r>
    </w:p>
    <w:p w:rsidR="00201E35" w:rsidRPr="0066553F" w:rsidRDefault="00201E35" w:rsidP="00201E35">
      <w:pPr>
        <w:pStyle w:val="BodyText"/>
      </w:pPr>
      <w:r w:rsidRPr="0066553F">
        <w:t>[</w:t>
      </w:r>
      <w:r w:rsidRPr="0066553F">
        <w:rPr>
          <w:i/>
        </w:rPr>
        <w:t>Date</w:t>
      </w:r>
      <w:r w:rsidRPr="0066553F">
        <w:t xml:space="preserve">] </w:t>
      </w:r>
    </w:p>
    <w:p w:rsidR="00201E35" w:rsidRPr="0066553F" w:rsidRDefault="00201E35" w:rsidP="00201E35">
      <w:pPr>
        <w:pStyle w:val="BodyText"/>
      </w:pPr>
    </w:p>
    <w:p w:rsidR="00201E35" w:rsidRPr="0066553F" w:rsidRDefault="00201E35" w:rsidP="00201E35">
      <w:pPr>
        <w:pStyle w:val="BodyText"/>
      </w:pPr>
    </w:p>
    <w:p w:rsidR="00201E35" w:rsidRDefault="00201E35" w:rsidP="00201E35">
      <w:pPr>
        <w:pStyle w:val="BodyText"/>
      </w:pPr>
      <w:r w:rsidRPr="0066553F">
        <w:t>*Delete if inapplicable.</w:t>
      </w:r>
    </w:p>
    <w:p w:rsidR="00201E35" w:rsidRDefault="00201E35" w:rsidP="00201E35">
      <w:r>
        <w:br w:type="page"/>
      </w:r>
    </w:p>
    <w:p w:rsidR="00201E35" w:rsidRPr="0066553F" w:rsidRDefault="00201E35" w:rsidP="00201E35">
      <w:pPr>
        <w:pStyle w:val="Heading1"/>
        <w:rPr>
          <w:lang w:val="en-US"/>
        </w:rPr>
      </w:pPr>
      <w:r w:rsidRPr="0066553F">
        <w:rPr>
          <w:lang w:val="en-US"/>
        </w:rPr>
        <w:lastRenderedPageBreak/>
        <w:t xml:space="preserve">Attachment </w:t>
      </w:r>
      <w:r>
        <w:rPr>
          <w:lang w:val="en-US"/>
        </w:rPr>
        <w:t>B</w:t>
      </w:r>
      <w:r w:rsidRPr="0066553F">
        <w:rPr>
          <w:lang w:val="en-US"/>
        </w:rPr>
        <w:t xml:space="preserve">: </w:t>
      </w:r>
      <w:r>
        <w:rPr>
          <w:lang w:val="en-US"/>
        </w:rPr>
        <w:t>Audit Requirement</w:t>
      </w:r>
    </w:p>
    <w:p w:rsidR="00201E35" w:rsidRPr="00ED2F24" w:rsidRDefault="00201E35" w:rsidP="00201E35">
      <w:pPr>
        <w:pStyle w:val="BodyText"/>
      </w:pPr>
      <w:r>
        <w:rPr>
          <w:lang w:val="en-US"/>
        </w:rPr>
        <w:t xml:space="preserve">In respect of the information provided in response to </w:t>
      </w:r>
      <w:r w:rsidRPr="0066553F">
        <w:t>paragraph</w:t>
      </w:r>
      <w:r>
        <w:t>s</w:t>
      </w:r>
      <w:r w:rsidRPr="0066553F">
        <w:t xml:space="preserve"> </w:t>
      </w:r>
      <w:r>
        <w:t>5 and 6</w:t>
      </w:r>
      <w:r>
        <w:rPr>
          <w:lang w:val="en-US"/>
        </w:rPr>
        <w:t xml:space="preserve"> of this notice</w:t>
      </w:r>
      <w:r w:rsidRPr="00ED2F24">
        <w:t>, the EDB must-</w:t>
      </w:r>
    </w:p>
    <w:p w:rsidR="00201E35" w:rsidRDefault="00201E35" w:rsidP="00201E35">
      <w:pPr>
        <w:pStyle w:val="BodyText"/>
        <w:ind w:left="709" w:hanging="709"/>
      </w:pPr>
      <w:r>
        <w:t>(1)</w:t>
      </w:r>
      <w:r>
        <w:tab/>
        <w:t xml:space="preserve">Procure an assurance report by an </w:t>
      </w:r>
      <w:r w:rsidRPr="00D747EF">
        <w:rPr>
          <w:b/>
        </w:rPr>
        <w:t>independent auditor</w:t>
      </w:r>
      <w:r>
        <w:t xml:space="preserve"> that is prepared in accordance with Standard on Assurance Engagements 3100 – Compliance Engagements (SAE 3100) and International Standard on Assurance Engagements 3000 (ISAE (NZ) 3000) or their successor standards, signed by the </w:t>
      </w:r>
      <w:r w:rsidRPr="00D747EF">
        <w:rPr>
          <w:b/>
        </w:rPr>
        <w:t>independent auditor</w:t>
      </w:r>
      <w:r>
        <w:t xml:space="preserve"> (either in his or her own name or that of his or her firm), that-</w:t>
      </w:r>
    </w:p>
    <w:p w:rsidR="00201E35" w:rsidRDefault="00201E35" w:rsidP="00201E35">
      <w:pPr>
        <w:pStyle w:val="BodyText"/>
        <w:ind w:left="1418" w:hanging="709"/>
      </w:pPr>
      <w:r>
        <w:t>(a)</w:t>
      </w:r>
      <w:r>
        <w:tab/>
      </w:r>
      <w:proofErr w:type="gramStart"/>
      <w:r>
        <w:t>is</w:t>
      </w:r>
      <w:proofErr w:type="gramEnd"/>
      <w:r>
        <w:t xml:space="preserve"> addressed to the Commission as the intended user of the assurance report;</w:t>
      </w:r>
    </w:p>
    <w:p w:rsidR="00201E35" w:rsidRDefault="00201E35" w:rsidP="00201E35">
      <w:pPr>
        <w:pStyle w:val="BodyText"/>
        <w:ind w:left="1418" w:hanging="709"/>
      </w:pPr>
      <w:r>
        <w:t>(b)</w:t>
      </w:r>
      <w:r>
        <w:tab/>
        <w:t>states-</w:t>
      </w:r>
    </w:p>
    <w:p w:rsidR="00201E35" w:rsidRDefault="00201E35" w:rsidP="00201E35">
      <w:pPr>
        <w:pStyle w:val="BodyText"/>
        <w:ind w:left="2127" w:hanging="709"/>
      </w:pPr>
      <w:r>
        <w:t>(</w:t>
      </w:r>
      <w:proofErr w:type="spellStart"/>
      <w:r>
        <w:t>i</w:t>
      </w:r>
      <w:proofErr w:type="spellEnd"/>
      <w:r>
        <w:t>)</w:t>
      </w:r>
      <w:r>
        <w:tab/>
        <w:t>that it has been prepared in accordance with Standard on Assurance Engagements 3100 – Compliance Engagements (SAE 3100) and International Standard on Assurance Engagements 3000 (ISAE (NZ) 3000) or their successor standards; and</w:t>
      </w:r>
    </w:p>
    <w:p w:rsidR="00201E35" w:rsidRDefault="00201E35" w:rsidP="00201E35">
      <w:pPr>
        <w:pStyle w:val="BodyText"/>
        <w:ind w:left="2127" w:hanging="709"/>
      </w:pPr>
      <w:r>
        <w:t>(ii)</w:t>
      </w:r>
      <w:r>
        <w:tab/>
      </w:r>
      <w:proofErr w:type="gramStart"/>
      <w:r>
        <w:t>the</w:t>
      </w:r>
      <w:proofErr w:type="gramEnd"/>
      <w:r>
        <w:t xml:space="preserve"> work done by the </w:t>
      </w:r>
      <w:r w:rsidRPr="00D747EF">
        <w:rPr>
          <w:b/>
        </w:rPr>
        <w:t>independent auditor</w:t>
      </w:r>
      <w:r>
        <w:t>; and</w:t>
      </w:r>
    </w:p>
    <w:p w:rsidR="00201E35" w:rsidRDefault="00201E35" w:rsidP="00201E35">
      <w:pPr>
        <w:pStyle w:val="BodyText"/>
        <w:ind w:left="2127" w:hanging="709"/>
      </w:pPr>
      <w:r>
        <w:t>(iii)</w:t>
      </w:r>
      <w:r>
        <w:tab/>
      </w:r>
      <w:proofErr w:type="gramStart"/>
      <w:r>
        <w:t>the</w:t>
      </w:r>
      <w:proofErr w:type="gramEnd"/>
      <w:r>
        <w:t xml:space="preserve"> scope and limitations of the assurance engagement; and</w:t>
      </w:r>
    </w:p>
    <w:p w:rsidR="00201E35" w:rsidRDefault="00201E35" w:rsidP="00201E35">
      <w:pPr>
        <w:pStyle w:val="BodyText"/>
        <w:ind w:left="2127" w:hanging="709"/>
      </w:pPr>
      <w:r>
        <w:t>(iv)</w:t>
      </w:r>
      <w:r>
        <w:tab/>
      </w:r>
      <w:proofErr w:type="gramStart"/>
      <w:r>
        <w:t>the</w:t>
      </w:r>
      <w:proofErr w:type="gramEnd"/>
      <w:r>
        <w:t xml:space="preserve"> existence of any relationship (other than that of auditor) which the </w:t>
      </w:r>
      <w:r w:rsidRPr="00D747EF">
        <w:rPr>
          <w:b/>
        </w:rPr>
        <w:t>independent auditor</w:t>
      </w:r>
      <w:r>
        <w:t xml:space="preserve"> has with, or any interests which the </w:t>
      </w:r>
      <w:r w:rsidRPr="00D747EF">
        <w:rPr>
          <w:b/>
        </w:rPr>
        <w:t>independent auditor</w:t>
      </w:r>
      <w:r>
        <w:t xml:space="preserve"> has in, the EDB or any of its subsidiaries; and</w:t>
      </w:r>
    </w:p>
    <w:p w:rsidR="00201E35" w:rsidRDefault="00201E35" w:rsidP="00201E35">
      <w:pPr>
        <w:pStyle w:val="BodyText"/>
        <w:ind w:left="2127" w:hanging="709"/>
      </w:pPr>
      <w:r>
        <w:t>(v)</w:t>
      </w:r>
      <w:r>
        <w:tab/>
      </w:r>
      <w:proofErr w:type="gramStart"/>
      <w:r>
        <w:t>whether</w:t>
      </w:r>
      <w:proofErr w:type="gramEnd"/>
      <w:r>
        <w:t xml:space="preserve"> the </w:t>
      </w:r>
      <w:r w:rsidRPr="009B0084">
        <w:rPr>
          <w:b/>
        </w:rPr>
        <w:t>independent auditor</w:t>
      </w:r>
      <w:r>
        <w:t xml:space="preserve"> has obtained sufficient recorded evidence and explanations that he or she required and, if not, the information and explanations not obtained;</w:t>
      </w:r>
    </w:p>
    <w:p w:rsidR="00934986" w:rsidRDefault="00201E35" w:rsidP="00934986">
      <w:pPr>
        <w:pStyle w:val="BodyText"/>
        <w:ind w:left="2127" w:hanging="709"/>
      </w:pPr>
      <w:r>
        <w:t>(vi)</w:t>
      </w:r>
      <w:r>
        <w:tab/>
      </w:r>
      <w:proofErr w:type="gramStart"/>
      <w:r w:rsidR="00934986">
        <w:t>whether</w:t>
      </w:r>
      <w:proofErr w:type="gramEnd"/>
      <w:r w:rsidR="00934986">
        <w:t xml:space="preserve">, in the </w:t>
      </w:r>
      <w:r w:rsidR="00934986" w:rsidRPr="00D747EF">
        <w:rPr>
          <w:b/>
        </w:rPr>
        <w:t>independent auditor’s</w:t>
      </w:r>
      <w:r w:rsidR="00934986">
        <w:t xml:space="preserve"> opinion, as far as appears from an examination: </w:t>
      </w:r>
    </w:p>
    <w:p w:rsidR="00934986" w:rsidRPr="007D4146" w:rsidRDefault="00934986" w:rsidP="00934986">
      <w:pPr>
        <w:pStyle w:val="BodyText"/>
        <w:ind w:left="2694" w:hanging="567"/>
      </w:pPr>
      <w:r>
        <w:t>1.</w:t>
      </w:r>
      <w:r>
        <w:tab/>
      </w:r>
      <w:proofErr w:type="gramStart"/>
      <w:r w:rsidRPr="007D4146">
        <w:t>the</w:t>
      </w:r>
      <w:proofErr w:type="gramEnd"/>
      <w:r w:rsidRPr="007D4146">
        <w:t xml:space="preserve"> </w:t>
      </w:r>
      <w:r>
        <w:t>post-acquisition interruption data</w:t>
      </w:r>
      <w:r w:rsidRPr="007D4146">
        <w:t xml:space="preserve"> provided in respect of Schedule D of the </w:t>
      </w:r>
      <w:r w:rsidRPr="007D4146">
        <w:rPr>
          <w:b/>
        </w:rPr>
        <w:t>Request workbook</w:t>
      </w:r>
      <w:r w:rsidRPr="007D4146">
        <w:t xml:space="preserve"> </w:t>
      </w:r>
      <w:r>
        <w:t xml:space="preserve">(quality data for assets acquired from Transpower) </w:t>
      </w:r>
      <w:r w:rsidRPr="007D4146">
        <w:t>is consistent with</w:t>
      </w:r>
      <w:r>
        <w:t xml:space="preserve"> </w:t>
      </w:r>
      <w:r w:rsidRPr="007D4146">
        <w:t xml:space="preserve">the information </w:t>
      </w:r>
      <w:r>
        <w:t>provided</w:t>
      </w:r>
      <w:r w:rsidRPr="007D4146">
        <w:t xml:space="preserve"> to the Commission under the notice to supply inf</w:t>
      </w:r>
      <w:r>
        <w:t>ormation dated 12 March 2014;</w:t>
      </w:r>
    </w:p>
    <w:p w:rsidR="00934986" w:rsidRDefault="00934986" w:rsidP="00934986">
      <w:pPr>
        <w:pStyle w:val="BodyText"/>
        <w:ind w:left="2694" w:hanging="567"/>
      </w:pPr>
      <w:r>
        <w:t>2</w:t>
      </w:r>
      <w:r w:rsidRPr="007D4146">
        <w:t>.</w:t>
      </w:r>
      <w:r w:rsidRPr="007D4146">
        <w:tab/>
      </w:r>
      <w:proofErr w:type="gramStart"/>
      <w:r w:rsidRPr="007D4146">
        <w:t>the</w:t>
      </w:r>
      <w:proofErr w:type="gramEnd"/>
      <w:r w:rsidRPr="007D4146">
        <w:t xml:space="preserve"> </w:t>
      </w:r>
      <w:r>
        <w:t>pre-acquisition interruption data</w:t>
      </w:r>
      <w:r w:rsidRPr="007D4146">
        <w:t xml:space="preserve"> provided in respect of Schedule D of the </w:t>
      </w:r>
      <w:r w:rsidRPr="007D4146">
        <w:rPr>
          <w:b/>
        </w:rPr>
        <w:t>Request workbook</w:t>
      </w:r>
      <w:r w:rsidRPr="007D4146">
        <w:t xml:space="preserve"> </w:t>
      </w:r>
      <w:r>
        <w:t>(quality data for assets acquired from Transpower) is consistent with the EDB’s outage records and would, if the acquisition had occurred before 1 April 2004, be</w:t>
      </w:r>
      <w:r w:rsidRPr="007D4146">
        <w:t xml:space="preserve"> </w:t>
      </w:r>
      <w:r>
        <w:t>part of the interruption data used to prepare the SAIDI and SAIFI compliance information under—</w:t>
      </w:r>
    </w:p>
    <w:p w:rsidR="00934986" w:rsidRDefault="00934986" w:rsidP="00934986">
      <w:pPr>
        <w:pStyle w:val="BodyText"/>
        <w:ind w:left="3261" w:hanging="567"/>
      </w:pPr>
      <w:r>
        <w:lastRenderedPageBreak/>
        <w:t>a.</w:t>
      </w:r>
      <w:r>
        <w:tab/>
        <w:t xml:space="preserve">(for 2004/5–2008/9 and 2013/14) the </w:t>
      </w:r>
      <w:r w:rsidRPr="001628B1">
        <w:rPr>
          <w:i/>
        </w:rPr>
        <w:t xml:space="preserve">Electricity Distribution Services Default Price-Quality Path Determination </w:t>
      </w:r>
      <w:r>
        <w:rPr>
          <w:i/>
        </w:rPr>
        <w:t xml:space="preserve">2012 </w:t>
      </w:r>
      <w:r w:rsidRPr="00AD7616">
        <w:t>[2012]</w:t>
      </w:r>
      <w:r>
        <w:t xml:space="preserve"> NZCC 35; </w:t>
      </w:r>
    </w:p>
    <w:p w:rsidR="00934986" w:rsidRDefault="00934986" w:rsidP="00934986">
      <w:pPr>
        <w:pStyle w:val="BodyText"/>
        <w:ind w:left="3261" w:hanging="567"/>
      </w:pPr>
      <w:r>
        <w:t>b.</w:t>
      </w:r>
      <w:r>
        <w:tab/>
        <w:t xml:space="preserve">(for 2010/11–2012/13) the </w:t>
      </w:r>
      <w:r w:rsidRPr="001628B1">
        <w:rPr>
          <w:i/>
        </w:rPr>
        <w:t>Electricity Distribution Services Default Price-Quality Path Determination</w:t>
      </w:r>
      <w:r>
        <w:rPr>
          <w:i/>
        </w:rPr>
        <w:t xml:space="preserve"> 2010</w:t>
      </w:r>
      <w:r w:rsidRPr="00AD7616">
        <w:t xml:space="preserve"> [2010]</w:t>
      </w:r>
      <w:r>
        <w:t xml:space="preserve"> Decision 685; and</w:t>
      </w:r>
    </w:p>
    <w:p w:rsidR="00934986" w:rsidRDefault="00934986" w:rsidP="00934986">
      <w:pPr>
        <w:pStyle w:val="BodyText"/>
        <w:ind w:left="3261" w:hanging="567"/>
      </w:pPr>
      <w:r>
        <w:t>c.</w:t>
      </w:r>
      <w:r>
        <w:tab/>
        <w:t xml:space="preserve">(for 2009/10) </w:t>
      </w:r>
      <w:r w:rsidRPr="00436B74">
        <w:rPr>
          <w:i/>
        </w:rPr>
        <w:t>Commerce Act (Electricity Distribution Thresholds) Notice</w:t>
      </w:r>
      <w:r>
        <w:rPr>
          <w:i/>
        </w:rPr>
        <w:t xml:space="preserve"> 2004</w:t>
      </w:r>
      <w:r w:rsidRPr="00AD7616">
        <w:t xml:space="preserve"> [2004]</w:t>
      </w:r>
      <w:r>
        <w:t>;</w:t>
      </w:r>
    </w:p>
    <w:p w:rsidR="00934986" w:rsidRDefault="00934986" w:rsidP="00934986">
      <w:pPr>
        <w:pStyle w:val="BodyText"/>
        <w:ind w:left="2694" w:hanging="567"/>
      </w:pPr>
      <w:r>
        <w:t>3.</w:t>
      </w:r>
      <w:r>
        <w:tab/>
      </w:r>
      <w:proofErr w:type="gramStart"/>
      <w:r>
        <w:t>that</w:t>
      </w:r>
      <w:proofErr w:type="gramEnd"/>
      <w:r>
        <w:t xml:space="preserve"> the explanations and interruption data provided in respect of Schedule B of the </w:t>
      </w:r>
      <w:r>
        <w:rPr>
          <w:b/>
        </w:rPr>
        <w:t>Supplementary request workbook</w:t>
      </w:r>
      <w:r>
        <w:t xml:space="preserve"> (clarification of quality of supply information) are </w:t>
      </w:r>
      <w:r w:rsidRPr="00A65463">
        <w:t xml:space="preserve">consistent with </w:t>
      </w:r>
      <w:r>
        <w:t xml:space="preserve">the reasons and interruption data used to prepare </w:t>
      </w:r>
      <w:r w:rsidRPr="00A65463">
        <w:t xml:space="preserve">the </w:t>
      </w:r>
      <w:r>
        <w:t>SAIDI and SAIFI compliance information under—</w:t>
      </w:r>
    </w:p>
    <w:p w:rsidR="00934986" w:rsidRDefault="00934986" w:rsidP="00934986">
      <w:pPr>
        <w:pStyle w:val="BodyText"/>
        <w:ind w:left="3261" w:hanging="567"/>
      </w:pPr>
      <w:r>
        <w:t>a.</w:t>
      </w:r>
      <w:r>
        <w:tab/>
        <w:t xml:space="preserve">(for 2004/5–2008/9 and 2013/14) the </w:t>
      </w:r>
      <w:r w:rsidRPr="001628B1">
        <w:rPr>
          <w:i/>
        </w:rPr>
        <w:t xml:space="preserve">Electricity Distribution Services Default Price-Quality Path Determination </w:t>
      </w:r>
      <w:r>
        <w:rPr>
          <w:i/>
        </w:rPr>
        <w:t xml:space="preserve">2012 </w:t>
      </w:r>
      <w:r w:rsidRPr="00AD7616">
        <w:t>[2012]</w:t>
      </w:r>
      <w:r>
        <w:t xml:space="preserve"> NZCC 35; </w:t>
      </w:r>
    </w:p>
    <w:p w:rsidR="00934986" w:rsidRDefault="00934986" w:rsidP="00934986">
      <w:pPr>
        <w:pStyle w:val="BodyText"/>
        <w:ind w:left="3261" w:hanging="567"/>
      </w:pPr>
      <w:r>
        <w:t>b.</w:t>
      </w:r>
      <w:r>
        <w:tab/>
        <w:t xml:space="preserve">(for 2010/11–2012/13) the </w:t>
      </w:r>
      <w:r w:rsidRPr="001628B1">
        <w:rPr>
          <w:i/>
        </w:rPr>
        <w:t>Electricity Distribution Services Default Price-Quality Path Determination</w:t>
      </w:r>
      <w:r>
        <w:rPr>
          <w:i/>
        </w:rPr>
        <w:t xml:space="preserve"> 2010</w:t>
      </w:r>
      <w:r w:rsidRPr="00AD7616">
        <w:t xml:space="preserve"> [2010]</w:t>
      </w:r>
      <w:r>
        <w:t xml:space="preserve"> Decision 685; and</w:t>
      </w:r>
    </w:p>
    <w:p w:rsidR="002F6A42" w:rsidRPr="00201E35" w:rsidRDefault="00934986" w:rsidP="00934986">
      <w:pPr>
        <w:pStyle w:val="BodyText"/>
        <w:ind w:left="3261" w:hanging="567"/>
      </w:pPr>
      <w:proofErr w:type="gramStart"/>
      <w:r>
        <w:t>c.</w:t>
      </w:r>
      <w:r>
        <w:tab/>
        <w:t xml:space="preserve">(for 2009/10) </w:t>
      </w:r>
      <w:r w:rsidRPr="00162435">
        <w:t>Commerce Act (Electricity Distribution Thresholds) Notice 2004</w:t>
      </w:r>
      <w:r w:rsidRPr="00AD7616">
        <w:t xml:space="preserve"> [2004]</w:t>
      </w:r>
      <w:r>
        <w:t>.</w:t>
      </w:r>
      <w:proofErr w:type="gramEnd"/>
    </w:p>
    <w:sectPr w:rsidR="002F6A42" w:rsidRPr="00201E35" w:rsidSect="00852427">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27" w:rsidRDefault="00852427">
      <w:r>
        <w:separator/>
      </w:r>
    </w:p>
  </w:endnote>
  <w:endnote w:type="continuationSeparator" w:id="0">
    <w:p w:rsidR="00852427" w:rsidRDefault="0085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Default="00852427" w:rsidP="005C0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88D">
      <w:rPr>
        <w:rStyle w:val="PageNumber"/>
        <w:noProof/>
      </w:rPr>
      <w:t>8</w:t>
    </w:r>
    <w:r>
      <w:rPr>
        <w:rStyle w:val="PageNumber"/>
      </w:rPr>
      <w:fldChar w:fldCharType="end"/>
    </w:r>
  </w:p>
  <w:p w:rsidR="00852427" w:rsidRDefault="00852427" w:rsidP="00154875">
    <w:pPr>
      <w:pStyle w:val="Footer"/>
      <w:ind w:right="360"/>
      <w:jc w:val="right"/>
      <w:rPr>
        <w:sz w:val="16"/>
      </w:rPr>
    </w:pPr>
  </w:p>
  <w:p w:rsidR="00852427" w:rsidRDefault="00852427" w:rsidP="00E44F42">
    <w:pPr>
      <w:pStyle w:val="Footer"/>
      <w:ind w:right="360"/>
      <w:jc w:val="right"/>
      <w:rPr>
        <w:sz w:val="16"/>
      </w:rPr>
    </w:pPr>
  </w:p>
  <w:p w:rsidR="00852427" w:rsidRPr="00427840" w:rsidRDefault="00427840" w:rsidP="00427840">
    <w:pPr>
      <w:pStyle w:val="Footer"/>
      <w:ind w:right="360"/>
      <w:jc w:val="right"/>
      <w:rPr>
        <w:sz w:val="16"/>
      </w:rPr>
    </w:pPr>
    <w:r w:rsidRPr="00427840">
      <w:rPr>
        <w:sz w:val="16"/>
      </w:rPr>
      <w:t>1821458.3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Pr="00427840" w:rsidRDefault="00427840" w:rsidP="00427840">
    <w:pPr>
      <w:pStyle w:val="Footer"/>
      <w:jc w:val="left"/>
      <w:rPr>
        <w:sz w:val="16"/>
      </w:rPr>
    </w:pPr>
    <w:r w:rsidRPr="00427840">
      <w:rPr>
        <w:sz w:val="16"/>
      </w:rPr>
      <w:t>1821458.3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Pr="00427840" w:rsidRDefault="00427840" w:rsidP="00427840">
    <w:pPr>
      <w:pStyle w:val="Footer"/>
      <w:jc w:val="left"/>
      <w:rPr>
        <w:sz w:val="16"/>
      </w:rPr>
    </w:pPr>
    <w:r w:rsidRPr="00427840">
      <w:rPr>
        <w:sz w:val="16"/>
      </w:rPr>
      <w:t>1821458.3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27" w:rsidRDefault="00852427">
      <w:r>
        <w:separator/>
      </w:r>
    </w:p>
  </w:footnote>
  <w:footnote w:type="continuationSeparator" w:id="0">
    <w:p w:rsidR="00852427" w:rsidRDefault="00852427">
      <w:r>
        <w:continuationSeparator/>
      </w:r>
    </w:p>
  </w:footnote>
  <w:footnote w:id="1">
    <w:p w:rsidR="00201E35" w:rsidRDefault="00201E35" w:rsidP="00201E35">
      <w:pPr>
        <w:pStyle w:val="FootnoteText"/>
      </w:pPr>
      <w:r>
        <w:rPr>
          <w:rStyle w:val="FootnoteReference"/>
        </w:rPr>
        <w:footnoteRef/>
      </w:r>
      <w:r>
        <w:t xml:space="preserve"> </w:t>
      </w:r>
      <w:r>
        <w:tab/>
        <w:t xml:space="preserve">‘line charge revenue’ has the same meaning as in clause 1.4.3 of the </w:t>
      </w:r>
      <w:r w:rsidRPr="00972772">
        <w:rPr>
          <w:i/>
        </w:rPr>
        <w:t>Electricity Distribution Information Disclosure Determination 2012</w:t>
      </w:r>
      <w:r>
        <w:t xml:space="preserve"> [2012] NZCC 22</w:t>
      </w:r>
    </w:p>
  </w:footnote>
  <w:footnote w:id="2">
    <w:p w:rsidR="00201E35" w:rsidRPr="00C17975" w:rsidRDefault="00201E35" w:rsidP="00201E35">
      <w:pPr>
        <w:pStyle w:val="FootnoteText"/>
      </w:pPr>
      <w:r>
        <w:rPr>
          <w:rStyle w:val="FootnoteReference"/>
        </w:rPr>
        <w:footnoteRef/>
      </w:r>
      <w:r>
        <w:t xml:space="preserve"> </w:t>
      </w:r>
      <w:r>
        <w:tab/>
        <w:t xml:space="preserve">‘transmission charges’ has the same meaning as in clause 1.4.3 of the </w:t>
      </w:r>
      <w:r w:rsidRPr="00972772">
        <w:rPr>
          <w:i/>
        </w:rPr>
        <w:t>Electricity Distribution Information Disclosure Determination 2012</w:t>
      </w:r>
      <w:r>
        <w:t xml:space="preserve"> [2012] NZCC 22</w:t>
      </w:r>
    </w:p>
  </w:footnote>
  <w:footnote w:id="3">
    <w:p w:rsidR="00201E35" w:rsidRDefault="00201E35" w:rsidP="00201E35">
      <w:pPr>
        <w:pStyle w:val="FootnoteText"/>
      </w:pPr>
      <w:r>
        <w:rPr>
          <w:rStyle w:val="FootnoteReference"/>
        </w:rPr>
        <w:footnoteRef/>
      </w:r>
      <w:r>
        <w:t xml:space="preserve"> </w:t>
      </w:r>
      <w:r>
        <w:tab/>
        <w:t xml:space="preserve">‘fixed charges’ means revenue from prices (as defined in clause 1.4.3 of the </w:t>
      </w:r>
      <w:r w:rsidRPr="00972772">
        <w:rPr>
          <w:i/>
        </w:rPr>
        <w:t>Electricity Distribution Information Disclosure Determination 2012</w:t>
      </w:r>
      <w:r>
        <w:t xml:space="preserve"> [2012] NZCC 22) that are </w:t>
      </w:r>
      <w:r w:rsidRPr="002B77D1">
        <w:t>independent of demand or consumption patterns</w:t>
      </w:r>
      <w:r>
        <w:t>,</w:t>
      </w:r>
      <w:r w:rsidRPr="002B77D1">
        <w:t xml:space="preserve"> and </w:t>
      </w:r>
      <w:r>
        <w:t>may</w:t>
      </w:r>
      <w:r w:rsidRPr="002B77D1">
        <w:t xml:space="preserve"> include asset related charges or connection charges</w:t>
      </w:r>
    </w:p>
  </w:footnote>
  <w:footnote w:id="4">
    <w:p w:rsidR="00201E35" w:rsidRDefault="00201E35" w:rsidP="00201E35">
      <w:pPr>
        <w:pStyle w:val="FootnoteText"/>
      </w:pPr>
      <w:r>
        <w:rPr>
          <w:rStyle w:val="FootnoteReference"/>
        </w:rPr>
        <w:footnoteRef/>
      </w:r>
      <w:r>
        <w:t xml:space="preserve"> </w:t>
      </w:r>
      <w:r>
        <w:tab/>
        <w:t xml:space="preserve">‘energy supplied’ means quantities of electricity supplied, measured in </w:t>
      </w:r>
      <w:proofErr w:type="spellStart"/>
      <w:r>
        <w:t>MWh</w:t>
      </w:r>
      <w:proofErr w:type="spellEnd"/>
    </w:p>
  </w:footnote>
  <w:footnote w:id="5">
    <w:p w:rsidR="00201E35" w:rsidRDefault="00201E35" w:rsidP="00201E35">
      <w:pPr>
        <w:pStyle w:val="FootnoteText"/>
      </w:pPr>
      <w:r>
        <w:rPr>
          <w:rStyle w:val="FootnoteReference"/>
        </w:rPr>
        <w:footnoteRef/>
      </w:r>
      <w:r>
        <w:t xml:space="preserve"> </w:t>
      </w:r>
      <w:r>
        <w:tab/>
        <w:t xml:space="preserve">‘number of ICPs’ means the average number of ICPs for the disclosure year, where ‘ICPs’ has the same meaning as in clause 1.4.3 of the </w:t>
      </w:r>
      <w:r w:rsidRPr="00972772">
        <w:rPr>
          <w:i/>
        </w:rPr>
        <w:t>Electricity Distribution Information Disclosure Determination 2012</w:t>
      </w:r>
      <w:r>
        <w:t xml:space="preserve"> [2012] NZCC 22</w:t>
      </w:r>
    </w:p>
  </w:footnote>
  <w:footnote w:id="6">
    <w:p w:rsidR="00201E35" w:rsidRDefault="00201E35" w:rsidP="00201E35">
      <w:pPr>
        <w:pStyle w:val="FootnoteText"/>
      </w:pPr>
      <w:r>
        <w:rPr>
          <w:rStyle w:val="FootnoteReference"/>
        </w:rPr>
        <w:footnoteRef/>
      </w:r>
      <w:r>
        <w:t xml:space="preserve"> </w:t>
      </w:r>
      <w:r>
        <w:tab/>
        <w:t xml:space="preserve">Descriptions of these categories can be found in Schedule A of the </w:t>
      </w:r>
      <w:r w:rsidRPr="00F36B17">
        <w:rPr>
          <w:b/>
        </w:rPr>
        <w:t>Request workbook</w:t>
      </w:r>
      <w:r>
        <w:t xml:space="preserve"> included with this information request</w:t>
      </w:r>
    </w:p>
  </w:footnote>
  <w:footnote w:id="7">
    <w:p w:rsidR="00201E35" w:rsidRDefault="00201E35" w:rsidP="00201E35">
      <w:pPr>
        <w:pStyle w:val="FootnoteText"/>
      </w:pPr>
      <w:r>
        <w:rPr>
          <w:rStyle w:val="FootnoteReference"/>
        </w:rPr>
        <w:footnoteRef/>
      </w:r>
      <w:r>
        <w:t xml:space="preserve"> </w:t>
      </w:r>
      <w:r>
        <w:tab/>
        <w:t>‘Capital contributions’ are for the purposes of Part 4 of the</w:t>
      </w:r>
      <w:r w:rsidRPr="00972772">
        <w:rPr>
          <w:i/>
        </w:rPr>
        <w:t xml:space="preserve"> Electricity Distribution Services Input Methodologies </w:t>
      </w:r>
      <w:r>
        <w:rPr>
          <w:i/>
        </w:rPr>
        <w:t xml:space="preserve">Determination </w:t>
      </w:r>
      <w:r w:rsidRPr="00972772">
        <w:rPr>
          <w:i/>
        </w:rPr>
        <w:t>2012</w:t>
      </w:r>
      <w:r>
        <w:t xml:space="preserve"> [2012] NZCC 26, and has the same meaning as given in clause 1.1.4(2) of that determination; ‘constant prices’ means prices expressed in New Zealand dollars as at the mid-point of the</w:t>
      </w:r>
      <w:r w:rsidRPr="00972772">
        <w:rPr>
          <w:bCs/>
        </w:rPr>
        <w:t xml:space="preserve"> disclosure year</w:t>
      </w:r>
      <w:r>
        <w:t>.</w:t>
      </w:r>
    </w:p>
  </w:footnote>
  <w:footnote w:id="8">
    <w:p w:rsidR="00201E35" w:rsidRDefault="00201E35" w:rsidP="00201E35">
      <w:pPr>
        <w:pStyle w:val="FootnoteText"/>
      </w:pPr>
      <w:r>
        <w:rPr>
          <w:rStyle w:val="FootnoteReference"/>
        </w:rPr>
        <w:footnoteRef/>
      </w:r>
      <w:r>
        <w:t xml:space="preserve"> </w:t>
      </w:r>
      <w:r>
        <w:tab/>
        <w:t xml:space="preserve">It is only necessary to include assets or groups of assets that are eligible for an avoided transmission charge recoverable costs under clause 3.1.3(1)(e) of the </w:t>
      </w:r>
      <w:r w:rsidRPr="00F470B1">
        <w:rPr>
          <w:i/>
        </w:rPr>
        <w:t xml:space="preserve">Electricity Distribution Services Input Methodologies </w:t>
      </w:r>
      <w:r>
        <w:rPr>
          <w:i/>
        </w:rPr>
        <w:t xml:space="preserve">Determination </w:t>
      </w:r>
      <w:r w:rsidRPr="00F470B1">
        <w:rPr>
          <w:i/>
        </w:rPr>
        <w:t>2012</w:t>
      </w:r>
      <w:r>
        <w:t xml:space="preserve"> [2012] NZCC 26</w:t>
      </w:r>
    </w:p>
  </w:footnote>
  <w:footnote w:id="9">
    <w:p w:rsidR="00201E35" w:rsidRDefault="00201E35" w:rsidP="00201E35">
      <w:pPr>
        <w:pStyle w:val="FootnoteText"/>
      </w:pPr>
      <w:r>
        <w:rPr>
          <w:rStyle w:val="FootnoteReference"/>
        </w:rPr>
        <w:footnoteRef/>
      </w:r>
      <w:r>
        <w:t xml:space="preserve"> </w:t>
      </w:r>
      <w:r>
        <w:tab/>
        <w:t>‘Purchase price’ includes the value of any other consideration paid.</w:t>
      </w:r>
    </w:p>
  </w:footnote>
  <w:footnote w:id="10">
    <w:p w:rsidR="00201E35" w:rsidRDefault="00201E35" w:rsidP="00201E35">
      <w:pPr>
        <w:pStyle w:val="FootnoteText"/>
      </w:pPr>
      <w:r>
        <w:rPr>
          <w:rStyle w:val="FootnoteReference"/>
        </w:rPr>
        <w:footnoteRef/>
      </w:r>
      <w:r>
        <w:t xml:space="preserve"> </w:t>
      </w:r>
      <w:r>
        <w:tab/>
      </w:r>
      <w:r w:rsidRPr="00AF74A4">
        <w:t>The RAB value at transfer is the nominal allocated value at which the acquired asset was or is forecast to be ent</w:t>
      </w:r>
      <w:r>
        <w:t xml:space="preserve">ered into the distributor's ‘value of commissioned assets’ determined in accordance with clause 2.2.11 of the </w:t>
      </w:r>
      <w:r w:rsidRPr="00F470B1">
        <w:rPr>
          <w:i/>
        </w:rPr>
        <w:t xml:space="preserve">Electricity Distribution Services Input Methodologies </w:t>
      </w:r>
      <w:r>
        <w:rPr>
          <w:i/>
        </w:rPr>
        <w:t xml:space="preserve">Determination </w:t>
      </w:r>
      <w:r w:rsidRPr="00F470B1">
        <w:rPr>
          <w:i/>
        </w:rPr>
        <w:t>2012</w:t>
      </w:r>
      <w:r>
        <w:t xml:space="preserve"> [2012] NZCC 26</w:t>
      </w:r>
    </w:p>
  </w:footnote>
  <w:footnote w:id="11">
    <w:p w:rsidR="00201E35" w:rsidRDefault="00201E35" w:rsidP="00201E35">
      <w:pPr>
        <w:pStyle w:val="FootnoteText"/>
      </w:pPr>
      <w:r>
        <w:rPr>
          <w:rStyle w:val="FootnoteReference"/>
        </w:rPr>
        <w:footnoteRef/>
      </w:r>
      <w:r>
        <w:t xml:space="preserve"> </w:t>
      </w:r>
      <w:r>
        <w:tab/>
        <w:t xml:space="preserve">‘Capital expenditure’ is for the purposes of Part 4 of the </w:t>
      </w:r>
      <w:r w:rsidRPr="00F470B1">
        <w:rPr>
          <w:i/>
        </w:rPr>
        <w:t xml:space="preserve">Electricity Distribution Services Input Methodologies </w:t>
      </w:r>
      <w:r>
        <w:rPr>
          <w:i/>
        </w:rPr>
        <w:t xml:space="preserve">Determination </w:t>
      </w:r>
      <w:r w:rsidRPr="00F470B1">
        <w:rPr>
          <w:i/>
        </w:rPr>
        <w:t>2012</w:t>
      </w:r>
      <w:r>
        <w:t xml:space="preserve"> [2012] NZCC 26, and has the same meaning as given in clause 1.1.4(2) of that determination.</w:t>
      </w:r>
    </w:p>
  </w:footnote>
  <w:footnote w:id="12">
    <w:p w:rsidR="00201E35" w:rsidRDefault="00201E35" w:rsidP="00201E35">
      <w:pPr>
        <w:pStyle w:val="FootnoteText"/>
      </w:pPr>
      <w:r>
        <w:rPr>
          <w:rStyle w:val="FootnoteReference"/>
        </w:rPr>
        <w:footnoteRef/>
      </w:r>
      <w:r>
        <w:t xml:space="preserve"> </w:t>
      </w:r>
      <w:r>
        <w:tab/>
        <w:t xml:space="preserve">‘Operational expenditure’ is for the purposes of Part 4 of the </w:t>
      </w:r>
      <w:r w:rsidRPr="00F470B1">
        <w:rPr>
          <w:i/>
        </w:rPr>
        <w:t xml:space="preserve">Electricity Distribution Services Input Methodologies </w:t>
      </w:r>
      <w:r>
        <w:rPr>
          <w:i/>
        </w:rPr>
        <w:t xml:space="preserve">Determination </w:t>
      </w:r>
      <w:r w:rsidRPr="00F470B1">
        <w:rPr>
          <w:i/>
        </w:rPr>
        <w:t>2012</w:t>
      </w:r>
      <w:r>
        <w:t xml:space="preserve"> [2012] NZCC 26, and has the same meaning as given in clause 1.1.4(2) of that determination.</w:t>
      </w:r>
    </w:p>
  </w:footnote>
  <w:footnote w:id="13">
    <w:p w:rsidR="00201E35" w:rsidRDefault="00201E35" w:rsidP="00201E35">
      <w:pPr>
        <w:pStyle w:val="FootnoteText"/>
      </w:pPr>
      <w:r>
        <w:rPr>
          <w:rStyle w:val="FootnoteReference"/>
        </w:rPr>
        <w:footnoteRef/>
      </w:r>
      <w:r>
        <w:t xml:space="preserve"> </w:t>
      </w:r>
      <w:r>
        <w:tab/>
        <w:t>‘</w:t>
      </w:r>
      <w:proofErr w:type="gramStart"/>
      <w:r>
        <w:t>interruption</w:t>
      </w:r>
      <w:proofErr w:type="gramEnd"/>
      <w:r>
        <w:t xml:space="preserve">’ has the same meaning as in clause 1.4.3 of the </w:t>
      </w:r>
      <w:r w:rsidRPr="00F470B1">
        <w:rPr>
          <w:i/>
        </w:rPr>
        <w:t>Electricity Distribution Information Disclosure Determination 2012</w:t>
      </w:r>
      <w:r>
        <w:t xml:space="preserve"> [2012] NZCC 22.</w:t>
      </w:r>
    </w:p>
  </w:footnote>
  <w:footnote w:id="14">
    <w:p w:rsidR="00201E35" w:rsidRDefault="00201E35" w:rsidP="00201E35">
      <w:pPr>
        <w:pStyle w:val="FootnoteText"/>
      </w:pPr>
      <w:r>
        <w:rPr>
          <w:rStyle w:val="FootnoteReference"/>
        </w:rPr>
        <w:footnoteRef/>
      </w:r>
      <w:r>
        <w:t xml:space="preserve"> </w:t>
      </w:r>
      <w:r>
        <w:tab/>
        <w:t>‘expenditure on assets’ has the same meaning as given in clause 1.4.3 of the</w:t>
      </w:r>
      <w:r w:rsidRPr="00972772">
        <w:rPr>
          <w:i/>
        </w:rPr>
        <w:t xml:space="preserve"> Electricity Distribution Services Input Methodologies </w:t>
      </w:r>
      <w:r>
        <w:rPr>
          <w:i/>
        </w:rPr>
        <w:t xml:space="preserve">Determination </w:t>
      </w:r>
      <w:r w:rsidRPr="00972772">
        <w:rPr>
          <w:i/>
        </w:rPr>
        <w:t>2012</w:t>
      </w:r>
      <w:r>
        <w:t xml:space="preserve"> [2012] NZCC 26; ‘constant prices’ means prices expressed in New Zealand dollars as at the mid-point of the</w:t>
      </w:r>
      <w:r w:rsidRPr="00F470B1">
        <w:rPr>
          <w:bCs/>
        </w:rPr>
        <w:t xml:space="preserve"> disclosure yea</w:t>
      </w:r>
      <w:r>
        <w:rPr>
          <w:bCs/>
        </w:rPr>
        <w:t>r</w:t>
      </w:r>
      <w:r>
        <w:t>.</w:t>
      </w:r>
    </w:p>
  </w:footnote>
  <w:footnote w:id="15">
    <w:p w:rsidR="00201E35" w:rsidRDefault="00201E35" w:rsidP="00201E35">
      <w:pPr>
        <w:pStyle w:val="FootnoteText"/>
      </w:pPr>
      <w:r>
        <w:rPr>
          <w:rStyle w:val="FootnoteReference"/>
        </w:rPr>
        <w:footnoteRef/>
      </w:r>
      <w:r>
        <w:t xml:space="preserve"> </w:t>
      </w:r>
      <w:r>
        <w:tab/>
      </w:r>
      <w:r w:rsidRPr="00A15D7D">
        <w:rPr>
          <w:i/>
        </w:rPr>
        <w:t>Notice to supply information to the Commerce Commission under section 53ZD of the Commerce Act 1986</w:t>
      </w:r>
      <w:r>
        <w:t>,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Default="00170439" w:rsidP="001B2D06">
    <w:pPr>
      <w:pStyle w:val="Header"/>
      <w:framePr w:wrap="around" w:vAnchor="text" w:hAnchor="margin" w:xAlign="center" w:y="1"/>
      <w:rPr>
        <w:rStyle w:val="PageNumber"/>
      </w:rPr>
    </w:pPr>
    <w:r>
      <w:rPr>
        <w:rFonts w:ascii="Arial" w:hAnsi="Arial" w:cs="Arial"/>
        <w:noProof/>
        <w:color w:val="003366"/>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0;margin-top:0;width:367.2pt;height:244.8pt;z-index:-251658752;mso-position-horizontal:center;mso-position-horizontal-relative:margin;mso-position-vertical:center;mso-position-vertical-relative:margin" fillcolor="#eaeaea" stroked="f">
          <v:shadow color="#868686"/>
          <v:textpath style="font-family:&quot;Arial Black&quot;;v-text-kern:t" trim="t" fitpath="t" string="Draft"/>
          <w10:wrap anchorx="margin" anchory="margin"/>
        </v:shape>
      </w:pict>
    </w:r>
    <w:r w:rsidR="00852427">
      <w:rPr>
        <w:rStyle w:val="PageNumber"/>
      </w:rPr>
      <w:fldChar w:fldCharType="begin"/>
    </w:r>
    <w:r w:rsidR="00852427">
      <w:rPr>
        <w:rStyle w:val="PageNumber"/>
      </w:rPr>
      <w:instrText xml:space="preserve">PAGE  </w:instrText>
    </w:r>
    <w:r w:rsidR="00852427">
      <w:rPr>
        <w:rStyle w:val="PageNumber"/>
      </w:rPr>
      <w:fldChar w:fldCharType="separate"/>
    </w:r>
    <w:r w:rsidR="00B0188D">
      <w:rPr>
        <w:rStyle w:val="PageNumber"/>
        <w:noProof/>
      </w:rPr>
      <w:t>8</w:t>
    </w:r>
    <w:r w:rsidR="00852427">
      <w:rPr>
        <w:rStyle w:val="PageNumber"/>
      </w:rPr>
      <w:fldChar w:fldCharType="end"/>
    </w:r>
  </w:p>
  <w:p w:rsidR="00852427" w:rsidRDefault="00852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Pr="00364B3D" w:rsidRDefault="00852427" w:rsidP="003D290F">
    <w:pPr>
      <w:pStyle w:val="Header"/>
    </w:pPr>
    <w:r w:rsidRPr="00364B3D">
      <w:rPr>
        <w:rStyle w:val="PageNumber"/>
      </w:rPr>
      <w:fldChar w:fldCharType="begin"/>
    </w:r>
    <w:r w:rsidRPr="00364B3D">
      <w:rPr>
        <w:rStyle w:val="PageNumber"/>
      </w:rPr>
      <w:instrText xml:space="preserve"> PAGE   \* MERGEFORMAT </w:instrText>
    </w:r>
    <w:r w:rsidRPr="00364B3D">
      <w:rPr>
        <w:rStyle w:val="PageNumber"/>
      </w:rPr>
      <w:fldChar w:fldCharType="separate"/>
    </w:r>
    <w:r w:rsidR="00170439">
      <w:rPr>
        <w:rStyle w:val="PageNumber"/>
        <w:noProof/>
      </w:rPr>
      <w:t>2</w:t>
    </w:r>
    <w:r w:rsidRPr="00364B3D">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68" w:rsidRDefault="00D16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3C02FBA"/>
    <w:lvl w:ilvl="0">
      <w:start w:val="1"/>
      <w:numFmt w:val="decimal"/>
      <w:pStyle w:val="ListNumber"/>
      <w:lvlText w:val="%1."/>
      <w:lvlJc w:val="left"/>
      <w:pPr>
        <w:tabs>
          <w:tab w:val="num" w:pos="360"/>
        </w:tabs>
        <w:ind w:left="360" w:hanging="360"/>
      </w:pPr>
    </w:lvl>
  </w:abstractNum>
  <w:abstractNum w:abstractNumId="1">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33A62BAE"/>
    <w:multiLevelType w:val="multilevel"/>
    <w:tmpl w:val="102E164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nsid w:val="591E0F60"/>
    <w:multiLevelType w:val="hybridMultilevel"/>
    <w:tmpl w:val="0E1489C2"/>
    <w:lvl w:ilvl="0" w:tplc="A6C42CF8">
      <w:start w:val="1"/>
      <w:numFmt w:val="bullet"/>
      <w:pStyle w:val="Level1bullet"/>
      <w:lvlText w:val=""/>
      <w:lvlJc w:val="left"/>
      <w:pPr>
        <w:tabs>
          <w:tab w:val="num" w:pos="567"/>
        </w:tabs>
        <w:ind w:left="567" w:hanging="567"/>
      </w:pPr>
      <w:rPr>
        <w:rFonts w:ascii="Wingdings" w:hAnsi="Wingdings" w:hint="default"/>
      </w:rPr>
    </w:lvl>
    <w:lvl w:ilvl="1" w:tplc="15EA06F4">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99788F"/>
    <w:multiLevelType w:val="multilevel"/>
    <w:tmpl w:val="AF18A2DC"/>
    <w:lvl w:ilvl="0">
      <w:start w:val="1"/>
      <w:numFmt w:val="decimal"/>
      <w:pStyle w:val="Para1"/>
      <w:lvlText w:val="%1."/>
      <w:lvlJc w:val="left"/>
      <w:pPr>
        <w:tabs>
          <w:tab w:val="num" w:pos="709"/>
        </w:tabs>
        <w:ind w:left="709" w:hanging="709"/>
      </w:pPr>
      <w:rPr>
        <w:rFonts w:hint="default"/>
        <w:b w:val="0"/>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7CCB3E2C"/>
    <w:multiLevelType w:val="hybridMultilevel"/>
    <w:tmpl w:val="94A29726"/>
    <w:lvl w:ilvl="0" w:tplc="563E22AA">
      <w:numFmt w:val="bullet"/>
      <w:pStyle w:val="Level2bullet"/>
      <w:lvlText w:val=""/>
      <w:lvlJc w:val="left"/>
      <w:pPr>
        <w:tabs>
          <w:tab w:val="num" w:pos="568"/>
        </w:tabs>
        <w:ind w:left="568" w:hanging="284"/>
      </w:pPr>
      <w:rPr>
        <w:rFonts w:ascii="Symbol" w:eastAsia="Calibri" w:hAnsi="Symbol" w:cs="Garamond" w:hint="default"/>
      </w:rPr>
    </w:lvl>
    <w:lvl w:ilvl="1" w:tplc="454E168C" w:tentative="1">
      <w:start w:val="1"/>
      <w:numFmt w:val="bullet"/>
      <w:lvlText w:val="o"/>
      <w:lvlJc w:val="left"/>
      <w:pPr>
        <w:tabs>
          <w:tab w:val="num" w:pos="1440"/>
        </w:tabs>
        <w:ind w:left="1440" w:hanging="360"/>
      </w:pPr>
      <w:rPr>
        <w:rFonts w:ascii="Courier New" w:hAnsi="Courier New" w:cs="Courier New" w:hint="default"/>
      </w:rPr>
    </w:lvl>
    <w:lvl w:ilvl="2" w:tplc="770A569C" w:tentative="1">
      <w:start w:val="1"/>
      <w:numFmt w:val="bullet"/>
      <w:lvlText w:val=""/>
      <w:lvlJc w:val="left"/>
      <w:pPr>
        <w:tabs>
          <w:tab w:val="num" w:pos="2160"/>
        </w:tabs>
        <w:ind w:left="2160" w:hanging="360"/>
      </w:pPr>
      <w:rPr>
        <w:rFonts w:ascii="Wingdings" w:hAnsi="Wingdings" w:hint="default"/>
      </w:rPr>
    </w:lvl>
    <w:lvl w:ilvl="3" w:tplc="2E04B59A" w:tentative="1">
      <w:start w:val="1"/>
      <w:numFmt w:val="bullet"/>
      <w:lvlText w:val=""/>
      <w:lvlJc w:val="left"/>
      <w:pPr>
        <w:tabs>
          <w:tab w:val="num" w:pos="2880"/>
        </w:tabs>
        <w:ind w:left="2880" w:hanging="360"/>
      </w:pPr>
      <w:rPr>
        <w:rFonts w:ascii="Symbol" w:hAnsi="Symbol" w:hint="default"/>
      </w:rPr>
    </w:lvl>
    <w:lvl w:ilvl="4" w:tplc="60643E4A" w:tentative="1">
      <w:start w:val="1"/>
      <w:numFmt w:val="bullet"/>
      <w:lvlText w:val="o"/>
      <w:lvlJc w:val="left"/>
      <w:pPr>
        <w:tabs>
          <w:tab w:val="num" w:pos="3600"/>
        </w:tabs>
        <w:ind w:left="3600" w:hanging="360"/>
      </w:pPr>
      <w:rPr>
        <w:rFonts w:ascii="Courier New" w:hAnsi="Courier New" w:cs="Courier New" w:hint="default"/>
      </w:rPr>
    </w:lvl>
    <w:lvl w:ilvl="5" w:tplc="31387B06" w:tentative="1">
      <w:start w:val="1"/>
      <w:numFmt w:val="bullet"/>
      <w:lvlText w:val=""/>
      <w:lvlJc w:val="left"/>
      <w:pPr>
        <w:tabs>
          <w:tab w:val="num" w:pos="4320"/>
        </w:tabs>
        <w:ind w:left="4320" w:hanging="360"/>
      </w:pPr>
      <w:rPr>
        <w:rFonts w:ascii="Wingdings" w:hAnsi="Wingdings" w:hint="default"/>
      </w:rPr>
    </w:lvl>
    <w:lvl w:ilvl="6" w:tplc="323A20BA" w:tentative="1">
      <w:start w:val="1"/>
      <w:numFmt w:val="bullet"/>
      <w:lvlText w:val=""/>
      <w:lvlJc w:val="left"/>
      <w:pPr>
        <w:tabs>
          <w:tab w:val="num" w:pos="5040"/>
        </w:tabs>
        <w:ind w:left="5040" w:hanging="360"/>
      </w:pPr>
      <w:rPr>
        <w:rFonts w:ascii="Symbol" w:hAnsi="Symbol" w:hint="default"/>
      </w:rPr>
    </w:lvl>
    <w:lvl w:ilvl="7" w:tplc="EB300F98" w:tentative="1">
      <w:start w:val="1"/>
      <w:numFmt w:val="bullet"/>
      <w:lvlText w:val="o"/>
      <w:lvlJc w:val="left"/>
      <w:pPr>
        <w:tabs>
          <w:tab w:val="num" w:pos="5760"/>
        </w:tabs>
        <w:ind w:left="5760" w:hanging="360"/>
      </w:pPr>
      <w:rPr>
        <w:rFonts w:ascii="Courier New" w:hAnsi="Courier New" w:cs="Courier New" w:hint="default"/>
      </w:rPr>
    </w:lvl>
    <w:lvl w:ilvl="8" w:tplc="98B6E7C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3"/>
  </w:num>
  <w:num w:numId="4">
    <w:abstractNumId w:val="0"/>
  </w:num>
  <w:num w:numId="5">
    <w:abstractNumId w:val="2"/>
  </w:num>
  <w:num w:numId="6">
    <w:abstractNumId w:val="8"/>
  </w:num>
  <w:num w:numId="7">
    <w:abstractNumId w:val="8"/>
  </w:num>
  <w:num w:numId="8">
    <w:abstractNumId w:val="11"/>
  </w:num>
  <w:num w:numId="9">
    <w:abstractNumId w:val="11"/>
  </w:num>
  <w:num w:numId="10">
    <w:abstractNumId w:val="1"/>
  </w:num>
  <w:num w:numId="11">
    <w:abstractNumId w:val="5"/>
  </w:num>
  <w:num w:numId="12">
    <w:abstractNumId w:val="10"/>
  </w:num>
  <w:num w:numId="13">
    <w:abstractNumId w:val="4"/>
  </w:num>
  <w:num w:numId="14">
    <w:abstractNumId w:val="4"/>
  </w:num>
  <w:num w:numId="15">
    <w:abstractNumId w:val="6"/>
  </w:num>
  <w:num w:numId="16">
    <w:abstractNumId w:val="7"/>
  </w:num>
  <w:num w:numId="17">
    <w:abstractNumId w:val="7"/>
  </w:num>
  <w:num w:numId="18">
    <w:abstractNumId w:val="10"/>
  </w:num>
  <w:num w:numId="19">
    <w:abstractNumId w:val="10"/>
  </w:num>
  <w:num w:numId="20">
    <w:abstractNumId w:val="1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n-NZ" w:vendorID="64" w:dllVersion="131078" w:nlCheck="1"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astSavedAs" w:val="1821458.3"/>
  </w:docVars>
  <w:rsids>
    <w:rsidRoot w:val="00F7343F"/>
    <w:rsid w:val="00035462"/>
    <w:rsid w:val="00044D81"/>
    <w:rsid w:val="00045893"/>
    <w:rsid w:val="000463FF"/>
    <w:rsid w:val="0005103A"/>
    <w:rsid w:val="000619CB"/>
    <w:rsid w:val="0006659B"/>
    <w:rsid w:val="00076A26"/>
    <w:rsid w:val="00085EAD"/>
    <w:rsid w:val="00091131"/>
    <w:rsid w:val="00097A6B"/>
    <w:rsid w:val="000A1865"/>
    <w:rsid w:val="000B02B3"/>
    <w:rsid w:val="000B3F65"/>
    <w:rsid w:val="000C2A89"/>
    <w:rsid w:val="000D446F"/>
    <w:rsid w:val="000D5EA9"/>
    <w:rsid w:val="000E1FFE"/>
    <w:rsid w:val="000F0BCF"/>
    <w:rsid w:val="000F276C"/>
    <w:rsid w:val="000F4890"/>
    <w:rsid w:val="00110B13"/>
    <w:rsid w:val="00112388"/>
    <w:rsid w:val="00117DD6"/>
    <w:rsid w:val="00123F3D"/>
    <w:rsid w:val="00127AAC"/>
    <w:rsid w:val="00133410"/>
    <w:rsid w:val="00135CF8"/>
    <w:rsid w:val="001419B0"/>
    <w:rsid w:val="00145131"/>
    <w:rsid w:val="00145622"/>
    <w:rsid w:val="001527F6"/>
    <w:rsid w:val="00154875"/>
    <w:rsid w:val="00156FDB"/>
    <w:rsid w:val="00162306"/>
    <w:rsid w:val="00170439"/>
    <w:rsid w:val="00170A16"/>
    <w:rsid w:val="001717C9"/>
    <w:rsid w:val="00180837"/>
    <w:rsid w:val="00180CB7"/>
    <w:rsid w:val="001816CA"/>
    <w:rsid w:val="00193436"/>
    <w:rsid w:val="001A6BB6"/>
    <w:rsid w:val="001B276D"/>
    <w:rsid w:val="001B2D06"/>
    <w:rsid w:val="001D0166"/>
    <w:rsid w:val="001F1ACF"/>
    <w:rsid w:val="001F5A69"/>
    <w:rsid w:val="00201E35"/>
    <w:rsid w:val="00202565"/>
    <w:rsid w:val="002058D5"/>
    <w:rsid w:val="00206C5C"/>
    <w:rsid w:val="00224CB8"/>
    <w:rsid w:val="00230AF5"/>
    <w:rsid w:val="0023637E"/>
    <w:rsid w:val="002454E9"/>
    <w:rsid w:val="00253CAB"/>
    <w:rsid w:val="00262B3C"/>
    <w:rsid w:val="00264544"/>
    <w:rsid w:val="0026500E"/>
    <w:rsid w:val="0026767E"/>
    <w:rsid w:val="00271C0C"/>
    <w:rsid w:val="00272117"/>
    <w:rsid w:val="00274B04"/>
    <w:rsid w:val="00282658"/>
    <w:rsid w:val="002926E9"/>
    <w:rsid w:val="00296489"/>
    <w:rsid w:val="002979A6"/>
    <w:rsid w:val="002B0386"/>
    <w:rsid w:val="002B2317"/>
    <w:rsid w:val="002B77D1"/>
    <w:rsid w:val="002D5BE1"/>
    <w:rsid w:val="002E17B6"/>
    <w:rsid w:val="002E1D87"/>
    <w:rsid w:val="002E4E52"/>
    <w:rsid w:val="002F6A42"/>
    <w:rsid w:val="003151CA"/>
    <w:rsid w:val="00321693"/>
    <w:rsid w:val="00327BCE"/>
    <w:rsid w:val="00337EC1"/>
    <w:rsid w:val="00341782"/>
    <w:rsid w:val="00342511"/>
    <w:rsid w:val="00343EB7"/>
    <w:rsid w:val="00357F54"/>
    <w:rsid w:val="0036284A"/>
    <w:rsid w:val="00363E6D"/>
    <w:rsid w:val="00364B3D"/>
    <w:rsid w:val="00371A8C"/>
    <w:rsid w:val="0037368B"/>
    <w:rsid w:val="00376E4B"/>
    <w:rsid w:val="003858F7"/>
    <w:rsid w:val="00391008"/>
    <w:rsid w:val="003A4B7E"/>
    <w:rsid w:val="003B03B9"/>
    <w:rsid w:val="003B2EB4"/>
    <w:rsid w:val="003C1978"/>
    <w:rsid w:val="003C4A9D"/>
    <w:rsid w:val="003C5723"/>
    <w:rsid w:val="003C5A22"/>
    <w:rsid w:val="003D219E"/>
    <w:rsid w:val="003D290F"/>
    <w:rsid w:val="003D4C0F"/>
    <w:rsid w:val="003D5C4A"/>
    <w:rsid w:val="003E14CF"/>
    <w:rsid w:val="003F07E7"/>
    <w:rsid w:val="003F1D78"/>
    <w:rsid w:val="003F26AB"/>
    <w:rsid w:val="00406DF7"/>
    <w:rsid w:val="004115DA"/>
    <w:rsid w:val="00412DAD"/>
    <w:rsid w:val="00414D91"/>
    <w:rsid w:val="004209C2"/>
    <w:rsid w:val="00421C83"/>
    <w:rsid w:val="00424042"/>
    <w:rsid w:val="004255AD"/>
    <w:rsid w:val="00427840"/>
    <w:rsid w:val="00433CEC"/>
    <w:rsid w:val="004379C4"/>
    <w:rsid w:val="00447B6B"/>
    <w:rsid w:val="00455A4E"/>
    <w:rsid w:val="004703AB"/>
    <w:rsid w:val="00482D83"/>
    <w:rsid w:val="0048400A"/>
    <w:rsid w:val="00497C6B"/>
    <w:rsid w:val="004A1C2E"/>
    <w:rsid w:val="004A2DEB"/>
    <w:rsid w:val="004C1AB0"/>
    <w:rsid w:val="004C1E36"/>
    <w:rsid w:val="004C357A"/>
    <w:rsid w:val="004D3194"/>
    <w:rsid w:val="004D5F57"/>
    <w:rsid w:val="004F0FE1"/>
    <w:rsid w:val="004F2032"/>
    <w:rsid w:val="004F3649"/>
    <w:rsid w:val="004F621F"/>
    <w:rsid w:val="004F7F2C"/>
    <w:rsid w:val="00507E2F"/>
    <w:rsid w:val="005107E3"/>
    <w:rsid w:val="005110FD"/>
    <w:rsid w:val="00511E8F"/>
    <w:rsid w:val="0052338D"/>
    <w:rsid w:val="005240A9"/>
    <w:rsid w:val="0052461C"/>
    <w:rsid w:val="00535FB0"/>
    <w:rsid w:val="00550A47"/>
    <w:rsid w:val="00552969"/>
    <w:rsid w:val="005530E4"/>
    <w:rsid w:val="0055454D"/>
    <w:rsid w:val="0056208A"/>
    <w:rsid w:val="00562122"/>
    <w:rsid w:val="005627B4"/>
    <w:rsid w:val="00570627"/>
    <w:rsid w:val="00574BC7"/>
    <w:rsid w:val="00581DB3"/>
    <w:rsid w:val="00585920"/>
    <w:rsid w:val="00594774"/>
    <w:rsid w:val="005B044F"/>
    <w:rsid w:val="005B0B34"/>
    <w:rsid w:val="005B3CB3"/>
    <w:rsid w:val="005C0EA9"/>
    <w:rsid w:val="005E2645"/>
    <w:rsid w:val="005F2C84"/>
    <w:rsid w:val="005F4019"/>
    <w:rsid w:val="006033E9"/>
    <w:rsid w:val="0060438E"/>
    <w:rsid w:val="006106BF"/>
    <w:rsid w:val="00610C76"/>
    <w:rsid w:val="00625027"/>
    <w:rsid w:val="00632E40"/>
    <w:rsid w:val="00641AB2"/>
    <w:rsid w:val="006433F0"/>
    <w:rsid w:val="00647FDA"/>
    <w:rsid w:val="006539FF"/>
    <w:rsid w:val="00661C15"/>
    <w:rsid w:val="0066318C"/>
    <w:rsid w:val="00663241"/>
    <w:rsid w:val="0066553F"/>
    <w:rsid w:val="006768D7"/>
    <w:rsid w:val="00682684"/>
    <w:rsid w:val="00693A0C"/>
    <w:rsid w:val="006A1574"/>
    <w:rsid w:val="006A3186"/>
    <w:rsid w:val="006A437B"/>
    <w:rsid w:val="006B0D30"/>
    <w:rsid w:val="006B24DF"/>
    <w:rsid w:val="006B2B61"/>
    <w:rsid w:val="006B320F"/>
    <w:rsid w:val="006B37AC"/>
    <w:rsid w:val="006B3BDF"/>
    <w:rsid w:val="006C08BD"/>
    <w:rsid w:val="006C3741"/>
    <w:rsid w:val="006E1BE5"/>
    <w:rsid w:val="006F2794"/>
    <w:rsid w:val="006F5A47"/>
    <w:rsid w:val="007038B0"/>
    <w:rsid w:val="00707846"/>
    <w:rsid w:val="00712268"/>
    <w:rsid w:val="00713A32"/>
    <w:rsid w:val="007142D4"/>
    <w:rsid w:val="00714438"/>
    <w:rsid w:val="007207E4"/>
    <w:rsid w:val="00751AAB"/>
    <w:rsid w:val="007542BF"/>
    <w:rsid w:val="00763EE9"/>
    <w:rsid w:val="00767087"/>
    <w:rsid w:val="007707F7"/>
    <w:rsid w:val="007727A0"/>
    <w:rsid w:val="00773211"/>
    <w:rsid w:val="0077510C"/>
    <w:rsid w:val="007807AC"/>
    <w:rsid w:val="00782639"/>
    <w:rsid w:val="00782B83"/>
    <w:rsid w:val="007867FC"/>
    <w:rsid w:val="007878EB"/>
    <w:rsid w:val="00791ABF"/>
    <w:rsid w:val="00795DAE"/>
    <w:rsid w:val="007C0715"/>
    <w:rsid w:val="007C0BB8"/>
    <w:rsid w:val="007F6840"/>
    <w:rsid w:val="00802B43"/>
    <w:rsid w:val="00803AFF"/>
    <w:rsid w:val="00807A07"/>
    <w:rsid w:val="00815B07"/>
    <w:rsid w:val="0082263B"/>
    <w:rsid w:val="00835360"/>
    <w:rsid w:val="00837E7C"/>
    <w:rsid w:val="00847926"/>
    <w:rsid w:val="00852427"/>
    <w:rsid w:val="0085485D"/>
    <w:rsid w:val="00854CA4"/>
    <w:rsid w:val="00855E2E"/>
    <w:rsid w:val="008666AA"/>
    <w:rsid w:val="00872C2A"/>
    <w:rsid w:val="00876524"/>
    <w:rsid w:val="00876931"/>
    <w:rsid w:val="00877859"/>
    <w:rsid w:val="0088724A"/>
    <w:rsid w:val="0089065F"/>
    <w:rsid w:val="00891E8D"/>
    <w:rsid w:val="0089753B"/>
    <w:rsid w:val="008978CE"/>
    <w:rsid w:val="00897D82"/>
    <w:rsid w:val="008A0A3F"/>
    <w:rsid w:val="008B30ED"/>
    <w:rsid w:val="008B5859"/>
    <w:rsid w:val="008C1794"/>
    <w:rsid w:val="008C504A"/>
    <w:rsid w:val="008C639A"/>
    <w:rsid w:val="008D7A43"/>
    <w:rsid w:val="008E0F8B"/>
    <w:rsid w:val="008E4795"/>
    <w:rsid w:val="009018E1"/>
    <w:rsid w:val="00923C77"/>
    <w:rsid w:val="009306EE"/>
    <w:rsid w:val="00933DD7"/>
    <w:rsid w:val="00934986"/>
    <w:rsid w:val="00952D8D"/>
    <w:rsid w:val="00956787"/>
    <w:rsid w:val="00956ED3"/>
    <w:rsid w:val="00960C5F"/>
    <w:rsid w:val="00966C27"/>
    <w:rsid w:val="00972772"/>
    <w:rsid w:val="00972EE5"/>
    <w:rsid w:val="009731F5"/>
    <w:rsid w:val="00981202"/>
    <w:rsid w:val="0098357E"/>
    <w:rsid w:val="009876B4"/>
    <w:rsid w:val="00993BC7"/>
    <w:rsid w:val="009976AD"/>
    <w:rsid w:val="009A46A1"/>
    <w:rsid w:val="009A4A2A"/>
    <w:rsid w:val="009B0084"/>
    <w:rsid w:val="009B1DE4"/>
    <w:rsid w:val="009B1E40"/>
    <w:rsid w:val="009B3C89"/>
    <w:rsid w:val="009B570C"/>
    <w:rsid w:val="009C1152"/>
    <w:rsid w:val="009C4831"/>
    <w:rsid w:val="009E129C"/>
    <w:rsid w:val="009F5568"/>
    <w:rsid w:val="009F7FB8"/>
    <w:rsid w:val="00A0033F"/>
    <w:rsid w:val="00A02B1C"/>
    <w:rsid w:val="00A04739"/>
    <w:rsid w:val="00A07C80"/>
    <w:rsid w:val="00A15D7D"/>
    <w:rsid w:val="00A17C0D"/>
    <w:rsid w:val="00A223E3"/>
    <w:rsid w:val="00A225E1"/>
    <w:rsid w:val="00A23980"/>
    <w:rsid w:val="00A3647C"/>
    <w:rsid w:val="00A37E83"/>
    <w:rsid w:val="00A40AF8"/>
    <w:rsid w:val="00A4463E"/>
    <w:rsid w:val="00A61F3A"/>
    <w:rsid w:val="00A65463"/>
    <w:rsid w:val="00A70460"/>
    <w:rsid w:val="00A775D7"/>
    <w:rsid w:val="00A81E2D"/>
    <w:rsid w:val="00A820A5"/>
    <w:rsid w:val="00A94738"/>
    <w:rsid w:val="00A96B7A"/>
    <w:rsid w:val="00AB012B"/>
    <w:rsid w:val="00AB2896"/>
    <w:rsid w:val="00AB3D01"/>
    <w:rsid w:val="00AB6692"/>
    <w:rsid w:val="00AC3381"/>
    <w:rsid w:val="00AE42D9"/>
    <w:rsid w:val="00AE49D1"/>
    <w:rsid w:val="00AF74A4"/>
    <w:rsid w:val="00AF7B10"/>
    <w:rsid w:val="00B0188D"/>
    <w:rsid w:val="00B0536D"/>
    <w:rsid w:val="00B05600"/>
    <w:rsid w:val="00B11FEE"/>
    <w:rsid w:val="00B2445C"/>
    <w:rsid w:val="00B33E8C"/>
    <w:rsid w:val="00B34982"/>
    <w:rsid w:val="00B44AB0"/>
    <w:rsid w:val="00B5658D"/>
    <w:rsid w:val="00B74E02"/>
    <w:rsid w:val="00B77CC6"/>
    <w:rsid w:val="00B94055"/>
    <w:rsid w:val="00B959B7"/>
    <w:rsid w:val="00BA276B"/>
    <w:rsid w:val="00BA553B"/>
    <w:rsid w:val="00BB1457"/>
    <w:rsid w:val="00BB55EC"/>
    <w:rsid w:val="00BC41C3"/>
    <w:rsid w:val="00BD2943"/>
    <w:rsid w:val="00BE2C44"/>
    <w:rsid w:val="00BF3D15"/>
    <w:rsid w:val="00C00748"/>
    <w:rsid w:val="00C07DB5"/>
    <w:rsid w:val="00C17975"/>
    <w:rsid w:val="00C24352"/>
    <w:rsid w:val="00C74C34"/>
    <w:rsid w:val="00C80A57"/>
    <w:rsid w:val="00C80C8B"/>
    <w:rsid w:val="00C810E0"/>
    <w:rsid w:val="00C81CA1"/>
    <w:rsid w:val="00C846AF"/>
    <w:rsid w:val="00C91BD3"/>
    <w:rsid w:val="00C951BC"/>
    <w:rsid w:val="00C95B3D"/>
    <w:rsid w:val="00C95EBF"/>
    <w:rsid w:val="00CA1C90"/>
    <w:rsid w:val="00CB3CCB"/>
    <w:rsid w:val="00CC09FF"/>
    <w:rsid w:val="00CD3908"/>
    <w:rsid w:val="00CE5B49"/>
    <w:rsid w:val="00CE5DAA"/>
    <w:rsid w:val="00CF2DA7"/>
    <w:rsid w:val="00D16D68"/>
    <w:rsid w:val="00D3323C"/>
    <w:rsid w:val="00D34F0E"/>
    <w:rsid w:val="00D43387"/>
    <w:rsid w:val="00D46E57"/>
    <w:rsid w:val="00D5181F"/>
    <w:rsid w:val="00D51884"/>
    <w:rsid w:val="00D54270"/>
    <w:rsid w:val="00D552AB"/>
    <w:rsid w:val="00D5716D"/>
    <w:rsid w:val="00D60068"/>
    <w:rsid w:val="00D72A52"/>
    <w:rsid w:val="00D747EF"/>
    <w:rsid w:val="00D7539B"/>
    <w:rsid w:val="00D8231F"/>
    <w:rsid w:val="00DA00F4"/>
    <w:rsid w:val="00DA1E9A"/>
    <w:rsid w:val="00DA3B4D"/>
    <w:rsid w:val="00DA59FD"/>
    <w:rsid w:val="00DA6C41"/>
    <w:rsid w:val="00DB3665"/>
    <w:rsid w:val="00DB4C78"/>
    <w:rsid w:val="00DB614F"/>
    <w:rsid w:val="00DC1F73"/>
    <w:rsid w:val="00DE105C"/>
    <w:rsid w:val="00DF0E46"/>
    <w:rsid w:val="00DF3999"/>
    <w:rsid w:val="00E01546"/>
    <w:rsid w:val="00E01F2D"/>
    <w:rsid w:val="00E07094"/>
    <w:rsid w:val="00E14BAF"/>
    <w:rsid w:val="00E15630"/>
    <w:rsid w:val="00E1648F"/>
    <w:rsid w:val="00E35469"/>
    <w:rsid w:val="00E36585"/>
    <w:rsid w:val="00E37BDF"/>
    <w:rsid w:val="00E44F42"/>
    <w:rsid w:val="00E5487F"/>
    <w:rsid w:val="00E64DF9"/>
    <w:rsid w:val="00E67E2E"/>
    <w:rsid w:val="00E71160"/>
    <w:rsid w:val="00E741AF"/>
    <w:rsid w:val="00E83EE7"/>
    <w:rsid w:val="00E943FA"/>
    <w:rsid w:val="00EA673A"/>
    <w:rsid w:val="00EB052B"/>
    <w:rsid w:val="00EB055C"/>
    <w:rsid w:val="00EB76AB"/>
    <w:rsid w:val="00EC0369"/>
    <w:rsid w:val="00EC1D01"/>
    <w:rsid w:val="00ED0D4A"/>
    <w:rsid w:val="00ED2F24"/>
    <w:rsid w:val="00ED61D4"/>
    <w:rsid w:val="00ED7298"/>
    <w:rsid w:val="00EE784E"/>
    <w:rsid w:val="00EF144B"/>
    <w:rsid w:val="00EF1CC2"/>
    <w:rsid w:val="00EF61F5"/>
    <w:rsid w:val="00F01FB7"/>
    <w:rsid w:val="00F02C27"/>
    <w:rsid w:val="00F0518B"/>
    <w:rsid w:val="00F125DB"/>
    <w:rsid w:val="00F1579B"/>
    <w:rsid w:val="00F232DC"/>
    <w:rsid w:val="00F277FE"/>
    <w:rsid w:val="00F30D61"/>
    <w:rsid w:val="00F31D0B"/>
    <w:rsid w:val="00F36B17"/>
    <w:rsid w:val="00F36F3D"/>
    <w:rsid w:val="00F37166"/>
    <w:rsid w:val="00F42186"/>
    <w:rsid w:val="00F439A7"/>
    <w:rsid w:val="00F51CC9"/>
    <w:rsid w:val="00F54636"/>
    <w:rsid w:val="00F55B1C"/>
    <w:rsid w:val="00F62577"/>
    <w:rsid w:val="00F64647"/>
    <w:rsid w:val="00F7343F"/>
    <w:rsid w:val="00F75AB0"/>
    <w:rsid w:val="00F87697"/>
    <w:rsid w:val="00FA3601"/>
    <w:rsid w:val="00FB31F4"/>
    <w:rsid w:val="00FC3769"/>
    <w:rsid w:val="00FC488C"/>
    <w:rsid w:val="00FD3DCF"/>
    <w:rsid w:val="00FD5202"/>
    <w:rsid w:val="00FE04A3"/>
    <w:rsid w:val="00FF72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201E35"/>
    <w:rPr>
      <w:rFonts w:ascii="Calibri" w:hAnsi="Calibri"/>
      <w:sz w:val="24"/>
      <w:lang w:eastAsia="en-GB"/>
    </w:rPr>
  </w:style>
  <w:style w:type="paragraph" w:styleId="Heading1">
    <w:name w:val="heading 1"/>
    <w:basedOn w:val="Normal"/>
    <w:next w:val="BodyText"/>
    <w:link w:val="Heading1Char"/>
    <w:qFormat/>
    <w:rsid w:val="00364B3D"/>
    <w:pPr>
      <w:keepNext/>
      <w:spacing w:after="120"/>
      <w:outlineLvl w:val="0"/>
    </w:pPr>
    <w:rPr>
      <w:b/>
      <w:sz w:val="28"/>
    </w:rPr>
  </w:style>
  <w:style w:type="paragraph" w:styleId="Heading2">
    <w:name w:val="heading 2"/>
    <w:basedOn w:val="Normal"/>
    <w:next w:val="BodyText"/>
    <w:link w:val="Heading2Char"/>
    <w:qFormat/>
    <w:rsid w:val="00364B3D"/>
    <w:pPr>
      <w:keepNext/>
      <w:spacing w:after="120"/>
      <w:outlineLvl w:val="1"/>
    </w:pPr>
    <w:rPr>
      <w:b/>
    </w:rPr>
  </w:style>
  <w:style w:type="paragraph" w:styleId="Heading3">
    <w:name w:val="heading 3"/>
    <w:basedOn w:val="Normal"/>
    <w:next w:val="BodyText"/>
    <w:link w:val="Heading3Char"/>
    <w:qFormat/>
    <w:rsid w:val="00364B3D"/>
    <w:pPr>
      <w:keepNext/>
      <w:spacing w:after="120"/>
      <w:outlineLvl w:val="2"/>
    </w:pPr>
    <w:rPr>
      <w:i/>
    </w:rPr>
  </w:style>
  <w:style w:type="paragraph" w:styleId="Heading4">
    <w:name w:val="heading 4"/>
    <w:basedOn w:val="Normal"/>
    <w:semiHidden/>
    <w:qFormat/>
    <w:rsid w:val="00364B3D"/>
    <w:pPr>
      <w:outlineLvl w:val="3"/>
    </w:pPr>
  </w:style>
  <w:style w:type="paragraph" w:styleId="Heading5">
    <w:name w:val="heading 5"/>
    <w:basedOn w:val="Normal"/>
    <w:semiHidden/>
    <w:qFormat/>
    <w:rsid w:val="00364B3D"/>
    <w:pPr>
      <w:outlineLvl w:val="4"/>
    </w:pPr>
  </w:style>
  <w:style w:type="paragraph" w:styleId="Heading6">
    <w:name w:val="heading 6"/>
    <w:basedOn w:val="Normal"/>
    <w:link w:val="Heading6Char"/>
    <w:semiHidden/>
    <w:qFormat/>
    <w:rsid w:val="00364B3D"/>
    <w:pPr>
      <w:outlineLvl w:val="5"/>
    </w:pPr>
  </w:style>
  <w:style w:type="paragraph" w:styleId="Heading7">
    <w:name w:val="heading 7"/>
    <w:basedOn w:val="Normal"/>
    <w:next w:val="Normal"/>
    <w:link w:val="Heading7Char"/>
    <w:semiHidden/>
    <w:qFormat/>
    <w:rsid w:val="00364B3D"/>
    <w:pPr>
      <w:outlineLvl w:val="6"/>
    </w:pPr>
  </w:style>
  <w:style w:type="paragraph" w:styleId="Heading8">
    <w:name w:val="heading 8"/>
    <w:basedOn w:val="Normal"/>
    <w:next w:val="Normal"/>
    <w:link w:val="Heading8Char"/>
    <w:semiHidden/>
    <w:qFormat/>
    <w:rsid w:val="00364B3D"/>
    <w:pPr>
      <w:outlineLvl w:val="7"/>
    </w:pPr>
  </w:style>
  <w:style w:type="paragraph" w:styleId="Heading9">
    <w:name w:val="heading 9"/>
    <w:basedOn w:val="Normal"/>
    <w:next w:val="Normal"/>
    <w:link w:val="Heading9Char"/>
    <w:semiHidden/>
    <w:qFormat/>
    <w:rsid w:val="00364B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64B3D"/>
    <w:pPr>
      <w:tabs>
        <w:tab w:val="center" w:pos="4153"/>
        <w:tab w:val="right" w:pos="8306"/>
      </w:tabs>
      <w:jc w:val="center"/>
    </w:pPr>
  </w:style>
  <w:style w:type="paragraph" w:styleId="Footer">
    <w:name w:val="footer"/>
    <w:basedOn w:val="Normal"/>
    <w:semiHidden/>
    <w:rsid w:val="002E17B6"/>
    <w:pPr>
      <w:tabs>
        <w:tab w:val="center" w:pos="4536"/>
        <w:tab w:val="right" w:pos="9072"/>
      </w:tabs>
      <w:jc w:val="center"/>
    </w:pPr>
    <w:rPr>
      <w:sz w:val="20"/>
    </w:rPr>
  </w:style>
  <w:style w:type="character" w:styleId="PageNumber">
    <w:name w:val="page number"/>
    <w:basedOn w:val="DefaultParagraphFont"/>
    <w:semiHidden/>
    <w:rsid w:val="00364B3D"/>
    <w:rPr>
      <w:rFonts w:ascii="Calibri" w:hAnsi="Calibri"/>
      <w:sz w:val="20"/>
    </w:rPr>
  </w:style>
  <w:style w:type="table" w:styleId="TableGrid">
    <w:name w:val="Table Grid"/>
    <w:basedOn w:val="TableNormal"/>
    <w:rsid w:val="0036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nageHeader">
    <w:name w:val="ImanageHeader"/>
    <w:basedOn w:val="Normal"/>
    <w:semiHidden/>
    <w:rsid w:val="003151CA"/>
    <w:pPr>
      <w:jc w:val="right"/>
    </w:pPr>
    <w:rPr>
      <w:sz w:val="20"/>
    </w:rPr>
  </w:style>
  <w:style w:type="paragraph" w:styleId="BodyText">
    <w:name w:val="Body Text"/>
    <w:basedOn w:val="Normal"/>
    <w:link w:val="BodyTextChar"/>
    <w:qFormat/>
    <w:rsid w:val="00364B3D"/>
    <w:pPr>
      <w:spacing w:after="240" w:line="264" w:lineRule="atLeast"/>
    </w:pPr>
  </w:style>
  <w:style w:type="paragraph" w:styleId="BodyTextIndent">
    <w:name w:val="Body Text Indent"/>
    <w:basedOn w:val="BodyText"/>
    <w:link w:val="BodyTextIndentChar"/>
    <w:qFormat/>
    <w:rsid w:val="00364B3D"/>
    <w:pPr>
      <w:ind w:left="709"/>
    </w:pPr>
  </w:style>
  <w:style w:type="paragraph" w:customStyle="1" w:styleId="Level1bullet">
    <w:name w:val="Level 1 bullet"/>
    <w:basedOn w:val="Normal"/>
    <w:rsid w:val="003C1978"/>
    <w:pPr>
      <w:numPr>
        <w:numId w:val="1"/>
      </w:numPr>
      <w:spacing w:before="120"/>
    </w:pPr>
  </w:style>
  <w:style w:type="paragraph" w:customStyle="1" w:styleId="Level2bullet">
    <w:name w:val="Level 2 bullet"/>
    <w:basedOn w:val="Normal"/>
    <w:rsid w:val="003C1978"/>
    <w:pPr>
      <w:numPr>
        <w:numId w:val="2"/>
      </w:numPr>
      <w:spacing w:before="120"/>
    </w:pPr>
  </w:style>
  <w:style w:type="paragraph" w:customStyle="1" w:styleId="Level3bullet">
    <w:name w:val="Level 3 bullet"/>
    <w:basedOn w:val="Normal"/>
    <w:semiHidden/>
    <w:rsid w:val="003C1978"/>
    <w:pPr>
      <w:numPr>
        <w:numId w:val="3"/>
      </w:numPr>
      <w:spacing w:before="120"/>
    </w:pPr>
  </w:style>
  <w:style w:type="paragraph" w:styleId="ListNumber">
    <w:name w:val="List Number"/>
    <w:basedOn w:val="Normal"/>
    <w:semiHidden/>
    <w:rsid w:val="003C1978"/>
    <w:pPr>
      <w:numPr>
        <w:numId w:val="4"/>
      </w:numPr>
    </w:pPr>
  </w:style>
  <w:style w:type="paragraph" w:customStyle="1" w:styleId="Numberedlist">
    <w:name w:val="Numbered list"/>
    <w:basedOn w:val="Normal"/>
    <w:semiHidden/>
    <w:rsid w:val="003C1978"/>
    <w:pPr>
      <w:numPr>
        <w:numId w:val="5"/>
      </w:numPr>
    </w:pPr>
  </w:style>
  <w:style w:type="paragraph" w:customStyle="1" w:styleId="Attachmentsheading">
    <w:name w:val="Attachments heading"/>
    <w:basedOn w:val="Normal"/>
    <w:next w:val="BodyText"/>
    <w:rsid w:val="00364B3D"/>
    <w:pPr>
      <w:keepNext/>
      <w:pageBreakBefore/>
      <w:numPr>
        <w:numId w:val="7"/>
      </w:numPr>
      <w:spacing w:after="120"/>
    </w:pPr>
    <w:rPr>
      <w:b/>
      <w:sz w:val="28"/>
    </w:rPr>
  </w:style>
  <w:style w:type="character" w:customStyle="1" w:styleId="BodyTextChar">
    <w:name w:val="Body Text Char"/>
    <w:basedOn w:val="DefaultParagraphFont"/>
    <w:link w:val="BodyText"/>
    <w:rsid w:val="00110B13"/>
    <w:rPr>
      <w:rFonts w:ascii="Calibri" w:hAnsi="Calibri"/>
      <w:sz w:val="24"/>
      <w:lang w:eastAsia="en-GB"/>
    </w:rPr>
  </w:style>
  <w:style w:type="character" w:customStyle="1" w:styleId="BodyTextIndentChar">
    <w:name w:val="Body Text Indent Char"/>
    <w:basedOn w:val="DefaultParagraphFont"/>
    <w:link w:val="BodyTextIndent"/>
    <w:rsid w:val="00110B13"/>
    <w:rPr>
      <w:rFonts w:ascii="Calibri" w:hAnsi="Calibri"/>
      <w:sz w:val="24"/>
      <w:lang w:eastAsia="en-GB"/>
    </w:rPr>
  </w:style>
  <w:style w:type="numbering" w:customStyle="1" w:styleId="Attachmentsliststyle">
    <w:name w:val="Attachments list style"/>
    <w:basedOn w:val="NoList"/>
    <w:uiPriority w:val="99"/>
    <w:rsid w:val="00364B3D"/>
    <w:pPr>
      <w:numPr>
        <w:numId w:val="6"/>
      </w:numPr>
    </w:pPr>
  </w:style>
  <w:style w:type="paragraph" w:styleId="BalloonText">
    <w:name w:val="Balloon Text"/>
    <w:basedOn w:val="Normal"/>
    <w:link w:val="BalloonTextChar"/>
    <w:semiHidden/>
    <w:rsid w:val="00364B3D"/>
    <w:rPr>
      <w:rFonts w:ascii="Tahoma" w:hAnsi="Tahoma" w:cs="Tahoma"/>
      <w:sz w:val="16"/>
      <w:szCs w:val="16"/>
    </w:rPr>
  </w:style>
  <w:style w:type="character" w:customStyle="1" w:styleId="BalloonTextChar">
    <w:name w:val="Balloon Text Char"/>
    <w:basedOn w:val="DefaultParagraphFont"/>
    <w:link w:val="BalloonText"/>
    <w:semiHidden/>
    <w:rsid w:val="00364B3D"/>
    <w:rPr>
      <w:rFonts w:ascii="Tahoma" w:hAnsi="Tahoma" w:cs="Tahoma"/>
      <w:sz w:val="16"/>
      <w:szCs w:val="16"/>
      <w:lang w:eastAsia="en-GB"/>
    </w:rPr>
  </w:style>
  <w:style w:type="paragraph" w:customStyle="1" w:styleId="Bullet">
    <w:name w:val="Bullet"/>
    <w:basedOn w:val="Normal"/>
    <w:qFormat/>
    <w:rsid w:val="00364B3D"/>
    <w:pPr>
      <w:numPr>
        <w:numId w:val="9"/>
      </w:numPr>
      <w:spacing w:after="240"/>
    </w:pPr>
  </w:style>
  <w:style w:type="numbering" w:customStyle="1" w:styleId="Bulletliststyle">
    <w:name w:val="Bullet list style"/>
    <w:basedOn w:val="NoList"/>
    <w:uiPriority w:val="99"/>
    <w:rsid w:val="00364B3D"/>
    <w:pPr>
      <w:numPr>
        <w:numId w:val="8"/>
      </w:numPr>
    </w:pPr>
  </w:style>
  <w:style w:type="paragraph" w:styleId="Date">
    <w:name w:val="Date"/>
    <w:basedOn w:val="Normal"/>
    <w:next w:val="BodyText"/>
    <w:link w:val="DateChar"/>
    <w:semiHidden/>
    <w:rsid w:val="00364B3D"/>
    <w:pPr>
      <w:spacing w:after="454"/>
    </w:pPr>
  </w:style>
  <w:style w:type="character" w:customStyle="1" w:styleId="DateChar">
    <w:name w:val="Date Char"/>
    <w:basedOn w:val="DefaultParagraphFont"/>
    <w:link w:val="Date"/>
    <w:semiHidden/>
    <w:rsid w:val="00364B3D"/>
    <w:rPr>
      <w:rFonts w:ascii="Calibri" w:hAnsi="Calibri"/>
      <w:sz w:val="24"/>
      <w:lang w:eastAsia="en-GB"/>
    </w:rPr>
  </w:style>
  <w:style w:type="paragraph" w:styleId="EnvelopeAddress">
    <w:name w:val="envelope address"/>
    <w:basedOn w:val="Normal"/>
    <w:semiHidden/>
    <w:rsid w:val="00364B3D"/>
    <w:pPr>
      <w:framePr w:w="7920" w:h="1980" w:hRule="exact" w:hSpace="180" w:wrap="auto" w:hAnchor="page" w:xAlign="center" w:yAlign="bottom"/>
      <w:ind w:left="2880"/>
    </w:pPr>
    <w:rPr>
      <w:rFonts w:cs="Arial"/>
    </w:rPr>
  </w:style>
  <w:style w:type="paragraph" w:styleId="EnvelopeReturn">
    <w:name w:val="envelope return"/>
    <w:basedOn w:val="Normal"/>
    <w:semiHidden/>
    <w:rsid w:val="00364B3D"/>
    <w:rPr>
      <w:rFonts w:cs="Arial"/>
      <w:color w:val="003366"/>
      <w:sz w:val="18"/>
      <w:szCs w:val="18"/>
    </w:rPr>
  </w:style>
  <w:style w:type="character" w:styleId="FootnoteReference">
    <w:name w:val="footnote reference"/>
    <w:basedOn w:val="DefaultParagraphFont"/>
    <w:rsid w:val="00364B3D"/>
    <w:rPr>
      <w:vertAlign w:val="superscript"/>
    </w:rPr>
  </w:style>
  <w:style w:type="paragraph" w:styleId="FootnoteText">
    <w:name w:val="footnote text"/>
    <w:basedOn w:val="Normal"/>
    <w:link w:val="FootnoteTextChar"/>
    <w:rsid w:val="00364B3D"/>
    <w:pPr>
      <w:ind w:left="425" w:hanging="425"/>
    </w:pPr>
    <w:rPr>
      <w:sz w:val="20"/>
    </w:rPr>
  </w:style>
  <w:style w:type="character" w:customStyle="1" w:styleId="FootnoteTextChar">
    <w:name w:val="Footnote Text Char"/>
    <w:basedOn w:val="DefaultParagraphFont"/>
    <w:link w:val="FootnoteText"/>
    <w:rsid w:val="005240A9"/>
    <w:rPr>
      <w:rFonts w:ascii="Calibri" w:hAnsi="Calibri"/>
      <w:lang w:eastAsia="en-GB"/>
    </w:rPr>
  </w:style>
  <w:style w:type="character" w:customStyle="1" w:styleId="Heading6Char">
    <w:name w:val="Heading 6 Char"/>
    <w:basedOn w:val="DefaultParagraphFont"/>
    <w:link w:val="Heading6"/>
    <w:semiHidden/>
    <w:rsid w:val="00364B3D"/>
    <w:rPr>
      <w:rFonts w:ascii="Calibri" w:hAnsi="Calibri"/>
      <w:sz w:val="24"/>
      <w:lang w:eastAsia="en-GB"/>
    </w:rPr>
  </w:style>
  <w:style w:type="character" w:customStyle="1" w:styleId="Heading7Char">
    <w:name w:val="Heading 7 Char"/>
    <w:basedOn w:val="DefaultParagraphFont"/>
    <w:link w:val="Heading7"/>
    <w:semiHidden/>
    <w:rsid w:val="00364B3D"/>
    <w:rPr>
      <w:rFonts w:ascii="Calibri" w:hAnsi="Calibri"/>
      <w:sz w:val="24"/>
      <w:lang w:eastAsia="en-GB"/>
    </w:rPr>
  </w:style>
  <w:style w:type="character" w:customStyle="1" w:styleId="Heading8Char">
    <w:name w:val="Heading 8 Char"/>
    <w:basedOn w:val="DefaultParagraphFont"/>
    <w:link w:val="Heading8"/>
    <w:semiHidden/>
    <w:rsid w:val="00364B3D"/>
    <w:rPr>
      <w:rFonts w:ascii="Calibri" w:hAnsi="Calibri"/>
      <w:sz w:val="24"/>
      <w:lang w:eastAsia="en-GB"/>
    </w:rPr>
  </w:style>
  <w:style w:type="character" w:customStyle="1" w:styleId="Heading9Char">
    <w:name w:val="Heading 9 Char"/>
    <w:basedOn w:val="DefaultParagraphFont"/>
    <w:link w:val="Heading9"/>
    <w:semiHidden/>
    <w:rsid w:val="00364B3D"/>
    <w:rPr>
      <w:rFonts w:ascii="Calibri" w:hAnsi="Calibri"/>
      <w:sz w:val="24"/>
      <w:lang w:eastAsia="en-GB"/>
    </w:rPr>
  </w:style>
  <w:style w:type="character" w:styleId="Hyperlink">
    <w:name w:val="Hyperlink"/>
    <w:basedOn w:val="DefaultParagraphFont"/>
    <w:semiHidden/>
    <w:rsid w:val="00364B3D"/>
    <w:rPr>
      <w:color w:val="0000FF"/>
      <w:u w:val="single"/>
    </w:rPr>
  </w:style>
  <w:style w:type="paragraph" w:styleId="List">
    <w:name w:val="List"/>
    <w:basedOn w:val="BodyText"/>
    <w:semiHidden/>
    <w:rsid w:val="00364B3D"/>
    <w:pPr>
      <w:numPr>
        <w:numId w:val="10"/>
      </w:numPr>
    </w:pPr>
  </w:style>
  <w:style w:type="paragraph" w:styleId="ListBullet">
    <w:name w:val="List Bullet"/>
    <w:basedOn w:val="BodyText"/>
    <w:semiHidden/>
    <w:rsid w:val="00364B3D"/>
  </w:style>
  <w:style w:type="paragraph" w:styleId="ListBullet2">
    <w:name w:val="List Bullet 2"/>
    <w:basedOn w:val="BodyText"/>
    <w:rsid w:val="00364B3D"/>
  </w:style>
  <w:style w:type="paragraph" w:styleId="ListBullet3">
    <w:name w:val="List Bullet 3"/>
    <w:basedOn w:val="BodyText"/>
    <w:semiHidden/>
    <w:rsid w:val="00364B3D"/>
  </w:style>
  <w:style w:type="numbering" w:customStyle="1" w:styleId="Outlinestyle">
    <w:name w:val="Outline style"/>
    <w:basedOn w:val="NoList"/>
    <w:uiPriority w:val="99"/>
    <w:rsid w:val="00364B3D"/>
    <w:pPr>
      <w:numPr>
        <w:numId w:val="11"/>
      </w:numPr>
    </w:pPr>
  </w:style>
  <w:style w:type="paragraph" w:customStyle="1" w:styleId="Para1">
    <w:name w:val="Para 1"/>
    <w:basedOn w:val="BodyText"/>
    <w:qFormat/>
    <w:rsid w:val="006B320F"/>
    <w:pPr>
      <w:numPr>
        <w:numId w:val="12"/>
      </w:numPr>
    </w:pPr>
  </w:style>
  <w:style w:type="paragraph" w:customStyle="1" w:styleId="Para2">
    <w:name w:val="Para 2"/>
    <w:basedOn w:val="BodyText"/>
    <w:qFormat/>
    <w:rsid w:val="006B320F"/>
    <w:pPr>
      <w:numPr>
        <w:ilvl w:val="1"/>
        <w:numId w:val="12"/>
      </w:numPr>
    </w:pPr>
  </w:style>
  <w:style w:type="paragraph" w:customStyle="1" w:styleId="Para3">
    <w:name w:val="Para 3"/>
    <w:basedOn w:val="Para2"/>
    <w:qFormat/>
    <w:rsid w:val="00364B3D"/>
    <w:pPr>
      <w:numPr>
        <w:ilvl w:val="2"/>
      </w:numPr>
    </w:pPr>
  </w:style>
  <w:style w:type="paragraph" w:customStyle="1" w:styleId="Para4">
    <w:name w:val="Para 4"/>
    <w:basedOn w:val="Para3"/>
    <w:qFormat/>
    <w:rsid w:val="00364B3D"/>
    <w:pPr>
      <w:numPr>
        <w:ilvl w:val="3"/>
      </w:numPr>
    </w:pPr>
  </w:style>
  <w:style w:type="paragraph" w:customStyle="1" w:styleId="Para5">
    <w:name w:val="Para 5"/>
    <w:basedOn w:val="Para4"/>
    <w:qFormat/>
    <w:rsid w:val="00364B3D"/>
    <w:pPr>
      <w:numPr>
        <w:ilvl w:val="4"/>
      </w:numPr>
    </w:pPr>
  </w:style>
  <w:style w:type="paragraph" w:customStyle="1" w:styleId="Quotation">
    <w:name w:val="Quotation"/>
    <w:basedOn w:val="BodyText"/>
    <w:qFormat/>
    <w:rsid w:val="00EC0369"/>
    <w:pPr>
      <w:ind w:left="709" w:right="709"/>
    </w:pPr>
    <w:rPr>
      <w:sz w:val="20"/>
    </w:rPr>
  </w:style>
  <w:style w:type="paragraph" w:customStyle="1" w:styleId="Singlespacedparagraph">
    <w:name w:val="Single spaced paragraph"/>
    <w:basedOn w:val="Normal"/>
    <w:qFormat/>
    <w:rsid w:val="00364B3D"/>
  </w:style>
  <w:style w:type="paragraph" w:customStyle="1" w:styleId="Tablebodytext">
    <w:name w:val="Table body text"/>
    <w:basedOn w:val="BodyText"/>
    <w:qFormat/>
    <w:rsid w:val="00364B3D"/>
    <w:rPr>
      <w:rFonts w:cs="Arial"/>
      <w:szCs w:val="17"/>
    </w:rPr>
  </w:style>
  <w:style w:type="paragraph" w:customStyle="1" w:styleId="Tablebullet">
    <w:name w:val="Table bullet"/>
    <w:basedOn w:val="Tablebodytext"/>
    <w:qFormat/>
    <w:rsid w:val="00364B3D"/>
    <w:pPr>
      <w:numPr>
        <w:numId w:val="14"/>
      </w:numPr>
    </w:pPr>
  </w:style>
  <w:style w:type="numbering" w:customStyle="1" w:styleId="Tablebulletlist">
    <w:name w:val="Table bullet list"/>
    <w:uiPriority w:val="99"/>
    <w:rsid w:val="00364B3D"/>
    <w:pPr>
      <w:numPr>
        <w:numId w:val="13"/>
      </w:numPr>
    </w:pPr>
  </w:style>
  <w:style w:type="paragraph" w:customStyle="1" w:styleId="Tableheading">
    <w:name w:val="Table heading"/>
    <w:basedOn w:val="Tablebodytext"/>
    <w:qFormat/>
    <w:rsid w:val="00364B3D"/>
    <w:pPr>
      <w:keepNext/>
      <w:spacing w:after="60"/>
      <w:jc w:val="center"/>
    </w:pPr>
    <w:rPr>
      <w:b/>
    </w:rPr>
  </w:style>
  <w:style w:type="paragraph" w:customStyle="1" w:styleId="Tablenumberedlist">
    <w:name w:val="Table numbered list"/>
    <w:basedOn w:val="Tablebodytext"/>
    <w:qFormat/>
    <w:rsid w:val="00364B3D"/>
    <w:pPr>
      <w:numPr>
        <w:numId w:val="15"/>
      </w:numPr>
    </w:pPr>
  </w:style>
  <w:style w:type="paragraph" w:styleId="TableofAuthorities">
    <w:name w:val="table of authorities"/>
    <w:basedOn w:val="Normal"/>
    <w:next w:val="Normal"/>
    <w:semiHidden/>
    <w:rsid w:val="00364B3D"/>
    <w:pPr>
      <w:ind w:left="200" w:hanging="200"/>
    </w:pPr>
  </w:style>
  <w:style w:type="paragraph" w:styleId="Title">
    <w:name w:val="Title"/>
    <w:basedOn w:val="Normal"/>
    <w:next w:val="BodyText"/>
    <w:link w:val="TitleChar"/>
    <w:qFormat/>
    <w:rsid w:val="00364B3D"/>
    <w:pPr>
      <w:keepNext/>
      <w:spacing w:after="240"/>
    </w:pPr>
    <w:rPr>
      <w:b/>
      <w:sz w:val="36"/>
    </w:rPr>
  </w:style>
  <w:style w:type="character" w:customStyle="1" w:styleId="TitleChar">
    <w:name w:val="Title Char"/>
    <w:basedOn w:val="DefaultParagraphFont"/>
    <w:link w:val="Title"/>
    <w:rsid w:val="00364B3D"/>
    <w:rPr>
      <w:rFonts w:ascii="Calibri" w:hAnsi="Calibri"/>
      <w:b/>
      <w:sz w:val="36"/>
      <w:lang w:eastAsia="en-GB"/>
    </w:rPr>
  </w:style>
  <w:style w:type="paragraph" w:styleId="TOC1">
    <w:name w:val="toc 1"/>
    <w:basedOn w:val="Normal"/>
    <w:next w:val="Normal"/>
    <w:autoRedefine/>
    <w:semiHidden/>
    <w:rsid w:val="00364B3D"/>
    <w:pPr>
      <w:tabs>
        <w:tab w:val="left" w:pos="851"/>
        <w:tab w:val="right" w:pos="8505"/>
      </w:tabs>
      <w:spacing w:before="227"/>
    </w:pPr>
    <w:rPr>
      <w:b/>
    </w:rPr>
  </w:style>
  <w:style w:type="paragraph" w:styleId="TOC2">
    <w:name w:val="toc 2"/>
    <w:basedOn w:val="TOC1"/>
    <w:next w:val="Normal"/>
    <w:autoRedefine/>
    <w:semiHidden/>
    <w:rsid w:val="00364B3D"/>
    <w:pPr>
      <w:spacing w:before="0"/>
    </w:pPr>
    <w:rPr>
      <w:b w:val="0"/>
    </w:rPr>
  </w:style>
  <w:style w:type="paragraph" w:styleId="TOC3">
    <w:name w:val="toc 3"/>
    <w:basedOn w:val="TOC2"/>
    <w:autoRedefine/>
    <w:semiHidden/>
    <w:rsid w:val="00364B3D"/>
  </w:style>
  <w:style w:type="paragraph" w:customStyle="1" w:styleId="zContactdetails">
    <w:name w:val="z_Contact details"/>
    <w:basedOn w:val="BodyText"/>
    <w:semiHidden/>
    <w:rsid w:val="00364B3D"/>
    <w:pPr>
      <w:spacing w:after="120"/>
    </w:pPr>
  </w:style>
  <w:style w:type="paragraph" w:customStyle="1" w:styleId="zContactheadings">
    <w:name w:val="z_Contact headings"/>
    <w:basedOn w:val="BodyText"/>
    <w:semiHidden/>
    <w:rsid w:val="00364B3D"/>
    <w:pPr>
      <w:spacing w:after="120"/>
    </w:pPr>
    <w:rPr>
      <w:b/>
    </w:rPr>
  </w:style>
  <w:style w:type="paragraph" w:customStyle="1" w:styleId="zInstructions">
    <w:name w:val="z_Instructions"/>
    <w:basedOn w:val="BodyText"/>
    <w:semiHidden/>
    <w:rsid w:val="00364B3D"/>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364B3D"/>
    <w:pPr>
      <w:numPr>
        <w:numId w:val="17"/>
      </w:numPr>
    </w:pPr>
  </w:style>
  <w:style w:type="numbering" w:customStyle="1" w:styleId="zInstructionsbulletlist">
    <w:name w:val="z_Instructions bullet list"/>
    <w:basedOn w:val="NoList"/>
    <w:uiPriority w:val="99"/>
    <w:rsid w:val="00364B3D"/>
    <w:pPr>
      <w:numPr>
        <w:numId w:val="16"/>
      </w:numPr>
    </w:pPr>
  </w:style>
  <w:style w:type="paragraph" w:customStyle="1" w:styleId="zPagename">
    <w:name w:val="z_Page name"/>
    <w:basedOn w:val="Title"/>
    <w:next w:val="BodyText"/>
    <w:semiHidden/>
    <w:rsid w:val="00AB6692"/>
    <w:pPr>
      <w:pageBreakBefore/>
      <w:spacing w:before="720"/>
    </w:pPr>
  </w:style>
  <w:style w:type="paragraph" w:customStyle="1" w:styleId="zFileRef">
    <w:name w:val="z_File Ref"/>
    <w:basedOn w:val="Normal"/>
    <w:semiHidden/>
    <w:rsid w:val="00A3647C"/>
    <w:pPr>
      <w:jc w:val="right"/>
    </w:pPr>
  </w:style>
  <w:style w:type="paragraph" w:customStyle="1" w:styleId="zDear">
    <w:name w:val="z_Dear"/>
    <w:basedOn w:val="Normal"/>
    <w:semiHidden/>
    <w:rsid w:val="003C5A22"/>
    <w:pPr>
      <w:spacing w:before="480" w:after="240"/>
    </w:pPr>
  </w:style>
  <w:style w:type="paragraph" w:customStyle="1" w:styleId="zSubject">
    <w:name w:val="z_Subject"/>
    <w:basedOn w:val="Normal"/>
    <w:semiHidden/>
    <w:rsid w:val="000D5EA9"/>
    <w:pPr>
      <w:spacing w:after="240"/>
    </w:pPr>
    <w:rPr>
      <w:b/>
    </w:rPr>
  </w:style>
  <w:style w:type="paragraph" w:customStyle="1" w:styleId="zSignOffYoursSincerely">
    <w:name w:val="z_Sign Off Yours Sincerely"/>
    <w:basedOn w:val="Normal"/>
    <w:semiHidden/>
    <w:rsid w:val="003C5A22"/>
    <w:pPr>
      <w:spacing w:after="240"/>
    </w:pPr>
  </w:style>
  <w:style w:type="paragraph" w:customStyle="1" w:styleId="zCopiesTo">
    <w:name w:val="z_Copies To"/>
    <w:basedOn w:val="Normal"/>
    <w:semiHidden/>
    <w:rsid w:val="003C5A22"/>
    <w:pPr>
      <w:spacing w:before="240"/>
    </w:pPr>
  </w:style>
  <w:style w:type="character" w:styleId="CommentReference">
    <w:name w:val="annotation reference"/>
    <w:basedOn w:val="DefaultParagraphFont"/>
    <w:semiHidden/>
    <w:rsid w:val="008E4795"/>
    <w:rPr>
      <w:sz w:val="16"/>
      <w:szCs w:val="16"/>
    </w:rPr>
  </w:style>
  <w:style w:type="paragraph" w:styleId="CommentText">
    <w:name w:val="annotation text"/>
    <w:basedOn w:val="Normal"/>
    <w:link w:val="CommentTextChar"/>
    <w:semiHidden/>
    <w:rsid w:val="008E4795"/>
    <w:rPr>
      <w:sz w:val="20"/>
    </w:rPr>
  </w:style>
  <w:style w:type="character" w:customStyle="1" w:styleId="CommentTextChar">
    <w:name w:val="Comment Text Char"/>
    <w:basedOn w:val="DefaultParagraphFont"/>
    <w:link w:val="CommentText"/>
    <w:semiHidden/>
    <w:rsid w:val="008E4795"/>
    <w:rPr>
      <w:rFonts w:ascii="Calibri" w:hAnsi="Calibri"/>
      <w:lang w:eastAsia="en-GB"/>
    </w:rPr>
  </w:style>
  <w:style w:type="paragraph" w:styleId="CommentSubject">
    <w:name w:val="annotation subject"/>
    <w:basedOn w:val="CommentText"/>
    <w:next w:val="CommentText"/>
    <w:link w:val="CommentSubjectChar"/>
    <w:semiHidden/>
    <w:rsid w:val="008E4795"/>
    <w:rPr>
      <w:b/>
      <w:bCs/>
    </w:rPr>
  </w:style>
  <w:style w:type="character" w:customStyle="1" w:styleId="CommentSubjectChar">
    <w:name w:val="Comment Subject Char"/>
    <w:basedOn w:val="CommentTextChar"/>
    <w:link w:val="CommentSubject"/>
    <w:semiHidden/>
    <w:rsid w:val="008E4795"/>
    <w:rPr>
      <w:rFonts w:ascii="Calibri" w:hAnsi="Calibri"/>
      <w:b/>
      <w:bCs/>
      <w:lang w:eastAsia="en-GB"/>
    </w:rPr>
  </w:style>
  <w:style w:type="paragraph" w:styleId="ListParagraph">
    <w:name w:val="List Paragraph"/>
    <w:basedOn w:val="Normal"/>
    <w:uiPriority w:val="34"/>
    <w:qFormat/>
    <w:rsid w:val="00F277FE"/>
    <w:pPr>
      <w:ind w:left="720"/>
      <w:contextualSpacing/>
    </w:pPr>
  </w:style>
  <w:style w:type="paragraph" w:styleId="Revision">
    <w:name w:val="Revision"/>
    <w:hidden/>
    <w:uiPriority w:val="99"/>
    <w:semiHidden/>
    <w:rsid w:val="00A94738"/>
    <w:rPr>
      <w:rFonts w:ascii="Calibri" w:hAnsi="Calibri"/>
      <w:sz w:val="24"/>
      <w:lang w:eastAsia="en-GB"/>
    </w:rPr>
  </w:style>
  <w:style w:type="character" w:customStyle="1" w:styleId="Heading1Char">
    <w:name w:val="Heading 1 Char"/>
    <w:basedOn w:val="DefaultParagraphFont"/>
    <w:link w:val="Heading1"/>
    <w:rsid w:val="00201E35"/>
    <w:rPr>
      <w:rFonts w:ascii="Calibri" w:hAnsi="Calibri"/>
      <w:b/>
      <w:sz w:val="28"/>
      <w:lang w:eastAsia="en-GB"/>
    </w:rPr>
  </w:style>
  <w:style w:type="character" w:customStyle="1" w:styleId="Heading2Char">
    <w:name w:val="Heading 2 Char"/>
    <w:basedOn w:val="DefaultParagraphFont"/>
    <w:link w:val="Heading2"/>
    <w:rsid w:val="00201E35"/>
    <w:rPr>
      <w:rFonts w:ascii="Calibri" w:hAnsi="Calibri"/>
      <w:b/>
      <w:sz w:val="24"/>
      <w:lang w:eastAsia="en-GB"/>
    </w:rPr>
  </w:style>
  <w:style w:type="character" w:customStyle="1" w:styleId="Heading3Char">
    <w:name w:val="Heading 3 Char"/>
    <w:basedOn w:val="DefaultParagraphFont"/>
    <w:link w:val="Heading3"/>
    <w:rsid w:val="00201E35"/>
    <w:rPr>
      <w:rFonts w:ascii="Calibri" w:hAnsi="Calibri"/>
      <w: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Tablebulletlist"/>
    <w:pPr>
      <w:numPr>
        <w:numId w:val="13"/>
      </w:numPr>
    </w:pPr>
  </w:style>
  <w:style w:type="numbering" w:customStyle="1" w:styleId="Footer">
    <w:name w:val="Outlinestyle"/>
    <w:pPr>
      <w:numPr>
        <w:numId w:val="11"/>
      </w:numPr>
    </w:pPr>
  </w:style>
  <w:style w:type="numbering" w:customStyle="1" w:styleId="PageNumber">
    <w:name w:val="zInstructionsbulletlist"/>
    <w:pPr>
      <w:numPr>
        <w:numId w:val="16"/>
      </w:numPr>
    </w:pPr>
  </w:style>
  <w:style w:type="numbering" w:customStyle="1" w:styleId="TableGrid">
    <w:name w:val="Attachmentsliststyle"/>
    <w:pPr>
      <w:numPr>
        <w:numId w:val="6"/>
      </w:numPr>
    </w:pPr>
  </w:style>
  <w:style w:type="numbering" w:customStyle="1" w:styleId="ImanageHeader">
    <w:name w:val="Bulletliststyl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365">
      <w:bodyDiv w:val="1"/>
      <w:marLeft w:val="0"/>
      <w:marRight w:val="0"/>
      <w:marTop w:val="0"/>
      <w:marBottom w:val="0"/>
      <w:divBdr>
        <w:top w:val="none" w:sz="0" w:space="0" w:color="auto"/>
        <w:left w:val="none" w:sz="0" w:space="0" w:color="auto"/>
        <w:bottom w:val="none" w:sz="0" w:space="0" w:color="auto"/>
        <w:right w:val="none" w:sz="0" w:space="0" w:color="auto"/>
      </w:divBdr>
    </w:div>
    <w:div w:id="107353296">
      <w:bodyDiv w:val="1"/>
      <w:marLeft w:val="0"/>
      <w:marRight w:val="0"/>
      <w:marTop w:val="0"/>
      <w:marBottom w:val="0"/>
      <w:divBdr>
        <w:top w:val="none" w:sz="0" w:space="0" w:color="auto"/>
        <w:left w:val="none" w:sz="0" w:space="0" w:color="auto"/>
        <w:bottom w:val="none" w:sz="0" w:space="0" w:color="auto"/>
        <w:right w:val="none" w:sz="0" w:space="0" w:color="auto"/>
      </w:divBdr>
    </w:div>
    <w:div w:id="375203856">
      <w:bodyDiv w:val="1"/>
      <w:marLeft w:val="0"/>
      <w:marRight w:val="0"/>
      <w:marTop w:val="0"/>
      <w:marBottom w:val="0"/>
      <w:divBdr>
        <w:top w:val="none" w:sz="0" w:space="0" w:color="auto"/>
        <w:left w:val="none" w:sz="0" w:space="0" w:color="auto"/>
        <w:bottom w:val="none" w:sz="0" w:space="0" w:color="auto"/>
        <w:right w:val="none" w:sz="0" w:space="0" w:color="auto"/>
      </w:divBdr>
    </w:div>
    <w:div w:id="17720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gulation.branch@comcom.govt.nz" TargetMode="External"/><Relationship Id="rId4" Type="http://schemas.microsoft.com/office/2007/relationships/stylesWithEffects" Target="stylesWithEffects.xml"/><Relationship Id="rId9" Type="http://schemas.openxmlformats.org/officeDocument/2006/relationships/hyperlink" Target="mailto:regulation.branch@comcom.govt.n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Templates\LTRG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22438-3443-4B29-81E0-C36F5784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LTRGEN.dotm</Template>
  <TotalTime>2</TotalTime>
  <Pages>9</Pages>
  <Words>1693</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AuthoDox Limited</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aaadmin</dc:creator>
  <dc:description>Last updated 3 November 2011. Released 2 November 2011</dc:description>
  <cp:lastModifiedBy>hazelb</cp:lastModifiedBy>
  <cp:revision>3</cp:revision>
  <cp:lastPrinted>2014-08-12T22:47:00Z</cp:lastPrinted>
  <dcterms:created xsi:type="dcterms:W3CDTF">2014-08-12T23:37:00Z</dcterms:created>
  <dcterms:modified xsi:type="dcterms:W3CDTF">2014-08-13T02:31:00Z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umentDesc">
    <vt:lpwstr>[UPDATED] s53ZD notice 2015 DPP reset request - August 2014 DRAFT</vt:lpwstr>
  </property>
  <property fmtid="{D5CDD505-2E9C-101B-9397-08002B2CF9AE}" pid="3" name="imAuthorInitials">
    <vt:lpwstr>JAMESMU</vt:lpwstr>
  </property>
  <property fmtid="{D5CDD505-2E9C-101B-9397-08002B2CF9AE}" pid="4" name="imAuthorName">
    <vt:lpwstr>James Mulrennan</vt:lpwstr>
  </property>
  <property fmtid="{D5CDD505-2E9C-101B-9397-08002B2CF9AE}" pid="5" name="imAuthorFax">
    <vt:lpwstr/>
  </property>
  <property fmtid="{D5CDD505-2E9C-101B-9397-08002B2CF9AE}" pid="6" name="imAuthorPhone">
    <vt:lpwstr/>
  </property>
  <property fmtid="{D5CDD505-2E9C-101B-9397-08002B2CF9AE}" pid="7" name="imAuthorEmail">
    <vt:lpwstr>James.Mulrennan@comcom.govt.nz</vt:lpwstr>
  </property>
  <property fmtid="{D5CDD505-2E9C-101B-9397-08002B2CF9AE}" pid="8" name="imType">
    <vt:lpwstr>LETTERS</vt:lpwstr>
  </property>
  <property fmtid="{D5CDD505-2E9C-101B-9397-08002B2CF9AE}" pid="9" name="imSubType">
    <vt:lpwstr/>
  </property>
  <property fmtid="{D5CDD505-2E9C-101B-9397-08002B2CF9AE}" pid="10" name="imOutput">
    <vt:lpwstr>14.07</vt:lpwstr>
  </property>
  <property fmtid="{D5CDD505-2E9C-101B-9397-08002B2CF9AE}" pid="11" name="imProjectNo">
    <vt:lpwstr>14118</vt:lpwstr>
  </property>
  <property fmtid="{D5CDD505-2E9C-101B-9397-08002B2CF9AE}" pid="12" name="imClassification">
    <vt:lpwstr>In-Confidence - Internal use only</vt:lpwstr>
  </property>
  <property fmtid="{D5CDD505-2E9C-101B-9397-08002B2CF9AE}" pid="13" name="imStatus">
    <vt:lpwstr/>
  </property>
  <property fmtid="{D5CDD505-2E9C-101B-9397-08002B2CF9AE}" pid="14" name="imForeMostNo">
    <vt:lpwstr>ACA-14.07-14118-02</vt:lpwstr>
  </property>
  <property fmtid="{D5CDD505-2E9C-101B-9397-08002B2CF9AE}" pid="15" name="imOperatorInitials">
    <vt:lpwstr>JAMESMU</vt:lpwstr>
  </property>
  <property fmtid="{D5CDD505-2E9C-101B-9397-08002B2CF9AE}" pid="16" name="imOperatorName">
    <vt:lpwstr>James Mulrennan</vt:lpwstr>
  </property>
  <property fmtid="{D5CDD505-2E9C-101B-9397-08002B2CF9AE}" pid="17" name="imOperatorPhone">
    <vt:lpwstr/>
  </property>
  <property fmtid="{D5CDD505-2E9C-101B-9397-08002B2CF9AE}" pid="18" name="imApplication">
    <vt:lpwstr>WORDX</vt:lpwstr>
  </property>
  <property fmtid="{D5CDD505-2E9C-101B-9397-08002B2CF9AE}" pid="19" name="imPartiesTo">
    <vt:lpwstr/>
  </property>
  <property fmtid="{D5CDD505-2E9C-101B-9397-08002B2CF9AE}" pid="20" name="imPartiesFrom">
    <vt:lpwstr/>
  </property>
  <property fmtid="{D5CDD505-2E9C-101B-9397-08002B2CF9AE}" pid="21" name="imDocumentDate">
    <vt:filetime>1899-12-29T12:00:00Z</vt:filetime>
  </property>
  <property fmtid="{D5CDD505-2E9C-101B-9397-08002B2CF9AE}" pid="22" name="iManageDocumentNumber">
    <vt:lpwstr>999999-</vt:lpwstr>
  </property>
  <property fmtid="{D5CDD505-2E9C-101B-9397-08002B2CF9AE}" pid="23" name="iManageDocumentVersion">
    <vt:lpwstr>9</vt:lpwstr>
  </property>
</Properties>
</file>