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B9E" w:rsidP="00760B9E" w:rsidRDefault="00760B9E" w14:paraId="73423F31" w14:textId="77777777">
      <w:pPr>
        <w:pStyle w:val="BodyText"/>
      </w:pPr>
    </w:p>
    <w:p w:rsidR="0076748A" w:rsidP="0076748A" w:rsidRDefault="0076748A" w14:paraId="09EDC368" w14:textId="08DBCC88">
      <w:pPr>
        <w:pStyle w:val="Heading1"/>
      </w:pPr>
      <w:r>
        <w:t>Project eligibility assessment (PEA)</w:t>
      </w:r>
      <w:r w:rsidR="00CB1074">
        <w:t xml:space="preserve"> and guidance for</w:t>
      </w:r>
      <w:r w:rsidR="00D12E82">
        <w:t xml:space="preserve"> </w:t>
      </w:r>
      <w:r w:rsidR="00CB1074">
        <w:t>applying for the I</w:t>
      </w:r>
      <w:r w:rsidR="00D12E82">
        <w:t>nno</w:t>
      </w:r>
      <w:r w:rsidR="005606B7">
        <w:t xml:space="preserve">vation and non-traditional solutions allowance (INTSA) </w:t>
      </w:r>
    </w:p>
    <w:p w:rsidR="00DC0523" w:rsidP="00DC58BD" w:rsidRDefault="00985ECC" w14:paraId="7906EEA0" w14:textId="23472C7E">
      <w:pPr>
        <w:pStyle w:val="BodyText"/>
      </w:pPr>
      <w:r>
        <w:t>Please note</w:t>
      </w:r>
      <w:r w:rsidR="002125EC">
        <w:t xml:space="preserve"> when reading this document:</w:t>
      </w:r>
      <w:r w:rsidR="00DC0523">
        <w:t xml:space="preserve"> </w:t>
      </w:r>
    </w:p>
    <w:p w:rsidR="00DC58BD" w:rsidP="005F0BF0" w:rsidRDefault="00DC58BD" w14:paraId="60B73E07" w14:textId="5C9D7B21">
      <w:pPr>
        <w:pStyle w:val="BodyText"/>
        <w:numPr>
          <w:ilvl w:val="0"/>
          <w:numId w:val="32"/>
        </w:numPr>
      </w:pPr>
      <w:r w:rsidRPr="00DC58BD">
        <w:t xml:space="preserve">We are still considering submissions and cross-submissions on </w:t>
      </w:r>
      <w:r w:rsidR="00691F1E">
        <w:t>our</w:t>
      </w:r>
      <w:r w:rsidRPr="00DC58BD">
        <w:t xml:space="preserve"> draft </w:t>
      </w:r>
      <w:r w:rsidR="00691F1E">
        <w:t xml:space="preserve">decision and determination for the </w:t>
      </w:r>
      <w:r w:rsidR="004365D2">
        <w:t xml:space="preserve">default price-quality path </w:t>
      </w:r>
      <w:r w:rsidR="005F0BF0">
        <w:t>for electricity distribution businesses</w:t>
      </w:r>
      <w:r w:rsidR="00367FF5">
        <w:t xml:space="preserve"> (EDBs)</w:t>
      </w:r>
      <w:r w:rsidR="005F0BF0">
        <w:t xml:space="preserve"> from 1 April 2025 (</w:t>
      </w:r>
      <w:r w:rsidRPr="00DC58BD">
        <w:t>DPP4</w:t>
      </w:r>
      <w:r w:rsidR="00691F1E">
        <w:t>)</w:t>
      </w:r>
      <w:r w:rsidRPr="00DC58BD">
        <w:t xml:space="preserve">, including in relation to the draft INTSA. This means that </w:t>
      </w:r>
      <w:r>
        <w:t>this guidance</w:t>
      </w:r>
      <w:r w:rsidR="00BB75DC">
        <w:t xml:space="preserve"> (and PEA template)</w:t>
      </w:r>
      <w:r w:rsidRPr="00DC58BD">
        <w:t xml:space="preserve"> is based on the draft INTSA requirements and may be subject to change if submissions and/or cross-submissions prompt us to change the draft INTSA.</w:t>
      </w:r>
    </w:p>
    <w:p w:rsidRPr="0058504A" w:rsidR="00DC58BD" w:rsidP="00F60878" w:rsidRDefault="00D90A5F" w14:paraId="24926B6F" w14:textId="5387B1B4">
      <w:pPr>
        <w:pStyle w:val="BodyText"/>
        <w:numPr>
          <w:ilvl w:val="0"/>
          <w:numId w:val="32"/>
        </w:numPr>
      </w:pPr>
      <w:r>
        <w:t xml:space="preserve">This document </w:t>
      </w:r>
      <w:r w:rsidRPr="00D90A5F">
        <w:t>provides guidance only. It is not intended to be definitive and should not be used in place of legal advice.</w:t>
      </w:r>
    </w:p>
    <w:p w:rsidR="001C332D" w:rsidP="001C332D" w:rsidRDefault="00333364" w14:paraId="15892A43" w14:textId="6F5AF681">
      <w:pPr>
        <w:pStyle w:val="Heading2"/>
      </w:pPr>
      <w:r>
        <w:t xml:space="preserve">Background </w:t>
      </w:r>
    </w:p>
    <w:p w:rsidR="00333364" w:rsidP="00FF5DF8" w:rsidRDefault="00333364" w14:paraId="75B57D67" w14:textId="6942B70B">
      <w:pPr>
        <w:pStyle w:val="Para1"/>
      </w:pPr>
      <w:r>
        <w:t>This document is intended for</w:t>
      </w:r>
      <w:r w:rsidR="00326A50">
        <w:t xml:space="preserve"> the use of</w:t>
      </w:r>
      <w:r>
        <w:t xml:space="preserve"> EDBs who </w:t>
      </w:r>
      <w:proofErr w:type="gramStart"/>
      <w:r>
        <w:t>are price-quality</w:t>
      </w:r>
      <w:proofErr w:type="gramEnd"/>
      <w:r>
        <w:t xml:space="preserve"> regulated under Part 4 of the Commerce Act</w:t>
      </w:r>
      <w:r w:rsidR="005604E5">
        <w:t xml:space="preserve"> (Act)</w:t>
      </w:r>
      <w:r>
        <w:t xml:space="preserve">. It </w:t>
      </w:r>
      <w:r w:rsidR="00D9308F">
        <w:t xml:space="preserve">would </w:t>
      </w:r>
      <w:r>
        <w:t>provide guidance and a voluntary template for EDBs to u</w:t>
      </w:r>
      <w:r w:rsidR="00D9308F">
        <w:t xml:space="preserve">se if they were to </w:t>
      </w:r>
      <w:r>
        <w:t xml:space="preserve">apply for the </w:t>
      </w:r>
      <w:r w:rsidR="00D9308F">
        <w:t xml:space="preserve">draft </w:t>
      </w:r>
      <w:r>
        <w:t xml:space="preserve">INTSA during the </w:t>
      </w:r>
      <w:r w:rsidR="006A1D22">
        <w:t>DPP4</w:t>
      </w:r>
      <w:r w:rsidR="00367FF5">
        <w:t xml:space="preserve"> regulatory period</w:t>
      </w:r>
      <w:r>
        <w:t xml:space="preserve">. </w:t>
      </w:r>
    </w:p>
    <w:p w:rsidR="00403333" w:rsidP="00FF5DF8" w:rsidRDefault="00403333" w14:paraId="446352C0" w14:textId="63337048">
      <w:pPr>
        <w:pStyle w:val="Para1"/>
      </w:pPr>
      <w:r>
        <w:t>This document is split into three sections:</w:t>
      </w:r>
    </w:p>
    <w:p w:rsidR="00403333" w:rsidP="00403333" w:rsidRDefault="00910C6A" w14:paraId="64E84E75" w14:textId="724D5C25">
      <w:pPr>
        <w:pStyle w:val="Para2"/>
      </w:pPr>
      <w:r>
        <w:t xml:space="preserve">The first is </w:t>
      </w:r>
      <w:r w:rsidRPr="00910C6A">
        <w:rPr>
          <w:b/>
          <w:bCs/>
        </w:rPr>
        <w:t>background</w:t>
      </w:r>
      <w:r w:rsidR="00393F26">
        <w:t xml:space="preserve">, including an </w:t>
      </w:r>
      <w:r>
        <w:t xml:space="preserve">explanation of what a PEA is. </w:t>
      </w:r>
    </w:p>
    <w:p w:rsidRPr="00393F26" w:rsidR="00910C6A" w:rsidP="00403333" w:rsidRDefault="00910C6A" w14:paraId="2BE5399A" w14:textId="5BD8F380">
      <w:pPr>
        <w:pStyle w:val="Para2"/>
      </w:pPr>
      <w:r>
        <w:t xml:space="preserve">The second is </w:t>
      </w:r>
      <w:hyperlink w:history="1" w:anchor="_Guidance_for_applying">
        <w:r w:rsidRPr="00B24511" w:rsidR="00393F26">
          <w:rPr>
            <w:rStyle w:val="Hyperlink"/>
            <w:b/>
            <w:bCs/>
          </w:rPr>
          <w:t>Guidance for applying for the INTSA</w:t>
        </w:r>
      </w:hyperlink>
      <w:r w:rsidR="00393F26">
        <w:rPr>
          <w:b/>
          <w:bCs/>
        </w:rPr>
        <w:t xml:space="preserve"> </w:t>
      </w:r>
    </w:p>
    <w:p w:rsidRPr="00333364" w:rsidR="00393F26" w:rsidP="00403333" w:rsidRDefault="00393F26" w14:paraId="6D3301C1" w14:textId="4912F99A">
      <w:pPr>
        <w:pStyle w:val="Para2"/>
      </w:pPr>
      <w:r>
        <w:t xml:space="preserve">The third is </w:t>
      </w:r>
      <w:r w:rsidR="00125F76">
        <w:t xml:space="preserve">the draft </w:t>
      </w:r>
      <w:hyperlink w:history="1" w:anchor="_PEA_template">
        <w:r w:rsidRPr="00B24511" w:rsidR="00125F76">
          <w:rPr>
            <w:rStyle w:val="Hyperlink"/>
            <w:b/>
            <w:bCs/>
          </w:rPr>
          <w:t>PEA template</w:t>
        </w:r>
      </w:hyperlink>
    </w:p>
    <w:p w:rsidRPr="00AA28FB" w:rsidR="0076748A" w:rsidP="25CE35A8" w:rsidRDefault="0076748A" w14:paraId="016E21AF" w14:textId="77777777">
      <w:pPr>
        <w:pStyle w:val="Heading3"/>
        <w:rPr>
          <w:i w:val="0"/>
        </w:rPr>
      </w:pPr>
      <w:r>
        <w:t>What is a PEA?</w:t>
      </w:r>
    </w:p>
    <w:p w:rsidR="00F05B70" w:rsidP="00600B40" w:rsidRDefault="00316468" w14:paraId="3D755CA8" w14:textId="2BA9F14F">
      <w:pPr>
        <w:pStyle w:val="Para1"/>
      </w:pPr>
      <w:r>
        <w:t xml:space="preserve">A </w:t>
      </w:r>
      <w:r w:rsidR="00B9426C">
        <w:t>PEA</w:t>
      </w:r>
      <w:r>
        <w:t xml:space="preserve"> is </w:t>
      </w:r>
      <w:r w:rsidR="0054183A">
        <w:t xml:space="preserve">a document that </w:t>
      </w:r>
      <w:r w:rsidR="00A33F0C">
        <w:t>an EDB may use</w:t>
      </w:r>
      <w:r w:rsidR="00D9308F">
        <w:t xml:space="preserve"> to</w:t>
      </w:r>
      <w:r w:rsidR="0054183A">
        <w:t xml:space="preserve"> demonstrate how </w:t>
      </w:r>
      <w:r w:rsidR="00217222">
        <w:t>the</w:t>
      </w:r>
      <w:r w:rsidR="0054183A">
        <w:t xml:space="preserve"> EDB</w:t>
      </w:r>
      <w:r w:rsidR="0048014A">
        <w:t>’s project or programme</w:t>
      </w:r>
      <w:r w:rsidR="004B0285">
        <w:t xml:space="preserve"> is eligible for </w:t>
      </w:r>
      <w:r w:rsidR="0048014A">
        <w:t>us</w:t>
      </w:r>
      <w:r w:rsidR="00CC6EAB">
        <w:t xml:space="preserve"> to approve </w:t>
      </w:r>
      <w:r w:rsidR="00571832">
        <w:t xml:space="preserve">the recovery of </w:t>
      </w:r>
      <w:r w:rsidRPr="00571832" w:rsidR="00571832">
        <w:t xml:space="preserve">some or </w:t>
      </w:r>
      <w:proofErr w:type="gramStart"/>
      <w:r w:rsidRPr="00571832" w:rsidR="00571832">
        <w:t>all of</w:t>
      </w:r>
      <w:proofErr w:type="gramEnd"/>
      <w:r w:rsidRPr="00571832" w:rsidR="00571832">
        <w:t xml:space="preserve"> the forecast costs </w:t>
      </w:r>
      <w:r w:rsidR="00571832">
        <w:t xml:space="preserve">from the EDB’s </w:t>
      </w:r>
      <w:r w:rsidR="004B0285">
        <w:t>INTSA</w:t>
      </w:r>
      <w:r w:rsidDel="006D7A63" w:rsidR="004B0285">
        <w:t xml:space="preserve"> </w:t>
      </w:r>
      <w:r w:rsidR="0DB762DF">
        <w:t xml:space="preserve">under </w:t>
      </w:r>
      <w:r w:rsidR="00B9426C">
        <w:t>S</w:t>
      </w:r>
      <w:r w:rsidR="0DB762DF">
        <w:t>chedule 5.3 of the DPP4 determination</w:t>
      </w:r>
      <w:r w:rsidR="00441144">
        <w:t>.</w:t>
      </w:r>
    </w:p>
    <w:p w:rsidR="000A586F" w:rsidP="00441144" w:rsidRDefault="000A586F" w14:paraId="5B951352" w14:textId="51AD7F87">
      <w:pPr>
        <w:pStyle w:val="Para1"/>
      </w:pPr>
      <w:r>
        <w:t>Th</w:t>
      </w:r>
      <w:r w:rsidR="0022129B">
        <w:t>e PEA</w:t>
      </w:r>
      <w:r>
        <w:t xml:space="preserve"> template </w:t>
      </w:r>
      <w:r w:rsidR="00CC7BD5">
        <w:t>would be filled out by the EDB applying for the INT</w:t>
      </w:r>
      <w:r w:rsidR="006F20F6">
        <w:t>SA</w:t>
      </w:r>
      <w:r w:rsidR="00294E5E">
        <w:t xml:space="preserve"> </w:t>
      </w:r>
      <w:r w:rsidR="00441144">
        <w:t>and submitted to the</w:t>
      </w:r>
      <w:r w:rsidR="00CA63E8">
        <w:t xml:space="preserve"> Commerce</w:t>
      </w:r>
      <w:r w:rsidR="00441144">
        <w:t xml:space="preserve"> Commission</w:t>
      </w:r>
      <w:r w:rsidR="00CA63E8">
        <w:t xml:space="preserve"> (the Commission)</w:t>
      </w:r>
      <w:r w:rsidR="00441144">
        <w:t xml:space="preserve"> as part of its INTSA </w:t>
      </w:r>
      <w:r w:rsidRPr="00441144" w:rsidR="00441144">
        <w:t>proposal</w:t>
      </w:r>
      <w:r w:rsidRPr="00441144" w:rsidR="000F5E4E">
        <w:t>.</w:t>
      </w:r>
      <w:r w:rsidRPr="00441144" w:rsidR="00DB3622">
        <w:rPr>
          <w:rStyle w:val="FootnoteReference"/>
        </w:rPr>
        <w:footnoteReference w:id="2"/>
      </w:r>
      <w:r w:rsidR="000F5E4E">
        <w:t xml:space="preserve"> </w:t>
      </w:r>
    </w:p>
    <w:p w:rsidR="004B2C48" w:rsidP="0076748A" w:rsidRDefault="00DC7E74" w14:paraId="71065329" w14:textId="5891CF18">
      <w:pPr>
        <w:pStyle w:val="Para1"/>
      </w:pPr>
      <w:r>
        <w:t xml:space="preserve">If we </w:t>
      </w:r>
      <w:r w:rsidR="00E44739">
        <w:t xml:space="preserve">finalise </w:t>
      </w:r>
      <w:r w:rsidR="00CD6009">
        <w:t>our draft decision on the draft INTSA under the DPP4 determination, w</w:t>
      </w:r>
      <w:r w:rsidR="0DB762DF">
        <w:t xml:space="preserve">e intend to publish </w:t>
      </w:r>
      <w:r w:rsidR="005C0304">
        <w:t xml:space="preserve">final </w:t>
      </w:r>
      <w:r w:rsidR="00DC5B12">
        <w:t xml:space="preserve">INTSA </w:t>
      </w:r>
      <w:r w:rsidR="0DB762DF">
        <w:t>guidance, and a PEA template (</w:t>
      </w:r>
      <w:proofErr w:type="gramStart"/>
      <w:r w:rsidR="0DB762DF">
        <w:t>similar to</w:t>
      </w:r>
      <w:proofErr w:type="gramEnd"/>
      <w:r w:rsidR="0DB762DF">
        <w:t xml:space="preserve"> this document) before the start of the DPP4 </w:t>
      </w:r>
      <w:r w:rsidR="00BF0178">
        <w:t xml:space="preserve">regulatory </w:t>
      </w:r>
      <w:r w:rsidR="0DB762DF">
        <w:t>period</w:t>
      </w:r>
      <w:r w:rsidR="00BF0178">
        <w:t xml:space="preserve"> on 1 April 2025</w:t>
      </w:r>
      <w:r w:rsidR="0DB762DF">
        <w:t>. The template would</w:t>
      </w:r>
      <w:r w:rsidR="005B2091">
        <w:t xml:space="preserve"> </w:t>
      </w:r>
      <w:r w:rsidR="0DB762DF">
        <w:t>be entirely voluntary</w:t>
      </w:r>
      <w:r w:rsidR="00926E32">
        <w:t>.</w:t>
      </w:r>
      <w:r w:rsidR="0DB762DF">
        <w:t xml:space="preserve"> EDBs applying for the INTSA would not be required to complete </w:t>
      </w:r>
      <w:r w:rsidR="0DB762DF">
        <w:lastRenderedPageBreak/>
        <w:t>it and could choose to provide evidence of their project</w:t>
      </w:r>
      <w:r w:rsidR="006D7A63">
        <w:t xml:space="preserve"> or programme</w:t>
      </w:r>
      <w:r w:rsidR="0DB762DF">
        <w:t xml:space="preserve">’s eligibility via </w:t>
      </w:r>
      <w:r w:rsidR="00926E32">
        <w:t xml:space="preserve">an </w:t>
      </w:r>
      <w:r w:rsidR="0DB762DF">
        <w:t xml:space="preserve">alternative method. </w:t>
      </w:r>
    </w:p>
    <w:p w:rsidR="00F05B70" w:rsidP="0076748A" w:rsidRDefault="00660667" w14:paraId="514A22F2" w14:textId="36EFA512">
      <w:pPr>
        <w:pStyle w:val="Para1"/>
      </w:pPr>
      <w:r>
        <w:t>Our draft</w:t>
      </w:r>
      <w:r w:rsidR="004B2C48">
        <w:t xml:space="preserve"> PEA</w:t>
      </w:r>
      <w:r w:rsidR="00F05B70">
        <w:t xml:space="preserve"> </w:t>
      </w:r>
      <w:r>
        <w:t xml:space="preserve">aims to cover the key areas of the project and </w:t>
      </w:r>
      <w:r w:rsidR="00C352EB">
        <w:t xml:space="preserve">enable an EDB to </w:t>
      </w:r>
      <w:r w:rsidR="00F05B70">
        <w:t>demonstrate:</w:t>
      </w:r>
    </w:p>
    <w:p w:rsidR="00E109C0" w:rsidP="004B2C48" w:rsidRDefault="00987491" w14:paraId="286FA8BA" w14:textId="4263DC6F">
      <w:pPr>
        <w:pStyle w:val="Para2"/>
      </w:pPr>
      <w:r>
        <w:t xml:space="preserve">how the project </w:t>
      </w:r>
      <w:r w:rsidR="0076748A">
        <w:t>meet</w:t>
      </w:r>
      <w:r>
        <w:t>s</w:t>
      </w:r>
      <w:r w:rsidR="0076748A">
        <w:t xml:space="preserve"> the eligibility requirements </w:t>
      </w:r>
      <w:r w:rsidR="0063537C">
        <w:t>in paragraph (</w:t>
      </w:r>
      <w:r w:rsidR="006B7701">
        <w:t xml:space="preserve">5) </w:t>
      </w:r>
      <w:r w:rsidR="0076748A">
        <w:t xml:space="preserve">of </w:t>
      </w:r>
      <w:r w:rsidR="009812B6">
        <w:t>the</w:t>
      </w:r>
      <w:r w:rsidR="004F49F5">
        <w:t xml:space="preserve"> draft</w:t>
      </w:r>
      <w:r w:rsidR="009812B6">
        <w:t xml:space="preserve"> </w:t>
      </w:r>
      <w:r w:rsidR="00FF6BC9">
        <w:t xml:space="preserve">DPP4 </w:t>
      </w:r>
      <w:r w:rsidR="004F6AC9">
        <w:t>determination</w:t>
      </w:r>
      <w:r w:rsidR="004B2C48">
        <w:t xml:space="preserve">; </w:t>
      </w:r>
      <w:r w:rsidR="00682FB6">
        <w:t xml:space="preserve">and </w:t>
      </w:r>
    </w:p>
    <w:p w:rsidR="00D7281B" w:rsidP="003C546A" w:rsidRDefault="00E109C0" w14:paraId="76010426" w14:textId="5713A127">
      <w:pPr>
        <w:pStyle w:val="Para2"/>
      </w:pPr>
      <w:r>
        <w:t xml:space="preserve">the required information </w:t>
      </w:r>
      <w:r w:rsidR="004F6AC9">
        <w:t xml:space="preserve">listed </w:t>
      </w:r>
      <w:r>
        <w:t xml:space="preserve">in </w:t>
      </w:r>
      <w:r w:rsidR="004F6AC9">
        <w:t>paragraph (</w:t>
      </w:r>
      <w:r>
        <w:t>3</w:t>
      </w:r>
      <w:r w:rsidR="004F6AC9">
        <w:t>)</w:t>
      </w:r>
      <w:r>
        <w:t xml:space="preserve"> of the draft </w:t>
      </w:r>
      <w:r w:rsidR="0063537C">
        <w:t xml:space="preserve">DPP4 </w:t>
      </w:r>
      <w:r>
        <w:t>determination</w:t>
      </w:r>
      <w:r w:rsidRPr="00E109C0" w:rsidR="004B2C48">
        <w:rPr>
          <w:b/>
          <w:bCs/>
        </w:rPr>
        <w:t>.</w:t>
      </w:r>
      <w:r w:rsidR="004B2C48">
        <w:t xml:space="preserve"> </w:t>
      </w:r>
    </w:p>
    <w:p w:rsidR="00F7311F" w:rsidP="00D378FF" w:rsidRDefault="00660667" w14:paraId="66EE8B5C" w14:textId="319B3885">
      <w:pPr>
        <w:pStyle w:val="Para1"/>
      </w:pPr>
      <w:r>
        <w:rPr>
          <w:b/>
          <w:bCs/>
        </w:rPr>
        <w:t>S</w:t>
      </w:r>
      <w:r w:rsidR="00D378FF">
        <w:rPr>
          <w:b/>
          <w:bCs/>
        </w:rPr>
        <w:t>tages 1-</w:t>
      </w:r>
      <w:r w:rsidR="00E14917">
        <w:rPr>
          <w:b/>
          <w:bCs/>
        </w:rPr>
        <w:t>2</w:t>
      </w:r>
      <w:r w:rsidR="00D378FF">
        <w:rPr>
          <w:b/>
          <w:bCs/>
        </w:rPr>
        <w:t xml:space="preserve"> </w:t>
      </w:r>
      <w:r w:rsidR="00D378FF">
        <w:t xml:space="preserve">of </w:t>
      </w:r>
      <w:r w:rsidR="00A75CA5">
        <w:t>the ‘</w:t>
      </w:r>
      <w:r w:rsidR="00A75CA5">
        <w:rPr>
          <w:b/>
          <w:bCs/>
        </w:rPr>
        <w:t>Guidance for applying for the INTSA</w:t>
      </w:r>
      <w:r w:rsidR="00A75CA5">
        <w:t>’ of this document</w:t>
      </w:r>
      <w:r w:rsidR="009812B6">
        <w:t xml:space="preserve"> </w:t>
      </w:r>
      <w:r>
        <w:t xml:space="preserve">contains </w:t>
      </w:r>
      <w:r w:rsidR="009812B6">
        <w:t xml:space="preserve">detailed breakdown of these information </w:t>
      </w:r>
      <w:r w:rsidR="00BB1130">
        <w:t>fields</w:t>
      </w:r>
      <w:r w:rsidR="00A75CA5">
        <w:t xml:space="preserve">. </w:t>
      </w:r>
    </w:p>
    <w:p w:rsidRPr="00C05755" w:rsidR="0076748A" w:rsidP="0076748A" w:rsidRDefault="0076748A" w14:paraId="428650ED" w14:textId="1F044FB7">
      <w:pPr>
        <w:pStyle w:val="Heading3"/>
      </w:pPr>
      <w:r>
        <w:t xml:space="preserve">Why </w:t>
      </w:r>
      <w:r w:rsidR="00F7311F">
        <w:t>choose to publish</w:t>
      </w:r>
      <w:r>
        <w:t xml:space="preserve"> a PEA a</w:t>
      </w:r>
      <w:r w:rsidR="00F7311F">
        <w:t>nd guidance</w:t>
      </w:r>
      <w:r>
        <w:t>?</w:t>
      </w:r>
    </w:p>
    <w:p w:rsidR="0076748A" w:rsidP="0076748A" w:rsidRDefault="0076748A" w14:paraId="35DB7521" w14:textId="77777777">
      <w:pPr>
        <w:pStyle w:val="Para1"/>
      </w:pPr>
      <w:r>
        <w:t>Stakeholders told us that they were put off from using the Innovation Project Allowance in DPP3 because:</w:t>
      </w:r>
    </w:p>
    <w:p w:rsidR="0076748A" w:rsidP="0076748A" w:rsidRDefault="0076748A" w14:paraId="3F295572" w14:textId="04AA29F4">
      <w:pPr>
        <w:pStyle w:val="Para2"/>
      </w:pPr>
      <w:r>
        <w:t>it imposed high administrative costs relative to the size of the allowance</w:t>
      </w:r>
      <w:r w:rsidR="00B97C03">
        <w:t xml:space="preserve">; </w:t>
      </w:r>
      <w:r>
        <w:t xml:space="preserve">and </w:t>
      </w:r>
    </w:p>
    <w:p w:rsidR="0076748A" w:rsidP="0076748A" w:rsidRDefault="0076748A" w14:paraId="2FBFC3D1" w14:textId="088A0069">
      <w:pPr>
        <w:pStyle w:val="Para2"/>
      </w:pPr>
      <w:r>
        <w:t xml:space="preserve">there was </w:t>
      </w:r>
      <w:r w:rsidR="00D841F3">
        <w:t xml:space="preserve">high </w:t>
      </w:r>
      <w:r>
        <w:t>uncertainty about whether a project was eligible for cost recovery until after costs had been incurred and the project was completed.</w:t>
      </w:r>
    </w:p>
    <w:p w:rsidR="0076748A" w:rsidP="0076748A" w:rsidRDefault="0076748A" w14:paraId="6AC7F4C0" w14:textId="6A0E41B5">
      <w:pPr>
        <w:pStyle w:val="Para1"/>
      </w:pPr>
      <w:r>
        <w:t xml:space="preserve">We consider that </w:t>
      </w:r>
      <w:r w:rsidR="00CD12B0">
        <w:t xml:space="preserve">providing guidance and a </w:t>
      </w:r>
      <w:r>
        <w:t>PEA</w:t>
      </w:r>
      <w:r w:rsidR="00C8169F">
        <w:t xml:space="preserve"> should give </w:t>
      </w:r>
      <w:r w:rsidR="00F72A1F">
        <w:t xml:space="preserve">EDBs </w:t>
      </w:r>
      <w:r w:rsidR="00C8169F">
        <w:t xml:space="preserve">clarity </w:t>
      </w:r>
      <w:r w:rsidR="007A52E7">
        <w:t xml:space="preserve">and </w:t>
      </w:r>
      <w:r w:rsidR="00F72A1F">
        <w:t>help them to</w:t>
      </w:r>
      <w:r w:rsidR="007A52E7">
        <w:t xml:space="preserve"> </w:t>
      </w:r>
      <w:r w:rsidR="00FA3A37">
        <w:t>self-assess</w:t>
      </w:r>
      <w:r w:rsidR="00C8169F">
        <w:t xml:space="preserve"> </w:t>
      </w:r>
      <w:r w:rsidR="00F72A1F">
        <w:t>projects when</w:t>
      </w:r>
      <w:r w:rsidR="00C8169F">
        <w:t xml:space="preserve"> applyin</w:t>
      </w:r>
      <w:r w:rsidR="00B31CDC">
        <w:t xml:space="preserve">g for the INTSA, </w:t>
      </w:r>
      <w:r>
        <w:t>help to lower administration costs</w:t>
      </w:r>
      <w:r w:rsidR="00CD12B0">
        <w:t xml:space="preserve"> (for </w:t>
      </w:r>
      <w:r w:rsidR="00E54DC9">
        <w:t>us and EDBs</w:t>
      </w:r>
      <w:r w:rsidR="00CD12B0">
        <w:t>)</w:t>
      </w:r>
      <w:r>
        <w:t xml:space="preserve">, and </w:t>
      </w:r>
      <w:r w:rsidR="007B439D">
        <w:t>help enable a consistent</w:t>
      </w:r>
      <w:r>
        <w:t xml:space="preserve"> approval process. </w:t>
      </w:r>
      <w:r w:rsidR="003351DE">
        <w:t xml:space="preserve">Should the draft INTSA be implemented in the final </w:t>
      </w:r>
      <w:r w:rsidR="00967ECF">
        <w:t xml:space="preserve">DPP4 </w:t>
      </w:r>
      <w:r w:rsidR="003351DE">
        <w:t>decision, t</w:t>
      </w:r>
      <w:r w:rsidR="001944AD">
        <w:t xml:space="preserve">he Commission is open to holding informal engagement with EDBs who wish to discuss projects before applying. </w:t>
      </w:r>
    </w:p>
    <w:p w:rsidR="0076748A" w:rsidP="0076748A" w:rsidRDefault="0076748A" w14:paraId="2DB61349" w14:textId="59872591">
      <w:pPr>
        <w:pStyle w:val="Para1"/>
      </w:pPr>
      <w:r>
        <w:t>The publication</w:t>
      </w:r>
      <w:r w:rsidR="00CD12B0">
        <w:t xml:space="preserve"> </w:t>
      </w:r>
      <w:r>
        <w:t>of a PEA</w:t>
      </w:r>
      <w:r w:rsidR="00523BEE">
        <w:t xml:space="preserve"> </w:t>
      </w:r>
      <w:r w:rsidR="00BA6402">
        <w:t>would</w:t>
      </w:r>
      <w:r>
        <w:t xml:space="preserve"> also keep</w:t>
      </w:r>
      <w:r w:rsidR="00523BEE">
        <w:t xml:space="preserve"> </w:t>
      </w:r>
      <w:r w:rsidR="009D298C">
        <w:t xml:space="preserve">consumers </w:t>
      </w:r>
      <w:r w:rsidR="00523BEE">
        <w:t>(</w:t>
      </w:r>
      <w:r w:rsidR="005D4AB8">
        <w:t>and other interested</w:t>
      </w:r>
      <w:r w:rsidR="00D6337F">
        <w:t xml:space="preserve"> stakeholders</w:t>
      </w:r>
      <w:r w:rsidR="00523BEE">
        <w:t>)</w:t>
      </w:r>
      <w:r>
        <w:t xml:space="preserve"> </w:t>
      </w:r>
      <w:r w:rsidR="009D6D54">
        <w:t>up to date</w:t>
      </w:r>
      <w:r>
        <w:t xml:space="preserve"> about the kinds of INTSA projects that are underway and share learning.</w:t>
      </w:r>
    </w:p>
    <w:p w:rsidR="00B97C03" w:rsidP="00B97C03" w:rsidRDefault="00B97C03" w14:paraId="59486174" w14:textId="78915A2E">
      <w:pPr>
        <w:pStyle w:val="Heading3"/>
      </w:pPr>
      <w:r>
        <w:t>Why not make the PEA a legal requirement?</w:t>
      </w:r>
    </w:p>
    <w:p w:rsidRPr="00B97C03" w:rsidR="00CD12B0" w:rsidP="00CD12B0" w:rsidRDefault="6E540CF2" w14:paraId="73C45908" w14:textId="15046B1D">
      <w:pPr>
        <w:pStyle w:val="Para1"/>
      </w:pPr>
      <w:r>
        <w:t xml:space="preserve">There are challenges with incorporating such a document either by reference or into the determination. We consider that it would be advantageous to include a PEA as </w:t>
      </w:r>
      <w:r w:rsidR="00C41181">
        <w:t xml:space="preserve">a </w:t>
      </w:r>
      <w:r>
        <w:t xml:space="preserve">voluntary </w:t>
      </w:r>
      <w:r w:rsidR="00C41181">
        <w:t>template,</w:t>
      </w:r>
      <w:r>
        <w:t xml:space="preserve"> giving EDBs flexibility in how they choose to apply for</w:t>
      </w:r>
      <w:r w:rsidR="5197614D">
        <w:t xml:space="preserve"> an</w:t>
      </w:r>
      <w:r>
        <w:t xml:space="preserve"> INTSA. It also gives us flexibility to easily update the PEA/guidance if necessary</w:t>
      </w:r>
      <w:r w:rsidR="00BB1130">
        <w:t>, including</w:t>
      </w:r>
      <w:r w:rsidR="004044CE">
        <w:t xml:space="preserve"> after consultation with EDBs or </w:t>
      </w:r>
      <w:r w:rsidR="003A306D">
        <w:t>other stakeholders</w:t>
      </w:r>
      <w:r w:rsidR="00841C79">
        <w:t>, where we consider it appropriate</w:t>
      </w:r>
      <w:r w:rsidR="003A306D">
        <w:t xml:space="preserve">. </w:t>
      </w:r>
      <w:r>
        <w:t xml:space="preserve"> </w:t>
      </w:r>
    </w:p>
    <w:p w:rsidR="0076748A" w:rsidP="0076748A" w:rsidRDefault="0076748A" w14:paraId="3986C5A7" w14:textId="77777777"/>
    <w:p w:rsidR="00C72DE1" w:rsidP="0076748A" w:rsidRDefault="00C72DE1" w14:paraId="0E20F85B" w14:textId="77777777"/>
    <w:p w:rsidR="00C72DE1" w:rsidP="0076748A" w:rsidRDefault="00C72DE1" w14:paraId="0269DDAE" w14:textId="77777777"/>
    <w:p w:rsidR="00C72DE1" w:rsidP="0076748A" w:rsidRDefault="00C72DE1" w14:paraId="7AD7F7E5" w14:textId="77777777"/>
    <w:p w:rsidR="005F1917" w:rsidP="0076748A" w:rsidRDefault="005F1917" w14:paraId="2E20C2CF" w14:textId="77777777"/>
    <w:p w:rsidR="00CD45A6" w:rsidP="0076748A" w:rsidRDefault="00CD45A6" w14:paraId="4EB24DEA" w14:textId="77777777"/>
    <w:p w:rsidR="005F1917" w:rsidP="0076748A" w:rsidRDefault="005F1917" w14:paraId="1D591C5E" w14:textId="77777777"/>
    <w:p w:rsidR="00950A03" w:rsidP="00950A03" w:rsidRDefault="00950A03" w14:paraId="24C5B851" w14:textId="3E8CB2AB">
      <w:pPr>
        <w:pStyle w:val="Heading1"/>
      </w:pPr>
      <w:bookmarkStart w:name="_Guidance_for_applying" w:id="0"/>
      <w:bookmarkEnd w:id="0"/>
      <w:r>
        <w:t xml:space="preserve">Guidance </w:t>
      </w:r>
      <w:r w:rsidR="00354659">
        <w:t xml:space="preserve">for applying for the INTSA </w:t>
      </w:r>
    </w:p>
    <w:p w:rsidRPr="009F2825" w:rsidR="009F2825" w:rsidP="009F2825" w:rsidRDefault="005A5845" w14:paraId="257D1780" w14:textId="3231D266">
      <w:pPr>
        <w:pStyle w:val="BodyText"/>
      </w:pPr>
      <w:r>
        <w:t xml:space="preserve">Note: </w:t>
      </w:r>
      <w:r w:rsidRPr="005A5845">
        <w:t xml:space="preserve">The guidance </w:t>
      </w:r>
      <w:r>
        <w:t>(</w:t>
      </w:r>
      <w:r w:rsidRPr="005A5845">
        <w:t>or PEA, as applicable</w:t>
      </w:r>
      <w:r>
        <w:t>)</w:t>
      </w:r>
      <w:r w:rsidRPr="005A5845">
        <w:t xml:space="preserve"> applies to an INTSA proposal for a project or a programme, but for simplicity, only refers to ‘project</w:t>
      </w:r>
      <w:r>
        <w:t xml:space="preserve">’. </w:t>
      </w:r>
    </w:p>
    <w:p w:rsidR="00E109C0" w:rsidP="00E109C0" w:rsidRDefault="00E109C0" w14:paraId="7CB7F0EB" w14:textId="3DD80F0A">
      <w:pPr>
        <w:pStyle w:val="Heading2"/>
      </w:pPr>
      <w:r>
        <w:t xml:space="preserve">Stage 1: Eligibility criteria </w:t>
      </w:r>
    </w:p>
    <w:p w:rsidR="00535457" w:rsidP="00E109C0" w:rsidRDefault="0019096B" w14:paraId="54396220" w14:textId="6DC8E47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534C3855" wp14:anchorId="6F1427AC">
                <wp:simplePos x="0" y="0"/>
                <wp:positionH relativeFrom="column">
                  <wp:posOffset>-85973</wp:posOffset>
                </wp:positionH>
                <wp:positionV relativeFrom="paragraph">
                  <wp:posOffset>159937</wp:posOffset>
                </wp:positionV>
                <wp:extent cx="5900420" cy="3349156"/>
                <wp:effectExtent l="57150" t="38100" r="81280" b="99060"/>
                <wp:wrapNone/>
                <wp:docPr id="1827024598" name="Rectangle 1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334915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-6.75pt;margin-top:12.6pt;width:464.6pt;height:263.7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dfa7a6 [1621]" strokecolor="#bc4542 [3045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XxRwIAAPEEAAAOAAAAZHJzL2Uyb0RvYy54bWysVN9v2jAQfp+0/8Hy+wih0A1EqFCrTpNQ&#10;i0anPruOXaI5Pu9sCOyv39kJoeoqbZr24px9v7/7LvOrQ23YXqGvwBY8Hww5U1ZCWdnngn97uP3w&#10;iTMfhC2FAasKflSeXy3ev5s3bqZGsAVTKmQUxPpZ4wq+DcHNsszLraqFH4BTlpQasBaBrviclSga&#10;il6bbDQcXmYNYOkQpPKeXm9aJV+k+ForGe619iowU3CqLaQT0/kUz2wxF7NnFG5bya4M8Q9V1KKy&#10;lLQPdSOCYDusfgtVVxLBgw4DCXUGWldSpR6om3z4qpvNVjiVeiFwvOth8v8vrLzbb9waCYbG+Zkn&#10;MXZx0FjHL9XHDgmsYw+WOgQm6XEyHQ7HI8JUku7iYjzNJ5cRzuzs7tCHzwpqFoWCI00jgST2Kx9a&#10;05MJ+Z0LSFI4GhVrMPar0qwqKWWevBM31LVBthc0VSGlsmHUpU7W0U1XxvSOoz87dvbRVSXe9M5/&#10;kbX3SJnBht65rizgW9nL73lXsm7tTwi0fUcInqA8rpEhtKz1Tt5WBORK+LAWSDQl8Gn1wj0d2kBT&#10;cOgkzraAP996j/bEHtJy1hDtC+5/7AQqzswXS7ya5uNx3JN0GU8+xgHjS83TS43d1ddAM8hpyZ1M&#10;YrQP5iRqhPqRNnQZs5JKWEm5Cy4Dni7XoV1H2nGplstkRrvhRFjZjZOnqUeiPBweBbqOTYGIeAen&#10;FRGzV6RqbeM8LCx3AXSVGHfGtcOb9ipxtvsHxMV9eU9W5z/V4hcAAAD//wMAUEsDBBQABgAIAAAA&#10;IQDgagDG4QAAAAoBAAAPAAAAZHJzL2Rvd25yZXYueG1sTI/BTsMwEETvSPyDtUhcqtaJi1MI2VSo&#10;CHEqEoXe3dgkUeN1iJ02/XvMCY6reZp5W6wn27GTGXzrCCFdJMAMVU63VCN8frzM74H5oEirzpFB&#10;uBgP6/L6qlC5dmd6N6ddqFksIZ8rhCaEPufcV42xyi9cbyhmX26wKsRzqLke1DmW246LJMm4VS3F&#10;hUb1ZtOY6rgbLcL2zg9idtzP6rfvZfY8vW7GbHtBvL2Znh6BBTOFPxh+9aM6lNHp4EbSnnUI83Qp&#10;I4ogpAAWgYdUroAdEKQUGfCy4P9fKH8AAAD//wMAUEsBAi0AFAAGAAgAAAAhALaDOJL+AAAA4QEA&#10;ABMAAAAAAAAAAAAAAAAAAAAAAFtDb250ZW50X1R5cGVzXS54bWxQSwECLQAUAAYACAAAACEAOP0h&#10;/9YAAACUAQAACwAAAAAAAAAAAAAAAAAvAQAAX3JlbHMvLnJlbHNQSwECLQAUAAYACAAAACEAwpnl&#10;8UcCAADxBAAADgAAAAAAAAAAAAAAAAAuAgAAZHJzL2Uyb0RvYy54bWxQSwECLQAUAAYACAAAACEA&#10;4GoAxuEAAAAKAQAADwAAAAAAAAAAAAAAAAChBAAAZHJzL2Rvd25yZXYueG1sUEsFBgAAAAAEAAQA&#10;8wAAAK8FAAAAAA==&#10;" w14:anchorId="6DCC1259">
                <v:fill type="gradient" color2="#f5e4e4 [501]" colors="0 #ffa2a1;22938f #ffbebd;1 #ffe5e5" angle="180" focus="100%" rotate="t"/>
                <v:shadow on="t" color="black" opacity="24903f" offset="0,.55556mm" origin=",.5"/>
              </v:rect>
            </w:pict>
          </mc:Fallback>
        </mc:AlternateContent>
      </w:r>
    </w:p>
    <w:p w:rsidR="00E109C0" w:rsidP="0019096B" w:rsidRDefault="6B148DD6" w14:paraId="68C8EE0C" w14:textId="323FDB95">
      <w:r>
        <w:t xml:space="preserve">Under </w:t>
      </w:r>
      <w:r w:rsidR="005624D3">
        <w:t>paragraph</w:t>
      </w:r>
      <w:r>
        <w:t xml:space="preserve"> (5)</w:t>
      </w:r>
      <w:r w:rsidR="00291C2C">
        <w:t xml:space="preserve"> of </w:t>
      </w:r>
      <w:r w:rsidR="005624D3">
        <w:t>S</w:t>
      </w:r>
      <w:r w:rsidR="00291C2C">
        <w:t>chedule 5.3 of the</w:t>
      </w:r>
      <w:r w:rsidDel="005624D3" w:rsidR="00291C2C">
        <w:t xml:space="preserve"> </w:t>
      </w:r>
      <w:r w:rsidR="00291C2C">
        <w:t xml:space="preserve">draft </w:t>
      </w:r>
      <w:r w:rsidR="005624D3">
        <w:t xml:space="preserve">DPP4 </w:t>
      </w:r>
      <w:r w:rsidR="00291C2C">
        <w:t>determination</w:t>
      </w:r>
      <w:r>
        <w:t xml:space="preserve">, </w:t>
      </w:r>
      <w:r w:rsidR="0019096B">
        <w:t xml:space="preserve">for the purposes of our decision on whether to approve an EDB’s INTSA proposal, the eligibility criteria </w:t>
      </w:r>
      <w:r w:rsidR="00033649">
        <w:t>are that</w:t>
      </w:r>
      <w:r w:rsidR="0019096B">
        <w:t xml:space="preserve"> a project or programme for an INTSA proposal</w:t>
      </w:r>
      <w:r>
        <w:t>:</w:t>
      </w:r>
    </w:p>
    <w:p w:rsidR="00E109C0" w:rsidP="00E109C0" w:rsidRDefault="00E109C0" w14:paraId="7F614196" w14:textId="77777777"/>
    <w:p w:rsidR="00E109C0" w:rsidP="00E109C0" w:rsidRDefault="00E109C0" w14:paraId="511E01AA" w14:textId="5EB0AF05">
      <w:pPr>
        <w:pStyle w:val="ListParagraph"/>
        <w:numPr>
          <w:ilvl w:val="0"/>
          <w:numId w:val="21"/>
        </w:numPr>
      </w:pPr>
      <w:r>
        <w:t xml:space="preserve">relates to the supply of electricity </w:t>
      </w:r>
      <w:r w:rsidR="00A32601">
        <w:t xml:space="preserve">distribution </w:t>
      </w:r>
      <w:r>
        <w:t xml:space="preserve">services; </w:t>
      </w:r>
    </w:p>
    <w:p w:rsidR="00E109C0" w:rsidP="00E109C0" w:rsidRDefault="00E109C0" w14:paraId="0732BF70" w14:textId="77777777">
      <w:pPr>
        <w:pStyle w:val="ListParagraph"/>
        <w:numPr>
          <w:ilvl w:val="0"/>
          <w:numId w:val="21"/>
        </w:numPr>
      </w:pPr>
      <w:r>
        <w:t>promotes the purpose of Part 4 of the Act; and</w:t>
      </w:r>
    </w:p>
    <w:p w:rsidR="00E109C0" w:rsidP="00E109C0" w:rsidRDefault="00E109C0" w14:paraId="40E6D5A6" w14:textId="3B37477B">
      <w:pPr>
        <w:pStyle w:val="ListParagraph"/>
        <w:numPr>
          <w:ilvl w:val="0"/>
          <w:numId w:val="21"/>
        </w:numPr>
      </w:pPr>
      <w:r>
        <w:t xml:space="preserve">is riskier than ‘business as usual’ for the EDB, such that the EDB would not carry out the project or programme if it could not recover some or </w:t>
      </w:r>
      <w:proofErr w:type="gramStart"/>
      <w:r>
        <w:t>all of</w:t>
      </w:r>
      <w:proofErr w:type="gramEnd"/>
      <w:r>
        <w:t xml:space="preserve"> the forecast costs of the project or programme from the EDB’s </w:t>
      </w:r>
      <w:r w:rsidR="00A84C49">
        <w:t>INTSA</w:t>
      </w:r>
      <w:r>
        <w:t>.</w:t>
      </w:r>
    </w:p>
    <w:p w:rsidR="00E109C0" w:rsidP="00E109C0" w:rsidRDefault="00E109C0" w14:paraId="729F105A" w14:textId="77777777"/>
    <w:p w:rsidR="00E109C0" w:rsidP="00E109C0" w:rsidRDefault="00E109C0" w14:paraId="5B433EBC" w14:textId="453813F5">
      <w:pPr>
        <w:ind w:left="360"/>
      </w:pPr>
      <w:r w:rsidRPr="00A5382F">
        <w:t xml:space="preserve">Where an EDB wishes to seek </w:t>
      </w:r>
      <w:r w:rsidR="00B20725">
        <w:t>more</w:t>
      </w:r>
      <w:r w:rsidRPr="00A5382F" w:rsidR="00B20725">
        <w:t xml:space="preserve"> </w:t>
      </w:r>
      <w:r w:rsidRPr="00A5382F">
        <w:t xml:space="preserve">than 75% and up to 100% of total project costs, it </w:t>
      </w:r>
      <w:r w:rsidRPr="00A5382F">
        <w:rPr>
          <w:b/>
          <w:bCs/>
        </w:rPr>
        <w:t>must also</w:t>
      </w:r>
      <w:r w:rsidRPr="00A5382F">
        <w:t xml:space="preserve"> demonstrate how its project </w:t>
      </w:r>
      <w:r w:rsidR="001D6EBB">
        <w:t xml:space="preserve">or programme </w:t>
      </w:r>
      <w:r w:rsidRPr="00A5382F">
        <w:t xml:space="preserve">is unlikely to otherwise result in any financial benefits to the EDB. </w:t>
      </w:r>
    </w:p>
    <w:p w:rsidR="001D6EBB" w:rsidP="00864A1C" w:rsidRDefault="001D6EBB" w14:paraId="77195D06" w14:textId="77777777"/>
    <w:p w:rsidR="001D6EBB" w:rsidP="00CD45A6" w:rsidRDefault="001D6EBB" w14:paraId="10974983" w14:textId="0F00E416">
      <w:r>
        <w:t xml:space="preserve">Paragraph (3)(i) of </w:t>
      </w:r>
      <w:r w:rsidR="00A06658">
        <w:t>Schedule 5.3 requires an EDB’s proposal to include sufficient information</w:t>
      </w:r>
      <w:r w:rsidR="008B5946">
        <w:t xml:space="preserve"> on the above matters to enable us to make our decision on whether to approve an INTSA proposal.</w:t>
      </w:r>
    </w:p>
    <w:p w:rsidR="001D6EBB" w:rsidP="00E109C0" w:rsidRDefault="001D6EBB" w14:paraId="19C2F428" w14:textId="77777777">
      <w:pPr>
        <w:ind w:left="360"/>
      </w:pPr>
    </w:p>
    <w:p w:rsidRPr="00A5382F" w:rsidR="001D6EBB" w:rsidP="00E109C0" w:rsidRDefault="001D6EBB" w14:paraId="21E71EA5" w14:textId="77777777">
      <w:pPr>
        <w:ind w:left="360"/>
      </w:pPr>
    </w:p>
    <w:tbl>
      <w:tblPr>
        <w:tblStyle w:val="GridTable4-Accent2"/>
        <w:tblW w:w="0" w:type="auto"/>
        <w:tblInd w:w="-5" w:type="dxa"/>
        <w:tblLook w:val="04A0" w:firstRow="1" w:lastRow="0" w:firstColumn="1" w:lastColumn="0" w:noHBand="0" w:noVBand="1"/>
      </w:tblPr>
      <w:tblGrid>
        <w:gridCol w:w="4293"/>
        <w:gridCol w:w="4295"/>
      </w:tblGrid>
      <w:tr w:rsidR="00C72DE1" w:rsidTr="00CD45A6" w14:paraId="26F121F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3" w:type="dxa"/>
          </w:tcPr>
          <w:p w:rsidR="00C72DE1" w:rsidP="00923F08" w:rsidRDefault="00C72DE1" w14:paraId="366A431D" w14:textId="77777777">
            <w:r w:rsidRPr="0020430B">
              <w:t>Information required</w:t>
            </w:r>
          </w:p>
        </w:tc>
        <w:tc>
          <w:tcPr>
            <w:tcW w:w="4295" w:type="dxa"/>
          </w:tcPr>
          <w:p w:rsidR="00C72DE1" w:rsidP="00923F08" w:rsidRDefault="00C72DE1" w14:paraId="259D848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430B">
              <w:t xml:space="preserve">Guidance </w:t>
            </w:r>
          </w:p>
        </w:tc>
      </w:tr>
      <w:tr w:rsidR="00C72DE1" w:rsidTr="00CD45A6" w14:paraId="656067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3" w:type="dxa"/>
          </w:tcPr>
          <w:p w:rsidR="00C72DE1" w:rsidP="00923F08" w:rsidRDefault="00C72DE1" w14:paraId="0BB0665C" w14:textId="74029DFC">
            <w:r>
              <w:t xml:space="preserve">Relates to the supply of electricity </w:t>
            </w:r>
            <w:r w:rsidR="00F1685F">
              <w:t xml:space="preserve">distribution </w:t>
            </w:r>
            <w:r>
              <w:t>services</w:t>
            </w:r>
            <w:r w:rsidR="00F1685F">
              <w:rPr>
                <w:rStyle w:val="FootnoteReference"/>
              </w:rPr>
              <w:footnoteReference w:id="3"/>
            </w:r>
            <w:r>
              <w:t xml:space="preserve"> </w:t>
            </w:r>
          </w:p>
        </w:tc>
        <w:tc>
          <w:tcPr>
            <w:tcW w:w="4295" w:type="dxa"/>
          </w:tcPr>
          <w:p w:rsidR="00C72DE1" w:rsidP="00923F08" w:rsidRDefault="00C72DE1" w14:paraId="09538D4D" w14:textId="638E07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Details </w:t>
            </w:r>
            <w:r w:rsidR="00EA5F1A">
              <w:t>and justification</w:t>
            </w:r>
            <w:r w:rsidDel="00620483">
              <w:t xml:space="preserve"> </w:t>
            </w:r>
            <w:r w:rsidR="00620483">
              <w:t xml:space="preserve">of </w:t>
            </w:r>
            <w:r>
              <w:t>how the project</w:t>
            </w:r>
            <w:r w:rsidR="00FF31A4">
              <w:t xml:space="preserve"> </w:t>
            </w:r>
            <w:r w:rsidR="00C74BE0">
              <w:t>r</w:t>
            </w:r>
            <w:r w:rsidRPr="00C74BE0" w:rsidR="00C74BE0">
              <w:t xml:space="preserve">elates to the supply of </w:t>
            </w:r>
            <w:r w:rsidR="00C74BE0">
              <w:t>‘</w:t>
            </w:r>
            <w:r w:rsidRPr="00C74BE0" w:rsidR="00C74BE0">
              <w:t>electricity distribution services</w:t>
            </w:r>
            <w:r w:rsidR="00C74BE0">
              <w:t>’ as defined in the draft DPP4 determination</w:t>
            </w:r>
            <w:r>
              <w:t>.</w:t>
            </w:r>
          </w:p>
        </w:tc>
      </w:tr>
      <w:tr w:rsidR="00C72DE1" w:rsidTr="00CD45A6" w14:paraId="0E462A48" w14:textId="77777777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3" w:type="dxa"/>
          </w:tcPr>
          <w:p w:rsidR="00C72DE1" w:rsidP="00923F08" w:rsidRDefault="00C72DE1" w14:paraId="3E5FA5F6" w14:textId="51CE2659">
            <w:r>
              <w:t xml:space="preserve">Promotes the </w:t>
            </w:r>
            <w:r w:rsidR="00620483">
              <w:t xml:space="preserve">purpose of </w:t>
            </w:r>
            <w:r>
              <w:t>Part 4 of the Act</w:t>
            </w:r>
          </w:p>
        </w:tc>
        <w:tc>
          <w:tcPr>
            <w:tcW w:w="4295" w:type="dxa"/>
          </w:tcPr>
          <w:p w:rsidR="00C72DE1" w:rsidP="00923F08" w:rsidRDefault="00C72DE1" w14:paraId="766EA894" w14:textId="7D337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Details </w:t>
            </w:r>
            <w:r w:rsidR="00EA5F1A">
              <w:t>and justification</w:t>
            </w:r>
            <w:r w:rsidDel="00620483">
              <w:t xml:space="preserve"> </w:t>
            </w:r>
            <w:r w:rsidR="00620483">
              <w:t xml:space="preserve">of </w:t>
            </w:r>
            <w:r>
              <w:t>how the project promotes the purpose under s</w:t>
            </w:r>
            <w:r w:rsidR="005604E5">
              <w:t xml:space="preserve"> </w:t>
            </w:r>
            <w:r>
              <w:t>52</w:t>
            </w:r>
            <w:proofErr w:type="gramStart"/>
            <w:r>
              <w:t>A(</w:t>
            </w:r>
            <w:proofErr w:type="gramEnd"/>
            <w:r>
              <w:t>1) of the Act.</w:t>
            </w:r>
          </w:p>
        </w:tc>
      </w:tr>
      <w:tr w:rsidR="00C72DE1" w:rsidTr="00CD45A6" w14:paraId="7EE393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3" w:type="dxa"/>
          </w:tcPr>
          <w:p w:rsidR="00C72DE1" w:rsidP="00923F08" w:rsidRDefault="00C72DE1" w14:paraId="34D0D104" w14:textId="77777777">
            <w:r>
              <w:t>Is riskier than business as usual</w:t>
            </w:r>
          </w:p>
        </w:tc>
        <w:tc>
          <w:tcPr>
            <w:tcW w:w="4295" w:type="dxa"/>
          </w:tcPr>
          <w:p w:rsidR="00C72DE1" w:rsidP="00923F08" w:rsidRDefault="00653932" w14:paraId="49EF5D85" w14:textId="65B5E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Details </w:t>
            </w:r>
            <w:r w:rsidR="00EA5F1A">
              <w:t xml:space="preserve">and </w:t>
            </w:r>
            <w:r w:rsidDel="00653932" w:rsidR="00C72DE1">
              <w:t xml:space="preserve">justification </w:t>
            </w:r>
            <w:r w:rsidR="00C72DE1">
              <w:t>for how the project is riskier than business as usual for the</w:t>
            </w:r>
            <w:r w:rsidDel="000A3E94" w:rsidR="00C72DE1">
              <w:t xml:space="preserve"> </w:t>
            </w:r>
            <w:r w:rsidR="000A3E94">
              <w:t>EDB</w:t>
            </w:r>
            <w:r w:rsidR="00C72DE1">
              <w:t>.</w:t>
            </w:r>
          </w:p>
        </w:tc>
      </w:tr>
    </w:tbl>
    <w:p w:rsidR="00C72DE1" w:rsidP="00C72DE1" w:rsidRDefault="00C72DE1" w14:paraId="18029712" w14:textId="77777777">
      <w:pPr>
        <w:pStyle w:val="Para1"/>
        <w:numPr>
          <w:ilvl w:val="0"/>
          <w:numId w:val="0"/>
        </w:numPr>
        <w:ind w:left="709"/>
      </w:pPr>
    </w:p>
    <w:p w:rsidR="0063208E" w:rsidP="00E109C0" w:rsidRDefault="6B148DD6" w14:paraId="1E071775" w14:textId="4CEC2C0E">
      <w:pPr>
        <w:pStyle w:val="Para1"/>
        <w:numPr>
          <w:ilvl w:val="0"/>
          <w:numId w:val="26"/>
        </w:numPr>
      </w:pPr>
      <w:r>
        <w:lastRenderedPageBreak/>
        <w:t xml:space="preserve">These are the primary, mandatory requirements for an EDB to meet in their INTSA proposal. </w:t>
      </w:r>
    </w:p>
    <w:p w:rsidR="0063208E" w:rsidP="002C068D" w:rsidRDefault="004001FC" w14:paraId="6AB05A65" w14:textId="756D3D0A">
      <w:pPr>
        <w:pStyle w:val="Para1"/>
        <w:numPr>
          <w:ilvl w:val="0"/>
          <w:numId w:val="26"/>
        </w:numPr>
      </w:pPr>
      <w:r>
        <w:t xml:space="preserve">They are tied to stage </w:t>
      </w:r>
      <w:r w:rsidR="000C2E98">
        <w:t>2</w:t>
      </w:r>
      <w:r>
        <w:t xml:space="preserve"> of this document (see below), which </w:t>
      </w:r>
      <w:r w:rsidR="0086595E">
        <w:t xml:space="preserve">requires ‘sufficient information’ to </w:t>
      </w:r>
      <w:r w:rsidR="008E6653">
        <w:t xml:space="preserve">help </w:t>
      </w:r>
      <w:r w:rsidR="0086595E">
        <w:t xml:space="preserve">demonstrate how a project </w:t>
      </w:r>
      <w:r w:rsidR="002C068D">
        <w:t xml:space="preserve">(a) </w:t>
      </w:r>
      <w:r w:rsidR="0086595E">
        <w:t xml:space="preserve">meets the </w:t>
      </w:r>
      <w:r w:rsidR="0044698E">
        <w:t>eligibility criteria</w:t>
      </w:r>
      <w:r w:rsidR="002C068D">
        <w:t xml:space="preserve"> and (b) whether the project or programme is unlikely to otherwise result in any financial benefits to the EDB</w:t>
      </w:r>
      <w:r w:rsidR="0044698E">
        <w:t xml:space="preserve">. </w:t>
      </w:r>
    </w:p>
    <w:p w:rsidR="00232732" w:rsidP="00CD45A6" w:rsidRDefault="005F2574" w14:paraId="76F87025" w14:textId="61D79706">
      <w:pPr>
        <w:pStyle w:val="Heading3"/>
      </w:pPr>
      <w:r>
        <w:t xml:space="preserve">Riskier than BAU </w:t>
      </w:r>
    </w:p>
    <w:p w:rsidR="0063208E" w:rsidP="00E109C0" w:rsidRDefault="00E109C0" w14:paraId="10B257E5" w14:textId="42505166">
      <w:pPr>
        <w:pStyle w:val="Para1"/>
        <w:numPr>
          <w:ilvl w:val="0"/>
          <w:numId w:val="26"/>
        </w:numPr>
      </w:pPr>
      <w:r>
        <w:t xml:space="preserve">We would consider that riskier than business as </w:t>
      </w:r>
      <w:r w:rsidR="00FA3A37">
        <w:t>usual is</w:t>
      </w:r>
      <w:r>
        <w:t xml:space="preserve"> likely to differ for each EDB, and we consider that each EDB is therefore best placed to </w:t>
      </w:r>
      <w:r w:rsidRPr="001D4A43" w:rsidR="001D4A43">
        <w:t>demonstrate and quantify the commercial and non-commercial risks to the EDB that the INT</w:t>
      </w:r>
      <w:r w:rsidR="00131081">
        <w:t>S</w:t>
      </w:r>
      <w:r w:rsidRPr="001D4A43" w:rsidR="001D4A43">
        <w:t xml:space="preserve">A project funding </w:t>
      </w:r>
      <w:r w:rsidR="00315D7B">
        <w:t>offsets</w:t>
      </w:r>
      <w:r>
        <w:t xml:space="preserve">. </w:t>
      </w:r>
    </w:p>
    <w:p w:rsidR="00BA5B60" w:rsidP="00E109C0" w:rsidRDefault="00BD5B1E" w14:paraId="2D30E400" w14:textId="012DBFE7">
      <w:pPr>
        <w:pStyle w:val="Para1"/>
        <w:numPr>
          <w:ilvl w:val="0"/>
          <w:numId w:val="26"/>
        </w:numPr>
      </w:pPr>
      <w:r>
        <w:t>A project</w:t>
      </w:r>
      <w:r w:rsidR="00BA5B60">
        <w:t xml:space="preserve"> that i</w:t>
      </w:r>
      <w:r>
        <w:t>s</w:t>
      </w:r>
      <w:r w:rsidR="00BA5B60">
        <w:t xml:space="preserve"> riskier </w:t>
      </w:r>
      <w:r>
        <w:t xml:space="preserve">than BAU means </w:t>
      </w:r>
      <w:r w:rsidR="003C60F9">
        <w:t xml:space="preserve">it would not be undertaken </w:t>
      </w:r>
      <w:r w:rsidR="00F02EC0">
        <w:t xml:space="preserve">if not for the </w:t>
      </w:r>
      <w:r w:rsidR="003B1449">
        <w:t xml:space="preserve">INTSA, because an EDB has deemed the project </w:t>
      </w:r>
      <w:r w:rsidR="0023255D">
        <w:t xml:space="preserve">as too financially risky. This might be because </w:t>
      </w:r>
      <w:r w:rsidR="00DD128C">
        <w:t>the</w:t>
      </w:r>
      <w:r w:rsidR="00864ED4">
        <w:t xml:space="preserve"> benefits are </w:t>
      </w:r>
      <w:r w:rsidR="001D5E3D">
        <w:t>too uncertain, that the cost of the project is the</w:t>
      </w:r>
      <w:r w:rsidR="00C03865">
        <w:t xml:space="preserve">refore </w:t>
      </w:r>
      <w:r w:rsidR="00092A9F">
        <w:t>not worth invest</w:t>
      </w:r>
      <w:r w:rsidR="006622B2">
        <w:t>ing</w:t>
      </w:r>
      <w:r w:rsidR="00092A9F">
        <w:t xml:space="preserve"> in – which the INTSA </w:t>
      </w:r>
      <w:r w:rsidR="00A91D3C">
        <w:t xml:space="preserve">helps to balance. </w:t>
      </w:r>
      <w:r w:rsidR="00F76E0C">
        <w:t xml:space="preserve">With </w:t>
      </w:r>
      <w:r w:rsidR="003A59B2">
        <w:t>this criterion</w:t>
      </w:r>
      <w:r w:rsidR="00F76E0C">
        <w:t xml:space="preserve">, </w:t>
      </w:r>
      <w:r w:rsidR="00C41ADD">
        <w:t xml:space="preserve">an EDB should </w:t>
      </w:r>
      <w:r w:rsidR="00F76E0C">
        <w:t xml:space="preserve">explain this balance of risk versus benefits to us, in the context of its network and why the INTSA </w:t>
      </w:r>
      <w:r w:rsidR="00C41ADD">
        <w:t>offsets</w:t>
      </w:r>
      <w:r w:rsidDel="00C41ADD" w:rsidR="00F76E0C">
        <w:t xml:space="preserve"> </w:t>
      </w:r>
      <w:r w:rsidDel="00C41ADD" w:rsidR="003A59B2">
        <w:t xml:space="preserve">the </w:t>
      </w:r>
      <w:r w:rsidR="00C41ADD">
        <w:t>risk</w:t>
      </w:r>
      <w:r w:rsidR="003A59B2">
        <w:t xml:space="preserve">. We would expect clear </w:t>
      </w:r>
      <w:r w:rsidR="000757EE">
        <w:t xml:space="preserve">justification </w:t>
      </w:r>
      <w:r w:rsidR="007B0C40">
        <w:t xml:space="preserve">for how this is so. </w:t>
      </w:r>
    </w:p>
    <w:p w:rsidR="00C31CB6" w:rsidP="003E0A41" w:rsidRDefault="003E0A41" w14:paraId="44F594C6" w14:textId="309F9443">
      <w:pPr>
        <w:pStyle w:val="Para1"/>
        <w:numPr>
          <w:ilvl w:val="0"/>
          <w:numId w:val="26"/>
        </w:numPr>
      </w:pPr>
      <w:r>
        <w:t>D</w:t>
      </w:r>
      <w:r w:rsidR="00E109C0">
        <w:t xml:space="preserve">emonstrating how something is riskier than </w:t>
      </w:r>
      <w:r w:rsidR="0027215B">
        <w:t xml:space="preserve">business as usual </w:t>
      </w:r>
      <w:r>
        <w:t>could be aided</w:t>
      </w:r>
      <w:r w:rsidRPr="0063208E" w:rsidR="00E109C0">
        <w:rPr>
          <w:i/>
          <w:iCs/>
        </w:rPr>
        <w:t xml:space="preserve"> </w:t>
      </w:r>
      <w:r w:rsidR="00E109C0">
        <w:t>b</w:t>
      </w:r>
      <w:r>
        <w:t>y</w:t>
      </w:r>
      <w:r w:rsidR="00E109C0">
        <w:t xml:space="preserve"> a director’s certificate/sign</w:t>
      </w:r>
      <w:r w:rsidR="005504CF">
        <w:t>-</w:t>
      </w:r>
      <w:r w:rsidR="00E109C0">
        <w:t>off that this project would not otherwise happen</w:t>
      </w:r>
      <w:r w:rsidR="0063208E">
        <w:t xml:space="preserve">. </w:t>
      </w:r>
      <w:r>
        <w:t xml:space="preserve">We consider that in </w:t>
      </w:r>
      <w:r w:rsidR="00C31CB6">
        <w:t xml:space="preserve">meeting </w:t>
      </w:r>
      <w:r>
        <w:t xml:space="preserve">this criterion, an EDB </w:t>
      </w:r>
      <w:r w:rsidR="00975CAE">
        <w:t>could</w:t>
      </w:r>
      <w:r>
        <w:t xml:space="preserve"> </w:t>
      </w:r>
      <w:r w:rsidR="00C31CB6">
        <w:t>demonstrate, evaluate and quantify at least one of the following risks that</w:t>
      </w:r>
      <w:r w:rsidR="00673D7C">
        <w:t>, but for the INTSA,</w:t>
      </w:r>
      <w:r w:rsidR="00C31CB6">
        <w:t xml:space="preserve"> would</w:t>
      </w:r>
      <w:r w:rsidRPr="00EE4966" w:rsidR="00EE4966">
        <w:t xml:space="preserve"> </w:t>
      </w:r>
      <w:r w:rsidR="00EE4966">
        <w:t xml:space="preserve">mean the EDB does not undertake the </w:t>
      </w:r>
      <w:r w:rsidRPr="00EE4966" w:rsidR="00EE4966">
        <w:t>project</w:t>
      </w:r>
      <w:r w:rsidR="003757D8">
        <w:t>:</w:t>
      </w:r>
    </w:p>
    <w:p w:rsidR="003757D8" w:rsidP="003757D8" w:rsidRDefault="003757D8" w14:paraId="129A1480" w14:textId="4D238523">
      <w:pPr>
        <w:pStyle w:val="Para2"/>
        <w:numPr>
          <w:ilvl w:val="1"/>
          <w:numId w:val="26"/>
        </w:numPr>
      </w:pPr>
      <w:r>
        <w:t>Financial;</w:t>
      </w:r>
      <w:r w:rsidR="00201CCA">
        <w:rPr>
          <w:rStyle w:val="FootnoteReference"/>
        </w:rPr>
        <w:footnoteReference w:id="4"/>
      </w:r>
      <w:r>
        <w:t xml:space="preserve"> </w:t>
      </w:r>
    </w:p>
    <w:p w:rsidR="003757D8" w:rsidP="003757D8" w:rsidRDefault="003757D8" w14:paraId="1529BAF2" w14:textId="72117718">
      <w:pPr>
        <w:pStyle w:val="Para2"/>
        <w:numPr>
          <w:ilvl w:val="1"/>
          <w:numId w:val="26"/>
        </w:numPr>
      </w:pPr>
      <w:r>
        <w:t>Reputational;</w:t>
      </w:r>
    </w:p>
    <w:p w:rsidR="003757D8" w:rsidP="003757D8" w:rsidRDefault="003757D8" w14:paraId="391AC97D" w14:textId="6564B87B">
      <w:pPr>
        <w:pStyle w:val="Para2"/>
        <w:numPr>
          <w:ilvl w:val="1"/>
          <w:numId w:val="26"/>
        </w:numPr>
      </w:pPr>
      <w:r>
        <w:t xml:space="preserve">Operational; and/or </w:t>
      </w:r>
    </w:p>
    <w:p w:rsidR="003757D8" w:rsidP="00F074A9" w:rsidRDefault="003757D8" w14:paraId="516B94F4" w14:textId="59336ADF">
      <w:pPr>
        <w:pStyle w:val="Para2"/>
        <w:numPr>
          <w:ilvl w:val="1"/>
          <w:numId w:val="26"/>
        </w:numPr>
      </w:pPr>
      <w:r>
        <w:t>Quality.</w:t>
      </w:r>
      <w:r w:rsidR="00635A4C">
        <w:t xml:space="preserve"> </w:t>
      </w:r>
    </w:p>
    <w:p w:rsidR="008F3F77" w:rsidP="003E0A41" w:rsidRDefault="00635A4C" w14:paraId="5B3851E3" w14:textId="4AA16B37">
      <w:pPr>
        <w:pStyle w:val="Para1"/>
        <w:numPr>
          <w:ilvl w:val="0"/>
          <w:numId w:val="26"/>
        </w:numPr>
      </w:pPr>
      <w:r>
        <w:t>Specifically, this</w:t>
      </w:r>
      <w:r w:rsidR="002B5FC9">
        <w:t xml:space="preserve"> could </w:t>
      </w:r>
      <w:r w:rsidR="00321CE7">
        <w:t>be</w:t>
      </w:r>
      <w:r w:rsidR="002B5FC9">
        <w:t xml:space="preserve"> shown</w:t>
      </w:r>
      <w:r w:rsidR="00ED1ACF">
        <w:t>, for example,</w:t>
      </w:r>
      <w:r w:rsidR="002B5FC9">
        <w:t xml:space="preserve"> by</w:t>
      </w:r>
      <w:r w:rsidR="006301A9">
        <w:t>:</w:t>
      </w:r>
      <w:r w:rsidR="0077094A">
        <w:t xml:space="preserve"> </w:t>
      </w:r>
    </w:p>
    <w:p w:rsidR="00C72DE1" w:rsidP="350DAD07" w:rsidRDefault="006B25FE" w14:paraId="1F6F0329" w14:textId="6E776367">
      <w:pPr>
        <w:pStyle w:val="Para2"/>
      </w:pPr>
      <w:r>
        <w:t xml:space="preserve">in </w:t>
      </w:r>
      <w:r w:rsidR="00ED1ACF">
        <w:t>the case of a financial risk, d</w:t>
      </w:r>
      <w:r w:rsidR="00984E59">
        <w:t xml:space="preserve">emonstration of </w:t>
      </w:r>
      <w:r w:rsidR="00C75CFE">
        <w:t xml:space="preserve">the financial </w:t>
      </w:r>
      <w:r w:rsidR="00984E59">
        <w:t xml:space="preserve">risk of this project versus a more </w:t>
      </w:r>
      <w:r w:rsidR="002B5FC9">
        <w:t>traditional or proven strategy/technology</w:t>
      </w:r>
      <w:r w:rsidR="009855B9">
        <w:t xml:space="preserve">. </w:t>
      </w:r>
      <w:r w:rsidR="00E42441">
        <w:t>As above, the explanation would need to justify how and why the INTSA offsets this risk.</w:t>
      </w:r>
    </w:p>
    <w:p w:rsidR="007C412D" w:rsidP="007C412D" w:rsidRDefault="007C412D" w14:paraId="5CC5A0CE" w14:textId="3A70E7DE">
      <w:pPr>
        <w:pStyle w:val="Para2"/>
      </w:pPr>
      <w:r>
        <w:t xml:space="preserve">in the case of a quality risk, explanation of how the project tests/trials/implements something that is new to the EDB’s network and </w:t>
      </w:r>
      <w:r>
        <w:lastRenderedPageBreak/>
        <w:t>therefore presents a risk to quality of service. The explanation would need to justify how and why the INTSA offsets this risk.</w:t>
      </w:r>
    </w:p>
    <w:p w:rsidR="005F2574" w:rsidP="00CD45A6" w:rsidRDefault="007C412D" w14:paraId="6CEDA3D8" w14:textId="371321C7">
      <w:pPr>
        <w:pStyle w:val="Heading3"/>
      </w:pPr>
      <w:r>
        <w:t xml:space="preserve">Unlikely to otherwise result in any financial benefits </w:t>
      </w:r>
    </w:p>
    <w:p w:rsidR="005433B3" w:rsidP="0011684C" w:rsidRDefault="0011684C" w14:paraId="42ED1325" w14:textId="316DD474">
      <w:pPr>
        <w:pStyle w:val="Para1"/>
      </w:pPr>
      <w:r>
        <w:t>Where an EDB wishes to seek</w:t>
      </w:r>
      <w:r w:rsidDel="003C50F8">
        <w:t xml:space="preserve"> </w:t>
      </w:r>
      <w:r w:rsidR="003C50F8">
        <w:t xml:space="preserve">more </w:t>
      </w:r>
      <w:r>
        <w:t>than 75% of its project costs recovered</w:t>
      </w:r>
      <w:r w:rsidR="004500DF">
        <w:t xml:space="preserve"> (to 100%</w:t>
      </w:r>
      <w:r w:rsidR="000E2F9A">
        <w:t xml:space="preserve"> of project costs)</w:t>
      </w:r>
      <w:r>
        <w:t xml:space="preserve">, it must demonstrate that </w:t>
      </w:r>
      <w:r w:rsidR="00F12BCA">
        <w:t xml:space="preserve">its project is unlikely to otherwise result in any financial benefits to the EDB. </w:t>
      </w:r>
    </w:p>
    <w:p w:rsidR="0011684C" w:rsidP="0011684C" w:rsidRDefault="009B3253" w14:paraId="613272EB" w14:textId="763D15F5">
      <w:pPr>
        <w:pStyle w:val="Para1"/>
      </w:pPr>
      <w:r>
        <w:t xml:space="preserve">The above requirement provides for </w:t>
      </w:r>
      <w:r w:rsidR="005E58B2">
        <w:t xml:space="preserve">situations where an EDB is </w:t>
      </w:r>
      <w:r>
        <w:t xml:space="preserve">otherwise </w:t>
      </w:r>
      <w:r w:rsidR="005E58B2">
        <w:t xml:space="preserve">disincentivised to undertake a project because the resulting efficiency gain/output of that project is not one that will yield </w:t>
      </w:r>
      <w:r w:rsidR="005433B3">
        <w:t xml:space="preserve">a </w:t>
      </w:r>
      <w:r w:rsidR="005E58B2">
        <w:t xml:space="preserve">financial </w:t>
      </w:r>
      <w:r w:rsidR="005433B3">
        <w:t>benefit</w:t>
      </w:r>
      <w:r w:rsidR="005E58B2">
        <w:t>. For instance</w:t>
      </w:r>
      <w:r w:rsidR="00913652">
        <w:t xml:space="preserve"> – where its consumers </w:t>
      </w:r>
      <w:r w:rsidR="00034BF2">
        <w:t xml:space="preserve">or third parties </w:t>
      </w:r>
      <w:r w:rsidR="00913652">
        <w:t xml:space="preserve">will reap all the benefits </w:t>
      </w:r>
      <w:r w:rsidR="00A623BA">
        <w:t xml:space="preserve">of </w:t>
      </w:r>
      <w:r w:rsidR="00D62E1D">
        <w:t>that</w:t>
      </w:r>
      <w:r w:rsidRPr="00D62E1D" w:rsidR="00D62E1D">
        <w:t xml:space="preserve"> </w:t>
      </w:r>
      <w:r w:rsidR="00D62E1D">
        <w:t>efficiency gain/output</w:t>
      </w:r>
      <w:r w:rsidR="00A623BA">
        <w:t xml:space="preserve"> </w:t>
      </w:r>
      <w:r w:rsidR="00913652">
        <w:t xml:space="preserve">and the EDB none, </w:t>
      </w:r>
      <w:r w:rsidR="00DB7437">
        <w:t>and the</w:t>
      </w:r>
      <w:r w:rsidR="00157518">
        <w:t>refore</w:t>
      </w:r>
      <w:r w:rsidR="003D5239">
        <w:t xml:space="preserve"> may </w:t>
      </w:r>
      <w:r w:rsidR="00D51E13">
        <w:t xml:space="preserve">be disincentivised </w:t>
      </w:r>
      <w:r w:rsidR="00DB7437">
        <w:t>to undertake</w:t>
      </w:r>
      <w:r w:rsidR="00D5599F">
        <w:t xml:space="preserve"> the </w:t>
      </w:r>
      <w:r w:rsidR="00DB7437">
        <w:t>project.</w:t>
      </w:r>
      <w:r w:rsidR="0017730E">
        <w:t xml:space="preserve"> </w:t>
      </w:r>
      <w:r>
        <w:t>T</w:t>
      </w:r>
      <w:r w:rsidR="005542F0">
        <w:t>o meet this requirement, t</w:t>
      </w:r>
      <w:r>
        <w:t>he EDB would need to demonstrate, evaluate</w:t>
      </w:r>
      <w:r w:rsidR="005433B3">
        <w:t xml:space="preserve"> and quantify how the project would </w:t>
      </w:r>
      <w:r w:rsidR="00F63136">
        <w:t xml:space="preserve">be unlikely to </w:t>
      </w:r>
      <w:r w:rsidR="00327732">
        <w:t xml:space="preserve">otherwise </w:t>
      </w:r>
      <w:r w:rsidR="00F63136">
        <w:t>result</w:t>
      </w:r>
      <w:r w:rsidR="00C61336">
        <w:t xml:space="preserve"> </w:t>
      </w:r>
      <w:r w:rsidR="005C2684">
        <w:t xml:space="preserve">in </w:t>
      </w:r>
      <w:r w:rsidR="005433B3">
        <w:t xml:space="preserve">financial benefits </w:t>
      </w:r>
      <w:r w:rsidR="0023110F">
        <w:t>to the EDB</w:t>
      </w:r>
      <w:r w:rsidR="005433B3">
        <w:t>.</w:t>
      </w:r>
      <w:r>
        <w:t xml:space="preserve"> </w:t>
      </w:r>
      <w:r w:rsidR="00D60B5F">
        <w:t>W</w:t>
      </w:r>
      <w:r w:rsidR="00134DEC">
        <w:t xml:space="preserve">e explore this </w:t>
      </w:r>
      <w:r w:rsidR="00D60B5F">
        <w:t>more in the example below</w:t>
      </w:r>
      <w:r w:rsidR="00F65036">
        <w:t xml:space="preserve">. </w:t>
      </w:r>
    </w:p>
    <w:p w:rsidRPr="00C24291" w:rsidR="00E109C0" w:rsidP="00CD45A6" w:rsidRDefault="007957F4" w14:paraId="520782F6" w14:textId="49A28093">
      <w:pPr>
        <w:pStyle w:val="Heading3"/>
        <w:rPr>
          <w:iCs/>
        </w:rPr>
      </w:pPr>
      <w:r w:rsidRPr="00792487">
        <w:t>High-level</w:t>
      </w:r>
      <w:r w:rsidRPr="00792487" w:rsidR="00B556A9">
        <w:t xml:space="preserve"> example</w:t>
      </w:r>
      <w:r w:rsidR="003E0051">
        <w:t>s</w:t>
      </w:r>
      <w:r w:rsidRPr="00792487" w:rsidR="00B556A9">
        <w:t xml:space="preserve"> </w:t>
      </w:r>
    </w:p>
    <w:p w:rsidR="00C8783C" w:rsidP="00CD45A6" w:rsidRDefault="005E58B2" w14:paraId="2AE92EBE" w14:textId="4A6956D1">
      <w:pPr>
        <w:pStyle w:val="Para1"/>
      </w:pPr>
      <w:r>
        <w:t xml:space="preserve">We offer some high-level </w:t>
      </w:r>
      <w:r w:rsidR="000E3AC8">
        <w:t>hypothetical</w:t>
      </w:r>
      <w:r>
        <w:t xml:space="preserve"> examples for how an EDB might meet the eligibility criteria </w:t>
      </w:r>
      <w:r w:rsidR="0068212B">
        <w:t>(including</w:t>
      </w:r>
      <w:r>
        <w:t xml:space="preserve"> the </w:t>
      </w:r>
      <w:r w:rsidR="00D67090">
        <w:t>requirement for an EDB seeking</w:t>
      </w:r>
      <w:r w:rsidDel="003C50F8" w:rsidR="00D67090">
        <w:t xml:space="preserve"> </w:t>
      </w:r>
      <w:r w:rsidR="00033D7B">
        <w:t xml:space="preserve">recovery of </w:t>
      </w:r>
      <w:r w:rsidR="00D67090">
        <w:t xml:space="preserve">more than 75% of its project costs to </w:t>
      </w:r>
      <w:r w:rsidR="00960B69">
        <w:t>demonstrat</w:t>
      </w:r>
      <w:r w:rsidR="00D67090">
        <w:t>e</w:t>
      </w:r>
      <w:r w:rsidR="00960B69">
        <w:t xml:space="preserve"> how a project is unlikely to otherwise result in financial benefits).</w:t>
      </w:r>
    </w:p>
    <w:p w:rsidR="00F47FF5" w:rsidP="00CD45A6" w:rsidRDefault="00811875" w14:paraId="733ED6D0" w14:textId="36DB36CD">
      <w:pPr>
        <w:pStyle w:val="Para1"/>
      </w:pPr>
      <w:r>
        <w:t xml:space="preserve">To illustrate the </w:t>
      </w:r>
      <w:r w:rsidR="0068212B">
        <w:t xml:space="preserve">first two </w:t>
      </w:r>
      <w:r>
        <w:t xml:space="preserve">eligibility </w:t>
      </w:r>
      <w:r w:rsidR="002E27A0">
        <w:t>criteria</w:t>
      </w:r>
      <w:r>
        <w:t>, we use</w:t>
      </w:r>
      <w:r w:rsidR="002E27A0">
        <w:t xml:space="preserve"> </w:t>
      </w:r>
      <w:r w:rsidR="005E58B2">
        <w:t>a</w:t>
      </w:r>
      <w:r>
        <w:t>s an example</w:t>
      </w:r>
      <w:r w:rsidR="005E58B2">
        <w:t xml:space="preserve"> a simple, hypothetical flexibility technology solution project</w:t>
      </w:r>
      <w:r w:rsidR="0068212B">
        <w:t>:</w:t>
      </w:r>
      <w:r w:rsidR="00E91F2D">
        <w:t xml:space="preserve"> </w:t>
      </w:r>
      <w:r w:rsidR="00B34255">
        <w:t xml:space="preserve">where an EDB may apply for the INTSA to recover operating </w:t>
      </w:r>
      <w:r w:rsidR="007469FA">
        <w:t>expenditure</w:t>
      </w:r>
      <w:r w:rsidR="00B34255">
        <w:t xml:space="preserve"> to procure d</w:t>
      </w:r>
      <w:r w:rsidR="007469FA">
        <w:t>emand management flexibility services to manage load on part of its network and efficiently defer capex.</w:t>
      </w:r>
      <w:r w:rsidR="003B3636">
        <w:t xml:space="preserve"> </w:t>
      </w:r>
    </w:p>
    <w:p w:rsidR="00A72007" w:rsidP="00CD45A6" w:rsidRDefault="00F47FF5" w14:paraId="369B0BB4" w14:textId="402E6DAD">
      <w:pPr>
        <w:pStyle w:val="Para1"/>
      </w:pPr>
      <w:r>
        <w:t>We</w:t>
      </w:r>
      <w:r w:rsidR="003D28E4">
        <w:t xml:space="preserve"> use a</w:t>
      </w:r>
      <w:r w:rsidR="000E3AC8">
        <w:t xml:space="preserve"> variety of</w:t>
      </w:r>
      <w:r w:rsidR="003D28E4">
        <w:t xml:space="preserve"> </w:t>
      </w:r>
      <w:r w:rsidR="000E3AC8">
        <w:t>hypothetical</w:t>
      </w:r>
      <w:r w:rsidR="003D28E4">
        <w:t xml:space="preserve"> </w:t>
      </w:r>
      <w:r w:rsidR="004671E2">
        <w:t>prompts</w:t>
      </w:r>
      <w:r w:rsidR="003D28E4">
        <w:t xml:space="preserve"> to</w:t>
      </w:r>
      <w:r>
        <w:t xml:space="preserve"> discuss</w:t>
      </w:r>
      <w:r w:rsidR="00A72007">
        <w:t xml:space="preserve"> the </w:t>
      </w:r>
      <w:r w:rsidR="002F425B">
        <w:t xml:space="preserve">‘riskier than BAU’ and </w:t>
      </w:r>
      <w:r w:rsidR="0004502C">
        <w:t>‘project is unlikely to result in any financial benefits’</w:t>
      </w:r>
      <w:r w:rsidR="002F425B">
        <w:t xml:space="preserve"> </w:t>
      </w:r>
      <w:r w:rsidR="005514F7">
        <w:t xml:space="preserve">requirements </w:t>
      </w:r>
      <w:r>
        <w:t xml:space="preserve">at a </w:t>
      </w:r>
      <w:r w:rsidR="00E91F2D">
        <w:t>higher</w:t>
      </w:r>
      <w:r>
        <w:t xml:space="preserve"> level</w:t>
      </w:r>
      <w:r w:rsidR="004671E2">
        <w:t>.</w:t>
      </w:r>
      <w:r>
        <w:t xml:space="preserve"> </w:t>
      </w:r>
      <w:r w:rsidR="004671E2">
        <w:t>W</w:t>
      </w:r>
      <w:r w:rsidR="009B2707">
        <w:t xml:space="preserve">e consider that EDBs are best placed to </w:t>
      </w:r>
      <w:r w:rsidR="003902A6">
        <w:t>describe</w:t>
      </w:r>
      <w:r w:rsidR="008C7D5D">
        <w:t xml:space="preserve"> their project</w:t>
      </w:r>
      <w:r w:rsidR="003902A6">
        <w:t xml:space="preserve">s in </w:t>
      </w:r>
      <w:proofErr w:type="gramStart"/>
      <w:r w:rsidR="003902A6">
        <w:t>detail, and</w:t>
      </w:r>
      <w:proofErr w:type="gramEnd"/>
      <w:r w:rsidR="003902A6">
        <w:t xml:space="preserve"> demonstrate the specific rationale </w:t>
      </w:r>
      <w:r w:rsidR="00E91F2D">
        <w:t xml:space="preserve">for their eligibility. </w:t>
      </w:r>
    </w:p>
    <w:p w:rsidR="000C5D9D" w:rsidP="00CD45A6" w:rsidRDefault="00B965F5" w14:paraId="283C367C" w14:textId="1AFE3D4A">
      <w:pPr>
        <w:pStyle w:val="Para1"/>
      </w:pPr>
      <w:r>
        <w:t>T</w:t>
      </w:r>
      <w:r w:rsidR="003B3636">
        <w:t xml:space="preserve">he light </w:t>
      </w:r>
      <w:r>
        <w:t xml:space="preserve">level of </w:t>
      </w:r>
      <w:r w:rsidR="003B3636">
        <w:t>detail provided</w:t>
      </w:r>
      <w:r>
        <w:t xml:space="preserve"> for each of the different examples</w:t>
      </w:r>
      <w:r w:rsidR="00085046">
        <w:t xml:space="preserve"> is indicative only</w:t>
      </w:r>
      <w:r w:rsidR="003B3636">
        <w:t xml:space="preserve">, </w:t>
      </w:r>
      <w:r w:rsidR="00085046">
        <w:t>and</w:t>
      </w:r>
      <w:r w:rsidR="003B3636">
        <w:t xml:space="preserve"> </w:t>
      </w:r>
      <w:r w:rsidR="0065049E">
        <w:t>i</w:t>
      </w:r>
      <w:r w:rsidR="003B3636">
        <w:t xml:space="preserve">n and of itself </w:t>
      </w:r>
      <w:r>
        <w:t xml:space="preserve">may </w:t>
      </w:r>
      <w:r w:rsidR="00085046">
        <w:t>not be sufficient</w:t>
      </w:r>
      <w:r w:rsidR="003B3636">
        <w:t xml:space="preserve"> to </w:t>
      </w:r>
      <w:r w:rsidR="0047486D">
        <w:t xml:space="preserve">form a satisfactory answer to the information that would be required by the </w:t>
      </w:r>
      <w:r>
        <w:t>relevant criteria</w:t>
      </w:r>
      <w:r w:rsidR="004C518D">
        <w:t xml:space="preserve"> in each case</w:t>
      </w:r>
      <w:r w:rsidR="0065049E">
        <w:t xml:space="preserve">. </w:t>
      </w:r>
    </w:p>
    <w:p w:rsidR="000C5D9D" w:rsidP="00E109C0" w:rsidRDefault="000C5D9D" w14:paraId="739C82F2" w14:textId="77777777"/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823"/>
        <w:gridCol w:w="4765"/>
      </w:tblGrid>
      <w:tr w:rsidR="005D16A3" w:rsidTr="00EB4229" w14:paraId="5BF97B7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5D16A3" w:rsidP="00923F08" w:rsidRDefault="005D16A3" w14:paraId="14D36DBE" w14:textId="77777777">
            <w:r w:rsidRPr="0020430B">
              <w:t>Information required</w:t>
            </w:r>
          </w:p>
        </w:tc>
        <w:tc>
          <w:tcPr>
            <w:tcW w:w="4765" w:type="dxa"/>
          </w:tcPr>
          <w:p w:rsidR="005D16A3" w:rsidP="00923F08" w:rsidRDefault="005D16A3" w14:paraId="0E25D217" w14:textId="36797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Evidence</w:t>
            </w:r>
          </w:p>
        </w:tc>
      </w:tr>
      <w:tr w:rsidR="005D16A3" w:rsidTr="00EB4229" w14:paraId="292E62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5D16A3" w:rsidP="00923F08" w:rsidRDefault="005D16A3" w14:paraId="0D019C02" w14:textId="37C598AC">
            <w:r>
              <w:t xml:space="preserve">Relates to the supply of electricity </w:t>
            </w:r>
            <w:r w:rsidR="008766FC">
              <w:t xml:space="preserve">distribution </w:t>
            </w:r>
            <w:r>
              <w:t xml:space="preserve">services </w:t>
            </w:r>
          </w:p>
        </w:tc>
        <w:tc>
          <w:tcPr>
            <w:tcW w:w="4765" w:type="dxa"/>
          </w:tcPr>
          <w:p w:rsidR="005D16A3" w:rsidP="00923F08" w:rsidRDefault="004B23E7" w14:paraId="11CAB92B" w14:textId="030D1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3AC8">
              <w:rPr>
                <w:u w:val="single"/>
              </w:rPr>
              <w:t xml:space="preserve">Flexibility </w:t>
            </w:r>
            <w:r w:rsidR="00742D6C">
              <w:rPr>
                <w:u w:val="single"/>
              </w:rPr>
              <w:t>project</w:t>
            </w:r>
            <w:r>
              <w:rPr>
                <w:u w:val="single"/>
              </w:rPr>
              <w:t xml:space="preserve"> </w:t>
            </w:r>
            <w:r w:rsidRPr="000E3AC8">
              <w:rPr>
                <w:u w:val="single"/>
              </w:rPr>
              <w:t>example</w:t>
            </w:r>
            <w:r w:rsidRPr="00CD45A6">
              <w:rPr>
                <w:u w:val="single"/>
              </w:rPr>
              <w:t>:</w:t>
            </w:r>
            <w:r>
              <w:rPr>
                <w:i/>
                <w:iCs/>
              </w:rPr>
              <w:t xml:space="preserve"> </w:t>
            </w:r>
            <w:r w:rsidR="005D16A3">
              <w:t xml:space="preserve">This project relates to the supply of electricity </w:t>
            </w:r>
            <w:r w:rsidR="00BF35A4">
              <w:t xml:space="preserve">distribution </w:t>
            </w:r>
            <w:r w:rsidR="005D16A3">
              <w:t xml:space="preserve">services because it </w:t>
            </w:r>
            <w:r w:rsidR="00256A1B">
              <w:t>will help</w:t>
            </w:r>
            <w:r w:rsidR="00E9279E">
              <w:t xml:space="preserve"> </w:t>
            </w:r>
            <w:r w:rsidR="005A5F94">
              <w:t>manage load on the</w:t>
            </w:r>
            <w:r w:rsidR="00C54BDB">
              <w:t xml:space="preserve"> EDB’s network by </w:t>
            </w:r>
            <w:r w:rsidR="00E9279E">
              <w:t>shift</w:t>
            </w:r>
            <w:r w:rsidR="00C54BDB">
              <w:t>ing</w:t>
            </w:r>
            <w:r w:rsidR="00E9279E">
              <w:t xml:space="preserve"> the demand profile for electricity</w:t>
            </w:r>
            <w:r w:rsidR="007957F4">
              <w:t xml:space="preserve"> conveyed by the existing infrastructure within the network</w:t>
            </w:r>
            <w:r w:rsidR="004B4FF5">
              <w:t xml:space="preserve">. </w:t>
            </w:r>
            <w:r w:rsidR="003A1CF7">
              <w:t xml:space="preserve"> </w:t>
            </w:r>
          </w:p>
        </w:tc>
      </w:tr>
      <w:tr w:rsidR="005D16A3" w:rsidTr="00EB4229" w14:paraId="2D455C10" w14:textId="77777777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5D16A3" w:rsidP="00923F08" w:rsidRDefault="005D16A3" w14:paraId="7379B4C9" w14:textId="77777777">
            <w:r>
              <w:lastRenderedPageBreak/>
              <w:t>Promotes the Part 4 Purpose of the Act</w:t>
            </w:r>
          </w:p>
        </w:tc>
        <w:tc>
          <w:tcPr>
            <w:tcW w:w="4765" w:type="dxa"/>
          </w:tcPr>
          <w:p w:rsidR="004B0E35" w:rsidP="00923F08" w:rsidRDefault="000E3AC8" w14:paraId="4F034EE8" w14:textId="455D7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5A6">
              <w:rPr>
                <w:u w:val="single"/>
              </w:rPr>
              <w:t xml:space="preserve">Flexibility </w:t>
            </w:r>
            <w:r w:rsidR="00742D6C">
              <w:rPr>
                <w:u w:val="single"/>
              </w:rPr>
              <w:t xml:space="preserve">project </w:t>
            </w:r>
            <w:r w:rsidRPr="00CD45A6">
              <w:rPr>
                <w:u w:val="single"/>
              </w:rPr>
              <w:t>example:</w:t>
            </w:r>
            <w:r>
              <w:rPr>
                <w:i/>
                <w:iCs/>
              </w:rPr>
              <w:t xml:space="preserve"> </w:t>
            </w:r>
            <w:r w:rsidR="004A481B">
              <w:t>This project</w:t>
            </w:r>
            <w:r w:rsidR="009613E1">
              <w:t xml:space="preserve"> </w:t>
            </w:r>
            <w:r w:rsidR="004A481B">
              <w:t>promote</w:t>
            </w:r>
            <w:r w:rsidR="000267FE">
              <w:t>s</w:t>
            </w:r>
            <w:r w:rsidR="004A481B">
              <w:t xml:space="preserve"> the </w:t>
            </w:r>
            <w:r w:rsidR="003F3DE4">
              <w:t>s 52A(1)(b) and (</w:t>
            </w:r>
            <w:r w:rsidR="00A27173">
              <w:t>c</w:t>
            </w:r>
            <w:r w:rsidR="003F3DE4">
              <w:t xml:space="preserve">) limbs of the </w:t>
            </w:r>
            <w:r w:rsidR="004A481B">
              <w:t>P</w:t>
            </w:r>
            <w:r w:rsidR="009613E1">
              <w:t>art 4 purpose of the Act by</w:t>
            </w:r>
            <w:r w:rsidR="004B0E35">
              <w:t>:</w:t>
            </w:r>
            <w:r w:rsidR="009613E1">
              <w:t xml:space="preserve"> </w:t>
            </w:r>
          </w:p>
          <w:p w:rsidR="00CA31CE" w:rsidP="0094291E" w:rsidRDefault="00CC4207" w14:paraId="54FBF45A" w14:textId="00753ED3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enabling </w:t>
            </w:r>
            <w:r w:rsidR="0015201E">
              <w:t>efficiency gains related to</w:t>
            </w:r>
            <w:r w:rsidR="002C36A5">
              <w:t xml:space="preserve"> </w:t>
            </w:r>
            <w:r w:rsidR="00404C42">
              <w:t xml:space="preserve">better asset management practices </w:t>
            </w:r>
            <w:r w:rsidR="00D07C55">
              <w:t xml:space="preserve">from </w:t>
            </w:r>
            <w:r w:rsidR="00007BF0">
              <w:t xml:space="preserve">delaying the need for </w:t>
            </w:r>
            <w:r w:rsidR="004B0E35">
              <w:t xml:space="preserve">expenditure on </w:t>
            </w:r>
            <w:r w:rsidR="00DA38ED">
              <w:t>network</w:t>
            </w:r>
            <w:r w:rsidR="003B3636">
              <w:t xml:space="preserve"> upgrade</w:t>
            </w:r>
            <w:r w:rsidR="00DA38ED">
              <w:t>s</w:t>
            </w:r>
            <w:r w:rsidR="00B87A55">
              <w:t xml:space="preserve">. </w:t>
            </w:r>
          </w:p>
          <w:p w:rsidR="00CA31CE" w:rsidP="00923F08" w:rsidRDefault="00CA31CE" w14:paraId="254AACF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D16A3" w:rsidP="0094291E" w:rsidRDefault="00821499" w14:paraId="1F196BB2" w14:textId="09F88F45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enabling c</w:t>
            </w:r>
            <w:r w:rsidR="00D07C55">
              <w:t>onsumers</w:t>
            </w:r>
            <w:r w:rsidDel="00821499" w:rsidR="00D07C55">
              <w:t xml:space="preserve"> </w:t>
            </w:r>
            <w:r>
              <w:t xml:space="preserve">to </w:t>
            </w:r>
            <w:r w:rsidR="00D07C55">
              <w:t xml:space="preserve">benefit by lower costs overall </w:t>
            </w:r>
            <w:r w:rsidR="00386B7E">
              <w:t xml:space="preserve">and/or better quality of service </w:t>
            </w:r>
            <w:r w:rsidR="009618A9">
              <w:t>if</w:t>
            </w:r>
            <w:r w:rsidR="00386B7E">
              <w:t xml:space="preserve"> </w:t>
            </w:r>
            <w:r w:rsidR="009D439C">
              <w:t>the project</w:t>
            </w:r>
            <w:r w:rsidR="00B87A55">
              <w:t xml:space="preserve"> would </w:t>
            </w:r>
            <w:r w:rsidR="0001532C">
              <w:t>result</w:t>
            </w:r>
            <w:r w:rsidR="00163DE9">
              <w:t xml:space="preserve"> in </w:t>
            </w:r>
            <w:r w:rsidR="00721F98">
              <w:t>widespread roll-out of this technology and</w:t>
            </w:r>
            <w:r w:rsidDel="00821499" w:rsidR="00721F98">
              <w:t xml:space="preserve"> </w:t>
            </w:r>
            <w:r w:rsidR="00134DEC">
              <w:t xml:space="preserve">efficient </w:t>
            </w:r>
            <w:r w:rsidR="00721F98">
              <w:t xml:space="preserve">delay </w:t>
            </w:r>
            <w:r w:rsidR="009618A9">
              <w:t xml:space="preserve">of </w:t>
            </w:r>
            <w:r w:rsidR="00137F63">
              <w:t xml:space="preserve">multiple traditional infrastructure upgrades, and potentially reduce outages </w:t>
            </w:r>
            <w:proofErr w:type="gramStart"/>
            <w:r w:rsidR="00D114E3">
              <w:t xml:space="preserve">as </w:t>
            </w:r>
            <w:r w:rsidR="009E3DC7">
              <w:t xml:space="preserve">a </w:t>
            </w:r>
            <w:r w:rsidR="00D114E3">
              <w:t>result of</w:t>
            </w:r>
            <w:proofErr w:type="gramEnd"/>
            <w:r w:rsidR="00D114E3">
              <w:t xml:space="preserve"> increased peak demand. </w:t>
            </w:r>
          </w:p>
        </w:tc>
      </w:tr>
      <w:tr w:rsidR="005D16A3" w:rsidTr="00EB4229" w14:paraId="059885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5D16A3" w:rsidP="00923F08" w:rsidRDefault="005D16A3" w14:paraId="58E9A7D4" w14:textId="77777777">
            <w:r>
              <w:t>Is riskier than business as usual</w:t>
            </w:r>
          </w:p>
        </w:tc>
        <w:tc>
          <w:tcPr>
            <w:tcW w:w="4765" w:type="dxa"/>
          </w:tcPr>
          <w:p w:rsidR="00EA79D9" w:rsidP="00EA2833" w:rsidRDefault="002A51AE" w14:paraId="559C35F9" w14:textId="1B88F3A8">
            <w:pPr>
              <w:pStyle w:val="Para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why</w:t>
            </w:r>
            <w:r w:rsidR="00EA79D9">
              <w:t xml:space="preserve">, but for the INTSA, </w:t>
            </w:r>
            <w:r w:rsidR="00D72F51">
              <w:t xml:space="preserve">one or more of the following </w:t>
            </w:r>
            <w:r w:rsidR="00C51EFB">
              <w:t xml:space="preserve">various </w:t>
            </w:r>
            <w:r w:rsidR="00D72F51">
              <w:t xml:space="preserve">risks </w:t>
            </w:r>
            <w:r w:rsidR="00EA79D9">
              <w:t>would</w:t>
            </w:r>
            <w:r w:rsidRPr="00EE4966" w:rsidR="00EA79D9">
              <w:t xml:space="preserve"> </w:t>
            </w:r>
            <w:r w:rsidR="00EA79D9">
              <w:t xml:space="preserve">mean the EDB does not undertake the </w:t>
            </w:r>
            <w:r w:rsidRPr="00EE4966" w:rsidR="00EA79D9">
              <w:t>project</w:t>
            </w:r>
            <w:r w:rsidR="00997981">
              <w:t>.</w:t>
            </w:r>
            <w:r>
              <w:t xml:space="preserve"> </w:t>
            </w:r>
          </w:p>
          <w:p w:rsidR="00EA2833" w:rsidP="00EA2833" w:rsidRDefault="00EA2833" w14:paraId="5C934080" w14:textId="195554A8">
            <w:pPr>
              <w:pStyle w:val="Para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291E">
              <w:rPr>
                <w:i/>
              </w:rPr>
              <w:t>Financial</w:t>
            </w:r>
            <w:r>
              <w:t xml:space="preserve"> </w:t>
            </w:r>
          </w:p>
          <w:p w:rsidR="00EA2833" w:rsidP="00EA2833" w:rsidRDefault="0070389B" w14:paraId="181E5408" w14:textId="6A873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EDB could p</w:t>
            </w:r>
            <w:r w:rsidR="00EA2833">
              <w:t>rovide a description, quantification and assessment of the financial risk to the EDB.</w:t>
            </w:r>
            <w:r w:rsidDel="00EA79D9" w:rsidR="00EA2833">
              <w:t xml:space="preserve"> </w:t>
            </w:r>
          </w:p>
          <w:p w:rsidR="00AB3278" w:rsidP="00EA2833" w:rsidRDefault="00AB3278" w14:paraId="192C417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A2833" w:rsidP="00EA2833" w:rsidRDefault="00EA2833" w14:paraId="2D7E7CEF" w14:textId="0DF75728">
            <w:pPr>
              <w:pStyle w:val="Para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291E">
              <w:rPr>
                <w:i/>
              </w:rPr>
              <w:t>Reputational</w:t>
            </w:r>
          </w:p>
          <w:p w:rsidR="00EA2833" w:rsidP="00EA2833" w:rsidRDefault="0070389B" w14:paraId="688B9C49" w14:textId="64D75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EDB could a</w:t>
            </w:r>
            <w:r w:rsidR="00EA2833">
              <w:t>ssess and quantify the level of reputational risk to the business of not undertaking the innovation and how the innovation will reduce or enhance the EDB</w:t>
            </w:r>
            <w:r w:rsidR="00D72F51">
              <w:t>’</w:t>
            </w:r>
            <w:r w:rsidR="00EA2833">
              <w:t xml:space="preserve">s reputation. </w:t>
            </w:r>
          </w:p>
          <w:p w:rsidR="00EA2833" w:rsidP="00EA2833" w:rsidRDefault="00EA2833" w14:paraId="4EF796F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A2833" w:rsidP="00EA2833" w:rsidRDefault="00EA2833" w14:paraId="04CC558D" w14:textId="28A26064">
            <w:pPr>
              <w:pStyle w:val="Para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5A6">
              <w:rPr>
                <w:i/>
                <w:iCs/>
              </w:rPr>
              <w:t>Operational; and</w:t>
            </w:r>
            <w:r w:rsidRPr="000C1DBE">
              <w:rPr>
                <w:i/>
              </w:rPr>
              <w:t>/or Quality</w:t>
            </w:r>
          </w:p>
          <w:p w:rsidR="00C65774" w:rsidP="00923F08" w:rsidRDefault="0070389B" w14:paraId="16D85DF0" w14:textId="070DD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EDB could d</w:t>
            </w:r>
            <w:r w:rsidR="00EA2833">
              <w:t xml:space="preserve">etail, assess and quantify the current risks to the business and the level of exposure. </w:t>
            </w:r>
            <w:r w:rsidR="00674F2B">
              <w:t>E.g.</w:t>
            </w:r>
            <w:r w:rsidR="00EA2833">
              <w:t xml:space="preserve">, the failure accounts for X% of failures and the probability if increase is X% over the next 5 / 10 years, this results in an increase of SAIDI and SAIFI of X. </w:t>
            </w:r>
          </w:p>
        </w:tc>
      </w:tr>
      <w:tr w:rsidR="002301D8" w:rsidTr="00EB4229" w14:paraId="4089AF3E" w14:textId="77777777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2301D8" w:rsidP="00923F08" w:rsidRDefault="00E706AB" w14:paraId="56827A49" w14:textId="7F5622DF">
            <w:r>
              <w:t>For an EDB seeking</w:t>
            </w:r>
            <w:r w:rsidDel="003C50F8">
              <w:t xml:space="preserve"> </w:t>
            </w:r>
            <w:r>
              <w:t>recovery of more than 75% of its project costs: the</w:t>
            </w:r>
            <w:r w:rsidR="001947B8">
              <w:t xml:space="preserve"> </w:t>
            </w:r>
            <w:r w:rsidR="00B947EC">
              <w:t xml:space="preserve">project is unlikely to </w:t>
            </w:r>
            <w:r>
              <w:t xml:space="preserve">otherwise </w:t>
            </w:r>
            <w:r w:rsidR="00B947EC">
              <w:t xml:space="preserve">result in any financial benefits </w:t>
            </w:r>
          </w:p>
        </w:tc>
        <w:tc>
          <w:tcPr>
            <w:tcW w:w="4765" w:type="dxa"/>
          </w:tcPr>
          <w:p w:rsidR="006F23FA" w:rsidP="00EA2833" w:rsidRDefault="00F242AC" w14:paraId="47B8F411" w14:textId="20AF6930">
            <w:pPr>
              <w:pStyle w:val="Para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 outlined above, w</w:t>
            </w:r>
            <w:r w:rsidR="00203A38">
              <w:t xml:space="preserve">e consider there may </w:t>
            </w:r>
            <w:r w:rsidR="00674F2B">
              <w:t>be situations</w:t>
            </w:r>
            <w:r w:rsidR="00203A38">
              <w:t xml:space="preserve"> where an EDB is disincentivised to undertake a project because the resulting efficiency gain</w:t>
            </w:r>
            <w:r w:rsidR="00444604">
              <w:t>/output</w:t>
            </w:r>
            <w:r w:rsidR="00203A38">
              <w:t xml:space="preserve"> of that project </w:t>
            </w:r>
            <w:r w:rsidR="00362E5E">
              <w:t xml:space="preserve">is not one that will yield financial return. We </w:t>
            </w:r>
            <w:r w:rsidR="00362E5E">
              <w:lastRenderedPageBreak/>
              <w:t>consider this most likely to be in scenarios where consumers or third parties reap the full benefits of the project.</w:t>
            </w:r>
          </w:p>
          <w:p w:rsidR="002301D8" w:rsidP="00EA2833" w:rsidRDefault="00362E5E" w14:paraId="669A17A3" w14:textId="67C49804">
            <w:pPr>
              <w:pStyle w:val="Para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instance, an EDB may wish to undertake a project which it has not forecasted, that may test new technology. This project may result in improved quality of service to its consumers, </w:t>
            </w:r>
            <w:r w:rsidR="00270696">
              <w:t xml:space="preserve">but with no </w:t>
            </w:r>
            <w:r w:rsidR="00274EED">
              <w:t>financial benefits to the EDB</w:t>
            </w:r>
            <w:r w:rsidR="00615AE0">
              <w:t xml:space="preserve">. </w:t>
            </w:r>
          </w:p>
        </w:tc>
      </w:tr>
    </w:tbl>
    <w:p w:rsidR="0074122F" w:rsidP="00E109C0" w:rsidRDefault="0074122F" w14:paraId="6518C6E6" w14:textId="77777777"/>
    <w:p w:rsidR="000C5D9D" w:rsidP="000C5D9D" w:rsidRDefault="000C5D9D" w14:paraId="1180F379" w14:textId="080E96E2">
      <w:pPr>
        <w:pStyle w:val="Heading2"/>
      </w:pPr>
      <w:r>
        <w:t xml:space="preserve">Stage 2: Project-specific information under </w:t>
      </w:r>
      <w:r w:rsidR="00567904">
        <w:t xml:space="preserve">paragraph </w:t>
      </w:r>
      <w:r>
        <w:t>(3)</w:t>
      </w:r>
      <w:r w:rsidR="00567904">
        <w:t xml:space="preserve"> of Schedule 5.3</w:t>
      </w:r>
    </w:p>
    <w:p w:rsidR="000C5D9D" w:rsidP="00E109C0" w:rsidRDefault="000C5D9D" w14:paraId="4DC173B6" w14:textId="77777777"/>
    <w:p w:rsidR="00FE10A3" w:rsidP="0074122F" w:rsidRDefault="0074122F" w14:paraId="230D9EAF" w14:textId="4C587A61">
      <w:pPr>
        <w:pStyle w:val="Para1"/>
        <w:numPr>
          <w:ilvl w:val="0"/>
          <w:numId w:val="28"/>
        </w:numPr>
      </w:pPr>
      <w:r>
        <w:t xml:space="preserve">After stage 1, there are </w:t>
      </w:r>
      <w:r w:rsidR="00D949AB">
        <w:t>secondary</w:t>
      </w:r>
      <w:r w:rsidR="00497E71">
        <w:t>,</w:t>
      </w:r>
      <w:r>
        <w:t xml:space="preserve"> mandatory information</w:t>
      </w:r>
      <w:r w:rsidR="0063122B">
        <w:t xml:space="preserve"> requirements</w:t>
      </w:r>
      <w:r w:rsidR="00A94539">
        <w:t xml:space="preserve"> under </w:t>
      </w:r>
      <w:r w:rsidR="00297616">
        <w:t xml:space="preserve">paragraph (3) of </w:t>
      </w:r>
      <w:r w:rsidR="00292691">
        <w:t>S</w:t>
      </w:r>
      <w:r w:rsidR="00A94539">
        <w:t xml:space="preserve">chedule 5.3 of the draft </w:t>
      </w:r>
      <w:r w:rsidR="00C07CFF">
        <w:t xml:space="preserve">DPP4 </w:t>
      </w:r>
      <w:r w:rsidR="00A94539">
        <w:t>determination</w:t>
      </w:r>
      <w:r w:rsidR="0063122B">
        <w:t xml:space="preserve"> that must be met</w:t>
      </w:r>
      <w:r w:rsidR="00497E71">
        <w:t>.</w:t>
      </w:r>
      <w:r w:rsidR="00887827">
        <w:t xml:space="preserve"> </w:t>
      </w:r>
    </w:p>
    <w:p w:rsidR="00887827" w:rsidP="00FE10A3" w:rsidRDefault="00887827" w14:paraId="33B26E9B" w14:textId="795BCACE">
      <w:pPr>
        <w:pStyle w:val="Para1"/>
        <w:numPr>
          <w:ilvl w:val="0"/>
          <w:numId w:val="28"/>
        </w:numPr>
      </w:pPr>
      <w:r>
        <w:t>These are the</w:t>
      </w:r>
      <w:r w:rsidDel="00E25835">
        <w:t xml:space="preserve"> </w:t>
      </w:r>
      <w:r w:rsidR="00E25835">
        <w:t>ess</w:t>
      </w:r>
      <w:r w:rsidR="001A70DE">
        <w:t>ential</w:t>
      </w:r>
      <w:r w:rsidR="00E25835">
        <w:t xml:space="preserve"> </w:t>
      </w:r>
      <w:r>
        <w:t>project-specific information categories that explain to us what the project is</w:t>
      </w:r>
      <w:r w:rsidR="00DE6A54">
        <w:t>, its forecast costs,</w:t>
      </w:r>
      <w:r>
        <w:t xml:space="preserve"> and what benefits it could provide. We provide </w:t>
      </w:r>
      <w:r w:rsidR="005B4C40">
        <w:t xml:space="preserve">some guidance in the table below. </w:t>
      </w:r>
    </w:p>
    <w:p w:rsidR="00E109C0" w:rsidP="00E109C0" w:rsidRDefault="00E109C0" w14:paraId="51C5268A" w14:textId="329223B4"/>
    <w:tbl>
      <w:tblPr>
        <w:tblStyle w:val="GridTable4-Accent2"/>
        <w:tblW w:w="9079" w:type="dxa"/>
        <w:tblLook w:val="04A0" w:firstRow="1" w:lastRow="0" w:firstColumn="1" w:lastColumn="0" w:noHBand="0" w:noVBand="1"/>
      </w:tblPr>
      <w:tblGrid>
        <w:gridCol w:w="4328"/>
        <w:gridCol w:w="4751"/>
      </w:tblGrid>
      <w:tr w:rsidRPr="00C26353" w:rsidR="001C28B1" w:rsidTr="001C28B1" w14:paraId="2E22D12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dxa"/>
          </w:tcPr>
          <w:p w:rsidRPr="0020430B" w:rsidR="001C28B1" w:rsidP="00617866" w:rsidRDefault="001C28B1" w14:paraId="13646D81" w14:textId="77777777">
            <w:r w:rsidRPr="0020430B">
              <w:t>Information required</w:t>
            </w:r>
          </w:p>
        </w:tc>
        <w:tc>
          <w:tcPr>
            <w:tcW w:w="4751" w:type="dxa"/>
          </w:tcPr>
          <w:p w:rsidRPr="0020430B" w:rsidR="001C28B1" w:rsidP="00617866" w:rsidRDefault="001C28B1" w14:paraId="0EC99A86" w14:textId="7AE98A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430B">
              <w:t xml:space="preserve">Guidance </w:t>
            </w:r>
          </w:p>
        </w:tc>
      </w:tr>
      <w:tr w:rsidRPr="00C26353" w:rsidR="001C28B1" w:rsidTr="001C28B1" w14:paraId="566D2B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dxa"/>
          </w:tcPr>
          <w:p w:rsidRPr="001C279E" w:rsidR="001C28B1" w:rsidP="00617866" w:rsidRDefault="001C28B1" w14:paraId="08BDD7DA" w14:textId="350307A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The project’s purpose AND </w:t>
            </w:r>
            <w:r w:rsidR="00916F4C">
              <w:rPr>
                <w:i/>
                <w:iCs/>
              </w:rPr>
              <w:t xml:space="preserve">the EDB’s </w:t>
            </w:r>
            <w:r>
              <w:rPr>
                <w:i/>
                <w:iCs/>
              </w:rPr>
              <w:t>intended steps to achieve that purpose</w:t>
            </w:r>
          </w:p>
        </w:tc>
        <w:tc>
          <w:tcPr>
            <w:tcW w:w="4751" w:type="dxa"/>
          </w:tcPr>
          <w:p w:rsidRPr="00C26353" w:rsidR="001C28B1" w:rsidP="00617866" w:rsidRDefault="001C28B1" w14:paraId="760E7925" w14:textId="0914C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Outline </w:t>
            </w:r>
            <w:r w:rsidDel="00C11DD4">
              <w:t xml:space="preserve">the </w:t>
            </w:r>
            <w:r>
              <w:t>project</w:t>
            </w:r>
            <w:r w:rsidR="00C11DD4">
              <w:t xml:space="preserve">’s purpose and </w:t>
            </w:r>
            <w:r w:rsidR="00F6430E">
              <w:t xml:space="preserve">the steps the </w:t>
            </w:r>
            <w:r>
              <w:t xml:space="preserve">EDB intends </w:t>
            </w:r>
            <w:r w:rsidR="00F6430E">
              <w:t>to take to achieve that purpose</w:t>
            </w:r>
            <w:r w:rsidR="00441332">
              <w:t>. Th</w:t>
            </w:r>
            <w:r w:rsidR="008D5B75">
              <w:t>e purpose</w:t>
            </w:r>
            <w:r w:rsidR="00441332">
              <w:t xml:space="preserve"> might </w:t>
            </w:r>
            <w:r w:rsidR="008D5B75">
              <w:t xml:space="preserve">have </w:t>
            </w:r>
            <w:r w:rsidR="00441332">
              <w:t xml:space="preserve">multiple </w:t>
            </w:r>
            <w:r w:rsidR="008D5B75">
              <w:t>aspects to it</w:t>
            </w:r>
            <w:r w:rsidR="0078685D">
              <w:t xml:space="preserve">. </w:t>
            </w:r>
          </w:p>
        </w:tc>
      </w:tr>
      <w:tr w:rsidRPr="00C26353" w:rsidR="001C28B1" w:rsidTr="001C28B1" w14:paraId="65844054" w14:textId="77777777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dxa"/>
          </w:tcPr>
          <w:p w:rsidRPr="001C279E" w:rsidR="001C28B1" w:rsidP="00617866" w:rsidRDefault="001C28B1" w14:paraId="3534AA69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INTSA outputs and expected benefits of the project for consumers</w:t>
            </w:r>
          </w:p>
        </w:tc>
        <w:tc>
          <w:tcPr>
            <w:tcW w:w="4751" w:type="dxa"/>
          </w:tcPr>
          <w:p w:rsidRPr="00693A0D" w:rsidR="001C28B1" w:rsidP="00732DC2" w:rsidRDefault="007104D3" w14:paraId="407A5E6D" w14:textId="10F47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are the </w:t>
            </w:r>
            <w:r w:rsidR="00732DC2">
              <w:t xml:space="preserve">outputs to be delivered in the supply of electricity distribution services by the </w:t>
            </w:r>
            <w:r>
              <w:t xml:space="preserve">project, and </w:t>
            </w:r>
            <w:r w:rsidR="009D667D">
              <w:t>how will consumers benefit</w:t>
            </w:r>
            <w:r w:rsidR="00B671BC">
              <w:t xml:space="preserve"> from those outputs</w:t>
            </w:r>
            <w:r w:rsidR="009D667D">
              <w:t xml:space="preserve">? </w:t>
            </w:r>
            <w:r w:rsidR="00AC6230">
              <w:t xml:space="preserve">This might be through reduced costs, improved quality of service, or other means. </w:t>
            </w:r>
          </w:p>
        </w:tc>
      </w:tr>
      <w:tr w:rsidRPr="00C26353" w:rsidR="001C28B1" w:rsidTr="001C28B1" w14:paraId="3E26ED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dxa"/>
          </w:tcPr>
          <w:p w:rsidRPr="001C279E" w:rsidR="001C28B1" w:rsidP="00617866" w:rsidRDefault="001C28B1" w14:paraId="1DA4C4F6" w14:textId="72C58F48">
            <w:pPr>
              <w:rPr>
                <w:i/>
                <w:iCs/>
              </w:rPr>
            </w:pPr>
            <w:r w:rsidRPr="001C279E">
              <w:rPr>
                <w:i/>
                <w:iCs/>
              </w:rPr>
              <w:t xml:space="preserve">Estimated delivery </w:t>
            </w:r>
            <w:r w:rsidR="00C94497">
              <w:rPr>
                <w:i/>
                <w:iCs/>
              </w:rPr>
              <w:t xml:space="preserve">date </w:t>
            </w:r>
            <w:r>
              <w:rPr>
                <w:i/>
                <w:iCs/>
              </w:rPr>
              <w:t xml:space="preserve">for outputs </w:t>
            </w:r>
          </w:p>
        </w:tc>
        <w:tc>
          <w:tcPr>
            <w:tcW w:w="4751" w:type="dxa"/>
          </w:tcPr>
          <w:p w:rsidRPr="00C26353" w:rsidR="001C28B1" w:rsidP="00617866" w:rsidRDefault="001C28B1" w14:paraId="5524E12A" w14:textId="22663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date by which the EDB expects to have delivered INTSA outputs</w:t>
            </w:r>
            <w:r w:rsidR="00C01D8A">
              <w:t>.</w:t>
            </w:r>
          </w:p>
        </w:tc>
      </w:tr>
      <w:tr w:rsidRPr="00C26353" w:rsidR="001C28B1" w:rsidTr="001C28B1" w14:paraId="3BA6783C" w14:textId="77777777">
        <w:trPr>
          <w:trHeight w:val="10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dxa"/>
          </w:tcPr>
          <w:p w:rsidRPr="00AB4F1A" w:rsidR="001C28B1" w:rsidP="00617866" w:rsidRDefault="001C28B1" w14:paraId="76644077" w14:textId="3838C673">
            <w:pPr>
              <w:rPr>
                <w:b w:val="0"/>
                <w:bCs w:val="0"/>
                <w:i/>
                <w:iCs/>
              </w:rPr>
            </w:pPr>
            <w:r w:rsidRPr="001C279E">
              <w:rPr>
                <w:i/>
                <w:iCs/>
              </w:rPr>
              <w:t>Estimated</w:t>
            </w:r>
            <w:r>
              <w:rPr>
                <w:i/>
                <w:iCs/>
              </w:rPr>
              <w:t xml:space="preserve"> annual </w:t>
            </w:r>
            <w:r w:rsidR="00EA1F43">
              <w:rPr>
                <w:i/>
                <w:iCs/>
              </w:rPr>
              <w:t xml:space="preserve">forecast </w:t>
            </w:r>
            <w:r w:rsidRPr="001C279E">
              <w:rPr>
                <w:i/>
                <w:iCs/>
              </w:rPr>
              <w:t xml:space="preserve">project costs </w:t>
            </w:r>
          </w:p>
        </w:tc>
        <w:tc>
          <w:tcPr>
            <w:tcW w:w="4751" w:type="dxa"/>
          </w:tcPr>
          <w:p w:rsidR="001C28B1" w:rsidP="00617866" w:rsidRDefault="001C28B1" w14:paraId="7F0A0385" w14:textId="0D830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forecast of total project costs for each disclosure year until the date </w:t>
            </w:r>
            <w:r w:rsidR="00891F6C">
              <w:t xml:space="preserve">by </w:t>
            </w:r>
            <w:r>
              <w:t xml:space="preserve">which </w:t>
            </w:r>
            <w:r w:rsidR="00891F6C">
              <w:t xml:space="preserve">the EDB </w:t>
            </w:r>
            <w:r>
              <w:t>expect</w:t>
            </w:r>
            <w:r w:rsidR="00891F6C">
              <w:t>s to have delivered</w:t>
            </w:r>
            <w:r w:rsidDel="00891F6C">
              <w:t xml:space="preserve"> </w:t>
            </w:r>
            <w:r w:rsidR="00891F6C">
              <w:t xml:space="preserve">the </w:t>
            </w:r>
            <w:r>
              <w:t>outputs.</w:t>
            </w:r>
            <w:r w:rsidR="0079107C">
              <w:t xml:space="preserve"> </w:t>
            </w:r>
            <w:r w:rsidR="005F117B">
              <w:t xml:space="preserve">This could include </w:t>
            </w:r>
            <w:r w:rsidR="00364DF6">
              <w:t>working and breakdown of individual costs.</w:t>
            </w:r>
          </w:p>
        </w:tc>
      </w:tr>
      <w:tr w:rsidRPr="00C26353" w:rsidR="001C28B1" w:rsidTr="001C28B1" w14:paraId="7A28A2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dxa"/>
          </w:tcPr>
          <w:p w:rsidRPr="001C279E" w:rsidR="001C28B1" w:rsidP="00617866" w:rsidRDefault="001C28B1" w14:paraId="7C5F5E2D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Proportion of forecast costs that EDB wishes to recover </w:t>
            </w:r>
          </w:p>
        </w:tc>
        <w:tc>
          <w:tcPr>
            <w:tcW w:w="4751" w:type="dxa"/>
          </w:tcPr>
          <w:p w:rsidR="001C28B1" w:rsidP="00617866" w:rsidRDefault="001C28B1" w14:paraId="71ACD004" w14:textId="72166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Between 1% and 100%</w:t>
            </w:r>
            <w:r w:rsidR="00506FC4">
              <w:t xml:space="preserve"> of project costs</w:t>
            </w:r>
            <w:r w:rsidR="00B761A3">
              <w:t xml:space="preserve">. If the EDB wishes </w:t>
            </w:r>
            <w:r>
              <w:t>to recover more than 75%</w:t>
            </w:r>
            <w:r w:rsidR="00B761A3">
              <w:t xml:space="preserve"> of the project costs, </w:t>
            </w:r>
            <w:r w:rsidR="00CD6EB9">
              <w:t xml:space="preserve">the EDB should demonstrate why the project is unlikely to otherwise provide any </w:t>
            </w:r>
            <w:r w:rsidR="00050B7D">
              <w:t xml:space="preserve">financial </w:t>
            </w:r>
            <w:r w:rsidR="00CD6EB9">
              <w:t>benefits to the EDB</w:t>
            </w:r>
            <w:r>
              <w:t xml:space="preserve">. </w:t>
            </w:r>
          </w:p>
        </w:tc>
      </w:tr>
      <w:tr w:rsidRPr="00C26353" w:rsidR="001C28B1" w:rsidTr="001C28B1" w14:paraId="6B7A59F8" w14:textId="77777777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dxa"/>
          </w:tcPr>
          <w:p w:rsidRPr="001C279E" w:rsidR="001C28B1" w:rsidP="00317A0B" w:rsidRDefault="001C28B1" w14:paraId="03EE4C90" w14:textId="48433651">
            <w:pPr>
              <w:rPr>
                <w:i/>
                <w:iCs/>
              </w:rPr>
            </w:pPr>
            <w:r>
              <w:rPr>
                <w:i/>
                <w:iCs/>
              </w:rPr>
              <w:t>Any anticipated SAIDI</w:t>
            </w:r>
            <w:r w:rsidDel="006A28A0">
              <w:rPr>
                <w:i/>
                <w:iCs/>
              </w:rPr>
              <w:t xml:space="preserve"> </w:t>
            </w:r>
            <w:r w:rsidR="006A28A0">
              <w:rPr>
                <w:i/>
                <w:iCs/>
              </w:rPr>
              <w:t xml:space="preserve">and </w:t>
            </w:r>
            <w:r>
              <w:rPr>
                <w:i/>
                <w:iCs/>
              </w:rPr>
              <w:t>SAIFI values</w:t>
            </w:r>
            <w:r w:rsidR="006A28A0">
              <w:rPr>
                <w:i/>
                <w:iCs/>
              </w:rPr>
              <w:t xml:space="preserve"> for interruptions</w:t>
            </w:r>
            <w:r w:rsidR="00317A0B">
              <w:t xml:space="preserve"> </w:t>
            </w:r>
            <w:r w:rsidRPr="00317A0B" w:rsidR="00317A0B">
              <w:rPr>
                <w:i/>
                <w:iCs/>
              </w:rPr>
              <w:t>directly</w:t>
            </w:r>
            <w:r w:rsidR="00317A0B">
              <w:rPr>
                <w:i/>
                <w:iCs/>
              </w:rPr>
              <w:t xml:space="preserve"> </w:t>
            </w:r>
            <w:r w:rsidRPr="00317A0B" w:rsidR="00317A0B">
              <w:rPr>
                <w:i/>
                <w:iCs/>
              </w:rPr>
              <w:t>associated with the project</w:t>
            </w:r>
            <w:r w:rsidR="00317A0B">
              <w:rPr>
                <w:i/>
                <w:iCs/>
              </w:rPr>
              <w:t xml:space="preserve"> (‘SAIDI/ SAIFI INTSA values’)</w:t>
            </w:r>
          </w:p>
        </w:tc>
        <w:tc>
          <w:tcPr>
            <w:tcW w:w="4751" w:type="dxa"/>
          </w:tcPr>
          <w:p w:rsidRPr="00C26353" w:rsidR="001C28B1" w:rsidP="00617866" w:rsidRDefault="001C28B1" w14:paraId="67FBD7CC" w14:textId="6EA08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Outline </w:t>
            </w:r>
            <w:r w:rsidR="006A28A0">
              <w:t xml:space="preserve">any </w:t>
            </w:r>
            <w:r w:rsidRPr="006A28A0" w:rsidR="006A28A0">
              <w:t xml:space="preserve">anticipated SAIDI INTSA values and SAIFI INTSA </w:t>
            </w:r>
            <w:r w:rsidDel="006A28A0">
              <w:t>values</w:t>
            </w:r>
            <w:r w:rsidR="006A28A0">
              <w:t>.</w:t>
            </w:r>
          </w:p>
        </w:tc>
      </w:tr>
      <w:tr w:rsidRPr="00C26353" w:rsidR="001C28B1" w:rsidTr="001C28B1" w14:paraId="5F7A4E4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dxa"/>
          </w:tcPr>
          <w:p w:rsidRPr="009B2358" w:rsidR="001C28B1" w:rsidP="00617866" w:rsidRDefault="001C28B1" w14:paraId="4FDA5E1A" w14:textId="095DD73A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Cause or causes of the interruptions </w:t>
            </w:r>
            <w:r w:rsidR="00751F6F">
              <w:rPr>
                <w:i/>
                <w:iCs/>
              </w:rPr>
              <w:t xml:space="preserve">for any </w:t>
            </w:r>
            <w:r w:rsidRPr="00751F6F" w:rsidR="00751F6F">
              <w:rPr>
                <w:i/>
                <w:iCs/>
              </w:rPr>
              <w:t xml:space="preserve">anticipated SAIDI INTSA values and SAIFI INTSA </w:t>
            </w:r>
            <w:r w:rsidDel="00751F6F">
              <w:rPr>
                <w:i/>
                <w:iCs/>
              </w:rPr>
              <w:t>values</w:t>
            </w:r>
          </w:p>
        </w:tc>
        <w:tc>
          <w:tcPr>
            <w:tcW w:w="4751" w:type="dxa"/>
          </w:tcPr>
          <w:p w:rsidR="002A5112" w:rsidP="002A5112" w:rsidRDefault="001C28B1" w14:paraId="000DBD35" w14:textId="1DC90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2358">
              <w:t xml:space="preserve">Outline </w:t>
            </w:r>
            <w:r w:rsidR="002A5112">
              <w:t>the cause or causes of the interruptions for any anticipated SAIDI INTSA values and SAIFI INTSA values</w:t>
            </w:r>
            <w:r w:rsidR="007C65FE">
              <w:t>. The</w:t>
            </w:r>
            <w:r w:rsidR="002A5112">
              <w:t xml:space="preserve"> cause of each </w:t>
            </w:r>
            <w:r w:rsidR="00141080">
              <w:t xml:space="preserve">such </w:t>
            </w:r>
            <w:r w:rsidR="002A5112">
              <w:t xml:space="preserve">interruption </w:t>
            </w:r>
            <w:r w:rsidR="00141080">
              <w:t>must be</w:t>
            </w:r>
            <w:r w:rsidR="002A5112">
              <w:t xml:space="preserve"> directly</w:t>
            </w:r>
          </w:p>
          <w:p w:rsidRPr="009B2358" w:rsidR="001C28B1" w:rsidP="002A5112" w:rsidRDefault="002A5112" w14:paraId="0758F194" w14:textId="31B80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associated with the project or programme for the INTSA proposal</w:t>
            </w:r>
            <w:r w:rsidR="00943A7E">
              <w:t>.</w:t>
            </w:r>
          </w:p>
        </w:tc>
      </w:tr>
      <w:tr w:rsidRPr="00C26353" w:rsidR="001C28B1" w:rsidTr="001C28B1" w14:paraId="455125E8" w14:textId="77777777">
        <w:trPr>
          <w:trHeight w:val="10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dxa"/>
          </w:tcPr>
          <w:p w:rsidR="001C28B1" w:rsidP="00617866" w:rsidRDefault="001C28B1" w14:paraId="72191F5A" w14:textId="15B93C4D">
            <w:pPr>
              <w:rPr>
                <w:i/>
                <w:iCs/>
                <w:color w:val="FF0000"/>
              </w:rPr>
            </w:pPr>
            <w:r w:rsidRPr="0020430B">
              <w:rPr>
                <w:i/>
                <w:iCs/>
              </w:rPr>
              <w:t>Steps taken, or proposing to take</w:t>
            </w:r>
            <w:r w:rsidR="00B2471A">
              <w:rPr>
                <w:i/>
                <w:iCs/>
              </w:rPr>
              <w:t>,</w:t>
            </w:r>
            <w:r w:rsidRPr="0020430B">
              <w:rPr>
                <w:i/>
                <w:iCs/>
              </w:rPr>
              <w:t xml:space="preserve"> to reduce likelihood or impact on consumers of interruptions </w:t>
            </w:r>
            <w:r w:rsidR="003F44B3">
              <w:rPr>
                <w:i/>
                <w:iCs/>
              </w:rPr>
              <w:t xml:space="preserve">for any </w:t>
            </w:r>
            <w:r w:rsidRPr="00751F6F" w:rsidR="003F44B3">
              <w:rPr>
                <w:i/>
                <w:iCs/>
              </w:rPr>
              <w:t>anticipated SAIDI INTSA values and SAIFI INTSA values</w:t>
            </w:r>
          </w:p>
        </w:tc>
        <w:tc>
          <w:tcPr>
            <w:tcW w:w="4751" w:type="dxa"/>
          </w:tcPr>
          <w:p w:rsidR="001C28B1" w:rsidP="00617866" w:rsidRDefault="001C28B1" w14:paraId="48D4B6AE" w14:textId="26CE1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has </w:t>
            </w:r>
            <w:r w:rsidR="005B49F1">
              <w:t xml:space="preserve">the </w:t>
            </w:r>
            <w:r>
              <w:t xml:space="preserve">EDB considered the </w:t>
            </w:r>
            <w:r w:rsidR="006F358E">
              <w:t xml:space="preserve">impact </w:t>
            </w:r>
            <w:r>
              <w:t>on consumers of anticipated interruptions, and how do</w:t>
            </w:r>
            <w:r w:rsidR="006F358E">
              <w:t>es the EDB</w:t>
            </w:r>
            <w:r w:rsidDel="006F358E">
              <w:t xml:space="preserve"> </w:t>
            </w:r>
            <w:r>
              <w:t xml:space="preserve">intend to </w:t>
            </w:r>
            <w:r w:rsidR="009811D6">
              <w:t>reduce the likel</w:t>
            </w:r>
            <w:r w:rsidR="006F358E">
              <w:t xml:space="preserve">ihood </w:t>
            </w:r>
            <w:r w:rsidR="003D3B7D">
              <w:t xml:space="preserve">or impact of </w:t>
            </w:r>
            <w:r w:rsidR="00FB6F3D">
              <w:t>the interruptions</w:t>
            </w:r>
            <w:r w:rsidR="005B49F1">
              <w:t>?</w:t>
            </w:r>
          </w:p>
        </w:tc>
      </w:tr>
    </w:tbl>
    <w:p w:rsidR="001C3FF5" w:rsidP="0076748A" w:rsidRDefault="001C3FF5" w14:paraId="1CF49CE2" w14:textId="77777777">
      <w:pPr>
        <w:rPr>
          <w:color w:val="FF0000"/>
        </w:rPr>
      </w:pPr>
    </w:p>
    <w:p w:rsidR="0076748A" w:rsidP="0076748A" w:rsidRDefault="00D97A58" w14:paraId="63CC0AB5" w14:textId="43DBC246">
      <w:pPr>
        <w:pStyle w:val="Heading2"/>
      </w:pPr>
      <w:r>
        <w:t>Voluntary</w:t>
      </w:r>
      <w:r w:rsidR="0076748A">
        <w:t xml:space="preserve"> </w:t>
      </w:r>
      <w:r w:rsidR="007B6C90">
        <w:t xml:space="preserve">information </w:t>
      </w:r>
    </w:p>
    <w:p w:rsidR="00D97A58" w:rsidP="0074122F" w:rsidRDefault="00B748F1" w14:paraId="701AA4B1" w14:textId="482EEFE7">
      <w:pPr>
        <w:pStyle w:val="Para1"/>
        <w:numPr>
          <w:ilvl w:val="0"/>
          <w:numId w:val="27"/>
        </w:numPr>
      </w:pPr>
      <w:r>
        <w:t>A</w:t>
      </w:r>
      <w:r w:rsidR="00FB428D">
        <w:t xml:space="preserve">longside the </w:t>
      </w:r>
      <w:r w:rsidR="008F173C">
        <w:t xml:space="preserve">information </w:t>
      </w:r>
      <w:r w:rsidR="0049193E">
        <w:t xml:space="preserve">that is required </w:t>
      </w:r>
      <w:r w:rsidR="006E5EC2">
        <w:t xml:space="preserve">as set out in stages 1 and 2, EDBs may wish </w:t>
      </w:r>
      <w:r w:rsidR="00B52640">
        <w:t>to supplement their applications with further voluntary information</w:t>
      </w:r>
      <w:r w:rsidR="00C7516A">
        <w:t xml:space="preserve"> to </w:t>
      </w:r>
      <w:r w:rsidR="00D81FED">
        <w:t xml:space="preserve">provide further context </w:t>
      </w:r>
      <w:r w:rsidR="001D3CCB">
        <w:t xml:space="preserve">and </w:t>
      </w:r>
      <w:r w:rsidR="00C7516A">
        <w:t xml:space="preserve">assist the Commission in understanding the INTSA project. </w:t>
      </w:r>
    </w:p>
    <w:p w:rsidR="003F2DDF" w:rsidP="0074122F" w:rsidRDefault="004D7375" w14:paraId="50675FD5" w14:textId="288D6E90">
      <w:pPr>
        <w:pStyle w:val="Para1"/>
        <w:numPr>
          <w:ilvl w:val="0"/>
          <w:numId w:val="27"/>
        </w:numPr>
      </w:pPr>
      <w:r>
        <w:t>W</w:t>
      </w:r>
      <w:r w:rsidR="003F2DDF">
        <w:t>e provide examples of th</w:t>
      </w:r>
      <w:r w:rsidR="001C79C6">
        <w:t>is</w:t>
      </w:r>
      <w:r w:rsidR="00D540B2">
        <w:t xml:space="preserve"> kind of </w:t>
      </w:r>
      <w:r w:rsidR="003F2DDF">
        <w:t>information in the table below</w:t>
      </w:r>
      <w:r>
        <w:t>, noting that this would all be voluntary</w:t>
      </w:r>
      <w:r w:rsidR="00066CC8">
        <w:t xml:space="preserve">. We </w:t>
      </w:r>
      <w:r w:rsidR="00895161">
        <w:t xml:space="preserve">would </w:t>
      </w:r>
      <w:r w:rsidR="00066CC8">
        <w:t>encourage EDBs to provide as much information/evidence as they can</w:t>
      </w:r>
      <w:r w:rsidR="001120A5">
        <w:t>, including but not limited to</w:t>
      </w:r>
      <w:r w:rsidR="003F2DDF">
        <w:t xml:space="preserve">: </w:t>
      </w:r>
    </w:p>
    <w:p w:rsidR="003F2DDF" w:rsidP="001D7657" w:rsidRDefault="003F2DDF" w14:paraId="26023D75" w14:textId="77777777"/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4428"/>
        <w:gridCol w:w="4429"/>
      </w:tblGrid>
      <w:tr w:rsidR="00AB13D0" w:rsidTr="25CE35A8" w14:paraId="2B39DF6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AB13D0" w:rsidP="00AB13D0" w:rsidRDefault="00EE4F2F" w14:paraId="7D566C3D" w14:textId="455AAF69">
            <w:r>
              <w:t>Voluntary i</w:t>
            </w:r>
            <w:r w:rsidR="00AB13D0">
              <w:t xml:space="preserve">nformation type </w:t>
            </w:r>
          </w:p>
        </w:tc>
        <w:tc>
          <w:tcPr>
            <w:tcW w:w="4429" w:type="dxa"/>
          </w:tcPr>
          <w:p w:rsidR="00AB13D0" w:rsidP="00AB13D0" w:rsidRDefault="00AB13D0" w14:paraId="77836574" w14:textId="73626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Guidance </w:t>
            </w:r>
          </w:p>
        </w:tc>
      </w:tr>
      <w:tr w:rsidR="000C59A2" w:rsidTr="25CE35A8" w14:paraId="668A7D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0C59A2" w:rsidP="000C59A2" w:rsidRDefault="000C59A2" w14:paraId="7744D081" w14:textId="0C86D4A6">
            <w:r>
              <w:t xml:space="preserve">Scope </w:t>
            </w:r>
          </w:p>
        </w:tc>
        <w:tc>
          <w:tcPr>
            <w:tcW w:w="4429" w:type="dxa"/>
          </w:tcPr>
          <w:p w:rsidR="000C59A2" w:rsidP="000C59A2" w:rsidRDefault="000C59A2" w14:paraId="25FFEF42" w14:textId="43083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 of the subject area or extent that the project will cover</w:t>
            </w:r>
            <w:r w:rsidR="00CD45A6">
              <w:t>.</w:t>
            </w:r>
          </w:p>
        </w:tc>
      </w:tr>
      <w:tr w:rsidR="000C59A2" w:rsidTr="25CE35A8" w14:paraId="072C4074" w14:textId="77777777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0C59A2" w:rsidP="000C59A2" w:rsidRDefault="000C59A2" w14:paraId="48FA9D20" w14:textId="7BCDC0BD">
            <w:r>
              <w:t xml:space="preserve">Scale </w:t>
            </w:r>
          </w:p>
        </w:tc>
        <w:tc>
          <w:tcPr>
            <w:tcW w:w="4429" w:type="dxa"/>
          </w:tcPr>
          <w:p w:rsidR="000C59A2" w:rsidP="000C59A2" w:rsidRDefault="000C59A2" w14:paraId="516ABEF3" w14:textId="15741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the scale of the project with reference to size of the network</w:t>
            </w:r>
            <w:r w:rsidR="00CD45A6">
              <w:t>.</w:t>
            </w:r>
          </w:p>
        </w:tc>
      </w:tr>
      <w:tr w:rsidR="000C59A2" w:rsidTr="25CE35A8" w14:paraId="397AF4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0C59A2" w:rsidP="000C59A2" w:rsidRDefault="000C59A2" w14:paraId="6B2FAFB0" w14:textId="1F7A3A46">
            <w:r>
              <w:t xml:space="preserve">Geographical area </w:t>
            </w:r>
          </w:p>
        </w:tc>
        <w:tc>
          <w:tcPr>
            <w:tcW w:w="4429" w:type="dxa"/>
          </w:tcPr>
          <w:p w:rsidR="000C59A2" w:rsidP="000C59A2" w:rsidRDefault="000C59A2" w14:paraId="1F73D339" w14:textId="3D332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is the area or zone that the project will cover (if any)</w:t>
            </w:r>
            <w:r w:rsidR="00CD45A6">
              <w:t>.</w:t>
            </w:r>
          </w:p>
        </w:tc>
      </w:tr>
      <w:tr w:rsidR="000C59A2" w:rsidTr="25CE35A8" w14:paraId="47629204" w14:textId="77777777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Pr="00FC55C3" w:rsidR="000C59A2" w:rsidP="000C59A2" w:rsidRDefault="000C59A2" w14:paraId="0701E1BF" w14:textId="4B66D6F8">
            <w:pPr>
              <w:rPr>
                <w:b w:val="0"/>
                <w:bCs w:val="0"/>
              </w:rPr>
            </w:pPr>
            <w:r>
              <w:t xml:space="preserve">How does project build on prior learning </w:t>
            </w:r>
          </w:p>
        </w:tc>
        <w:tc>
          <w:tcPr>
            <w:tcW w:w="4429" w:type="dxa"/>
          </w:tcPr>
          <w:p w:rsidR="000C59A2" w:rsidP="000C59A2" w:rsidRDefault="000C59A2" w14:paraId="6E3E1448" w14:textId="5F90A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there any prior learning or similar experience that informs this work</w:t>
            </w:r>
            <w:r w:rsidR="00CD45A6">
              <w:t>.</w:t>
            </w:r>
          </w:p>
        </w:tc>
      </w:tr>
      <w:tr w:rsidR="000C59A2" w:rsidTr="25CE35A8" w14:paraId="61085E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0C59A2" w:rsidP="000C59A2" w:rsidRDefault="000C59A2" w14:paraId="7748D384" w14:textId="732B42F6">
            <w:r>
              <w:t xml:space="preserve">Potential for new learning </w:t>
            </w:r>
          </w:p>
        </w:tc>
        <w:tc>
          <w:tcPr>
            <w:tcW w:w="4429" w:type="dxa"/>
          </w:tcPr>
          <w:p w:rsidR="000C59A2" w:rsidP="000C59A2" w:rsidRDefault="000C59A2" w14:paraId="3FE7791F" w14:textId="2CF9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 for how project could result in or provide new learning</w:t>
            </w:r>
            <w:r w:rsidR="00CD45A6">
              <w:t>.</w:t>
            </w:r>
          </w:p>
        </w:tc>
      </w:tr>
      <w:tr w:rsidR="000C59A2" w:rsidTr="25CE35A8" w14:paraId="0493DC97" w14:textId="77777777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0C59A2" w:rsidP="000C59A2" w:rsidRDefault="000C59A2" w14:paraId="746FCAE7" w14:textId="6DE1C7D9">
            <w:r>
              <w:t xml:space="preserve">Collaboration and/or partners </w:t>
            </w:r>
          </w:p>
        </w:tc>
        <w:tc>
          <w:tcPr>
            <w:tcW w:w="4429" w:type="dxa"/>
          </w:tcPr>
          <w:p w:rsidR="000C59A2" w:rsidP="000C59A2" w:rsidRDefault="000C59A2" w14:paraId="7FC7ECA3" w14:textId="418D6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 of partners and respective roles</w:t>
            </w:r>
            <w:r w:rsidR="00CD45A6">
              <w:t>.</w:t>
            </w:r>
            <w:r>
              <w:t xml:space="preserve"> </w:t>
            </w:r>
          </w:p>
        </w:tc>
      </w:tr>
      <w:tr w:rsidR="000C59A2" w:rsidTr="25CE35A8" w14:paraId="697054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0C59A2" w:rsidP="000C59A2" w:rsidRDefault="000C59A2" w14:paraId="2DC5A8BD" w14:textId="49F38A06">
            <w:r>
              <w:t xml:space="preserve">Alignment to sector programmes </w:t>
            </w:r>
          </w:p>
        </w:tc>
        <w:tc>
          <w:tcPr>
            <w:tcW w:w="4429" w:type="dxa"/>
          </w:tcPr>
          <w:p w:rsidR="000C59A2" w:rsidP="000C59A2" w:rsidRDefault="000C59A2" w14:paraId="12E728BD" w14:textId="4E51F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might include work with or alignment to work undertaken by programmes such as flex-forum, etc. </w:t>
            </w:r>
          </w:p>
        </w:tc>
      </w:tr>
      <w:tr w:rsidR="000C59A2" w:rsidTr="25CE35A8" w14:paraId="0F7F6449" w14:textId="77777777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0C59A2" w:rsidP="000C59A2" w:rsidRDefault="000C59A2" w14:paraId="05D52F09" w14:textId="3A5DE172">
            <w:r>
              <w:t xml:space="preserve">Replicable in New Zealand  </w:t>
            </w:r>
          </w:p>
        </w:tc>
        <w:tc>
          <w:tcPr>
            <w:tcW w:w="4429" w:type="dxa"/>
          </w:tcPr>
          <w:p w:rsidR="000C59A2" w:rsidP="000C59A2" w:rsidRDefault="000C59A2" w14:paraId="5E7A28E3" w14:textId="614B4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Explanation for how project would be replicable for other networks in NZ</w:t>
            </w:r>
            <w:r w:rsidR="00CD45A6">
              <w:t>.</w:t>
            </w:r>
            <w:r>
              <w:t xml:space="preserve">  </w:t>
            </w:r>
          </w:p>
        </w:tc>
      </w:tr>
    </w:tbl>
    <w:p w:rsidR="00CB1074" w:rsidP="00CB1074" w:rsidRDefault="00CB1074" w14:paraId="23C8594F" w14:textId="6E6DD048">
      <w:pPr>
        <w:pStyle w:val="BodyText"/>
      </w:pPr>
    </w:p>
    <w:p w:rsidR="00437A52" w:rsidP="00437A52" w:rsidRDefault="00437A52" w14:paraId="65645458" w14:textId="11F2E134">
      <w:pPr>
        <w:pStyle w:val="Heading2"/>
      </w:pPr>
      <w:r>
        <w:lastRenderedPageBreak/>
        <w:t xml:space="preserve">Stage </w:t>
      </w:r>
      <w:r w:rsidR="000F3065">
        <w:t>3</w:t>
      </w:r>
      <w:r>
        <w:t>: Submission of application</w:t>
      </w:r>
    </w:p>
    <w:p w:rsidR="00437A52" w:rsidP="00AB2C79" w:rsidRDefault="00437A52" w14:paraId="55049A65" w14:textId="2A83EEB0">
      <w:pPr>
        <w:pStyle w:val="Para1"/>
        <w:numPr>
          <w:ilvl w:val="0"/>
          <w:numId w:val="0"/>
        </w:numPr>
      </w:pPr>
      <w:r>
        <w:t>When you consider that you have the necessary information/evidence to demonstrate your project’s eligibility,</w:t>
      </w:r>
      <w:r w:rsidR="00FD2BDA">
        <w:t xml:space="preserve"> you can submit your application</w:t>
      </w:r>
      <w:r w:rsidR="007C052E">
        <w:t xml:space="preserve"> to the Commission via the email </w:t>
      </w:r>
      <w:hyperlink w:history="1" r:id="rId11">
        <w:r w:rsidRPr="00006904" w:rsidR="00006904">
          <w:rPr>
            <w:rStyle w:val="Hyperlink"/>
          </w:rPr>
          <w:t>infrastructure.regulation@comcom.govt.nz</w:t>
        </w:r>
      </w:hyperlink>
      <w:r w:rsidR="007C052E">
        <w:t xml:space="preserve"> </w:t>
      </w:r>
      <w:r w:rsidR="00077BD6">
        <w:t xml:space="preserve">email inbox. </w:t>
      </w:r>
    </w:p>
    <w:p w:rsidR="00437A52" w:rsidP="00CB1074" w:rsidRDefault="00437A52" w14:paraId="6EE86B2B" w14:textId="77777777">
      <w:pPr>
        <w:pStyle w:val="BodyText"/>
      </w:pPr>
    </w:p>
    <w:p w:rsidR="008E5EF9" w:rsidP="00CB1074" w:rsidRDefault="008E5EF9" w14:paraId="3A9F110C" w14:textId="77777777">
      <w:pPr>
        <w:pStyle w:val="BodyText"/>
      </w:pPr>
    </w:p>
    <w:p w:rsidR="008E5EF9" w:rsidP="00CB1074" w:rsidRDefault="008E5EF9" w14:paraId="419E9BA6" w14:textId="77777777">
      <w:pPr>
        <w:pStyle w:val="BodyText"/>
      </w:pPr>
    </w:p>
    <w:p w:rsidR="008E5EF9" w:rsidP="00CB1074" w:rsidRDefault="008E5EF9" w14:paraId="529EF607" w14:textId="77777777">
      <w:pPr>
        <w:pStyle w:val="BodyText"/>
      </w:pPr>
    </w:p>
    <w:p w:rsidR="008E5EF9" w:rsidP="00CB1074" w:rsidRDefault="008E5EF9" w14:paraId="46C71219" w14:textId="77777777">
      <w:pPr>
        <w:pStyle w:val="BodyText"/>
      </w:pPr>
    </w:p>
    <w:p w:rsidR="00526B77" w:rsidP="00CB1074" w:rsidRDefault="00526B77" w14:paraId="52889939" w14:textId="77777777">
      <w:pPr>
        <w:pStyle w:val="BodyText"/>
      </w:pPr>
    </w:p>
    <w:p w:rsidR="00526B77" w:rsidP="00CB1074" w:rsidRDefault="00526B77" w14:paraId="2CDA08BA" w14:textId="77777777">
      <w:pPr>
        <w:pStyle w:val="BodyText"/>
      </w:pPr>
    </w:p>
    <w:p w:rsidR="00526B77" w:rsidP="00CB1074" w:rsidRDefault="00526B77" w14:paraId="3EED8947" w14:textId="77777777">
      <w:pPr>
        <w:pStyle w:val="BodyText"/>
      </w:pPr>
    </w:p>
    <w:p w:rsidR="00526B77" w:rsidP="00CB1074" w:rsidRDefault="00526B77" w14:paraId="32549633" w14:textId="77777777">
      <w:pPr>
        <w:pStyle w:val="BodyText"/>
      </w:pPr>
    </w:p>
    <w:p w:rsidR="00526B77" w:rsidP="00CB1074" w:rsidRDefault="00526B77" w14:paraId="2956F435" w14:textId="77777777">
      <w:pPr>
        <w:pStyle w:val="BodyText"/>
      </w:pPr>
    </w:p>
    <w:p w:rsidR="00526B77" w:rsidP="00CB1074" w:rsidRDefault="00526B77" w14:paraId="50CE2847" w14:textId="77777777">
      <w:pPr>
        <w:pStyle w:val="BodyText"/>
      </w:pPr>
    </w:p>
    <w:p w:rsidR="00526B77" w:rsidP="00CB1074" w:rsidRDefault="00526B77" w14:paraId="4A570DBC" w14:textId="77777777">
      <w:pPr>
        <w:pStyle w:val="BodyText"/>
      </w:pPr>
    </w:p>
    <w:p w:rsidR="00526B77" w:rsidP="00CB1074" w:rsidRDefault="00526B77" w14:paraId="7C8D018F" w14:textId="77777777">
      <w:pPr>
        <w:pStyle w:val="BodyText"/>
      </w:pPr>
    </w:p>
    <w:p w:rsidR="00526B77" w:rsidP="00CB1074" w:rsidRDefault="00526B77" w14:paraId="32B53306" w14:textId="77777777">
      <w:pPr>
        <w:pStyle w:val="BodyText"/>
      </w:pPr>
    </w:p>
    <w:p w:rsidR="00526B77" w:rsidP="00CB1074" w:rsidRDefault="00526B77" w14:paraId="430A7A71" w14:textId="77777777">
      <w:pPr>
        <w:pStyle w:val="BodyText"/>
      </w:pPr>
    </w:p>
    <w:p w:rsidR="00526B77" w:rsidP="00CB1074" w:rsidRDefault="00526B77" w14:paraId="0FDD38D1" w14:textId="77777777">
      <w:pPr>
        <w:pStyle w:val="BodyText"/>
      </w:pPr>
    </w:p>
    <w:p w:rsidR="00526B77" w:rsidP="00CB1074" w:rsidRDefault="00526B77" w14:paraId="19C6ECB1" w14:textId="77777777">
      <w:pPr>
        <w:pStyle w:val="BodyText"/>
      </w:pPr>
    </w:p>
    <w:p w:rsidR="00526B77" w:rsidP="00CB1074" w:rsidRDefault="00526B77" w14:paraId="23883A1B" w14:textId="77777777">
      <w:pPr>
        <w:pStyle w:val="BodyText"/>
      </w:pPr>
    </w:p>
    <w:p w:rsidR="00526B77" w:rsidP="00CB1074" w:rsidRDefault="00526B77" w14:paraId="040BB0EE" w14:textId="77777777">
      <w:pPr>
        <w:pStyle w:val="BodyText"/>
      </w:pPr>
    </w:p>
    <w:p w:rsidR="00006904" w:rsidP="00CB1074" w:rsidRDefault="00006904" w14:paraId="2F036F6D" w14:textId="77777777">
      <w:pPr>
        <w:pStyle w:val="BodyText"/>
      </w:pPr>
    </w:p>
    <w:p w:rsidR="006F4A03" w:rsidRDefault="006F4A03" w14:paraId="4A777DF6" w14:textId="6E8B6CDB">
      <w:r>
        <w:br w:type="page"/>
      </w:r>
    </w:p>
    <w:p w:rsidR="008E5EF9" w:rsidP="008E5EF9" w:rsidRDefault="008E5EF9" w14:paraId="0A2F7E36" w14:textId="07BA9AF8">
      <w:pPr>
        <w:pStyle w:val="Heading1"/>
      </w:pPr>
      <w:bookmarkStart w:name="_PEA_template" w:id="1"/>
      <w:bookmarkEnd w:id="1"/>
      <w:r>
        <w:lastRenderedPageBreak/>
        <w:t>PEA template</w:t>
      </w:r>
    </w:p>
    <w:p w:rsidR="008E5EF9" w:rsidP="008E5EF9" w:rsidRDefault="008E5EF9" w14:paraId="1EEC7E15" w14:textId="6B339000">
      <w:pPr>
        <w:pStyle w:val="Heading2"/>
      </w:pPr>
      <w:r>
        <w:t>1</w:t>
      </w:r>
      <w:r w:rsidR="00830F6C">
        <w:t xml:space="preserve">: </w:t>
      </w:r>
      <w:r w:rsidR="00E46FC4">
        <w:t xml:space="preserve">voluntary </w:t>
      </w:r>
      <w:r w:rsidR="00830F6C">
        <w:t>administrative information</w:t>
      </w:r>
    </w:p>
    <w:tbl>
      <w:tblPr>
        <w:tblStyle w:val="GridTable4-Accent2"/>
        <w:tblW w:w="9155" w:type="dxa"/>
        <w:tblLook w:val="04A0" w:firstRow="1" w:lastRow="0" w:firstColumn="1" w:lastColumn="0" w:noHBand="0" w:noVBand="1"/>
      </w:tblPr>
      <w:tblGrid>
        <w:gridCol w:w="4577"/>
        <w:gridCol w:w="4578"/>
      </w:tblGrid>
      <w:tr w:rsidR="00830F6C" w:rsidTr="002A266D" w14:paraId="6975061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</w:tcPr>
          <w:p w:rsidR="00830F6C" w:rsidP="00617866" w:rsidRDefault="00830F6C" w14:paraId="51C43036" w14:textId="77777777">
            <w:r>
              <w:t xml:space="preserve">Information type </w:t>
            </w:r>
          </w:p>
        </w:tc>
        <w:tc>
          <w:tcPr>
            <w:tcW w:w="4578" w:type="dxa"/>
          </w:tcPr>
          <w:p w:rsidR="00830F6C" w:rsidP="00617866" w:rsidRDefault="004526C2" w14:paraId="6E7A6B58" w14:textId="472FC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="00C007E0">
              <w:t xml:space="preserve">DB to complete </w:t>
            </w:r>
          </w:p>
        </w:tc>
      </w:tr>
      <w:tr w:rsidR="00830F6C" w:rsidTr="002A266D" w14:paraId="380FD2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</w:tcPr>
          <w:p w:rsidR="00830F6C" w:rsidP="00617866" w:rsidRDefault="00C007E0" w14:paraId="49780C74" w14:textId="2BB76D81">
            <w:r>
              <w:t xml:space="preserve">Name of organisation </w:t>
            </w:r>
          </w:p>
        </w:tc>
        <w:tc>
          <w:tcPr>
            <w:tcW w:w="4578" w:type="dxa"/>
          </w:tcPr>
          <w:p w:rsidR="00830F6C" w:rsidP="00617866" w:rsidRDefault="00830F6C" w14:paraId="1D82A565" w14:textId="23E35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0F6C" w:rsidTr="002A266D" w14:paraId="6A6EF6AA" w14:textId="77777777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</w:tcPr>
          <w:p w:rsidR="00830F6C" w:rsidP="00617866" w:rsidRDefault="00C007E0" w14:paraId="52133A60" w14:textId="29D89D8E">
            <w:r>
              <w:t xml:space="preserve">Name of given project </w:t>
            </w:r>
            <w:r w:rsidR="006737ED">
              <w:t xml:space="preserve">key </w:t>
            </w:r>
            <w:r w:rsidR="004F5FC9">
              <w:t xml:space="preserve">contact </w:t>
            </w:r>
          </w:p>
        </w:tc>
        <w:tc>
          <w:tcPr>
            <w:tcW w:w="4578" w:type="dxa"/>
          </w:tcPr>
          <w:p w:rsidR="00830F6C" w:rsidP="00617866" w:rsidRDefault="00830F6C" w14:paraId="46B35FCC" w14:textId="4ACC8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0F6C" w:rsidTr="002A266D" w14:paraId="3F0303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</w:tcPr>
          <w:p w:rsidR="00830F6C" w:rsidP="00617866" w:rsidRDefault="006737ED" w14:paraId="3DF9C4A1" w14:textId="2271C551">
            <w:r>
              <w:t xml:space="preserve">Key contact’s role </w:t>
            </w:r>
          </w:p>
        </w:tc>
        <w:tc>
          <w:tcPr>
            <w:tcW w:w="4578" w:type="dxa"/>
          </w:tcPr>
          <w:p w:rsidR="00830F6C" w:rsidP="00617866" w:rsidRDefault="00830F6C" w14:paraId="31F92B68" w14:textId="3618A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0F6C" w:rsidTr="002A266D" w14:paraId="00661DF7" w14:textId="77777777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</w:tcPr>
          <w:p w:rsidRPr="001800D2" w:rsidR="00830F6C" w:rsidP="00617866" w:rsidRDefault="006737ED" w14:paraId="719FCF17" w14:textId="6137B3C9">
            <w:r w:rsidRPr="001800D2">
              <w:t>Key contact</w:t>
            </w:r>
            <w:r w:rsidRPr="001800D2" w:rsidR="001800D2">
              <w:t xml:space="preserve">’s email </w:t>
            </w:r>
          </w:p>
        </w:tc>
        <w:tc>
          <w:tcPr>
            <w:tcW w:w="4578" w:type="dxa"/>
          </w:tcPr>
          <w:p w:rsidR="00830F6C" w:rsidP="00617866" w:rsidRDefault="00830F6C" w14:paraId="1AD88B56" w14:textId="4DA7B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30F6C" w:rsidP="00830F6C" w:rsidRDefault="00830F6C" w14:paraId="203EFB7D" w14:textId="77777777">
      <w:pPr>
        <w:pStyle w:val="BodyText"/>
      </w:pPr>
    </w:p>
    <w:p w:rsidR="004B5A35" w:rsidP="004B5A35" w:rsidRDefault="004B5A35" w14:paraId="03D1449C" w14:textId="3FECCFF1">
      <w:pPr>
        <w:pStyle w:val="Heading2"/>
      </w:pPr>
      <w:r>
        <w:t xml:space="preserve">2: Eligibility criteria </w:t>
      </w:r>
    </w:p>
    <w:p w:rsidR="001E0D27" w:rsidP="0032605A" w:rsidRDefault="001E0D27" w14:paraId="69207018" w14:textId="2FC38D79">
      <w:pPr>
        <w:pStyle w:val="Heading3"/>
      </w:pPr>
      <w:r>
        <w:t xml:space="preserve">Relates to the supply of electricity </w:t>
      </w:r>
      <w:r w:rsidR="00BF35A4">
        <w:t xml:space="preserve">distribution </w:t>
      </w:r>
      <w:r>
        <w:t>services</w:t>
      </w:r>
    </w:p>
    <w:p w:rsidR="002E4C2E" w:rsidP="002E4C2E" w:rsidRDefault="002E4C2E" w14:paraId="324E8472" w14:textId="54ADA2B2">
      <w:pPr>
        <w:pStyle w:val="BodyText"/>
      </w:pPr>
      <w:r>
        <w:t xml:space="preserve">Explain how your project relates to the supply of electricity </w:t>
      </w:r>
      <w:r w:rsidR="00BF35A4">
        <w:t xml:space="preserve">distribution </w:t>
      </w:r>
      <w:r>
        <w:t>services:</w:t>
      </w:r>
    </w:p>
    <w:p w:rsidR="002E4C2E" w:rsidP="002E4C2E" w:rsidRDefault="002E4C2E" w14:paraId="7509B05F" w14:textId="77777777">
      <w:pPr>
        <w:pStyle w:val="BodyText"/>
      </w:pPr>
    </w:p>
    <w:p w:rsidR="002E4C2E" w:rsidP="002E4C2E" w:rsidRDefault="002E4C2E" w14:paraId="5B88AE54" w14:textId="77777777">
      <w:pPr>
        <w:pStyle w:val="BodyText"/>
      </w:pPr>
    </w:p>
    <w:p w:rsidR="002E4C2E" w:rsidP="002E4C2E" w:rsidRDefault="002E4C2E" w14:paraId="54654FB8" w14:textId="77777777">
      <w:pPr>
        <w:pStyle w:val="BodyText"/>
      </w:pPr>
    </w:p>
    <w:p w:rsidR="002E4C2E" w:rsidP="002E4C2E" w:rsidRDefault="002E4C2E" w14:paraId="79DEA12E" w14:textId="77777777">
      <w:pPr>
        <w:pStyle w:val="BodyText"/>
      </w:pPr>
    </w:p>
    <w:p w:rsidR="002E4C2E" w:rsidP="002E4C2E" w:rsidRDefault="002E4C2E" w14:paraId="11B736A7" w14:textId="77777777">
      <w:pPr>
        <w:pStyle w:val="BodyText"/>
      </w:pPr>
    </w:p>
    <w:p w:rsidR="001E0D27" w:rsidP="0032605A" w:rsidRDefault="001E0D27" w14:paraId="4B9CFB84" w14:textId="7AF55F1B">
      <w:pPr>
        <w:pStyle w:val="Heading3"/>
      </w:pPr>
      <w:r>
        <w:t>Promotes the Part 4 Purpose of the Act</w:t>
      </w:r>
    </w:p>
    <w:p w:rsidR="002E4C2E" w:rsidP="002E4C2E" w:rsidRDefault="005D009A" w14:paraId="4A5DE63E" w14:textId="3A698C3C">
      <w:pPr>
        <w:pStyle w:val="BodyText"/>
      </w:pPr>
      <w:r>
        <w:t>E</w:t>
      </w:r>
      <w:r w:rsidR="002E4C2E">
        <w:t>x</w:t>
      </w:r>
      <w:r>
        <w:t xml:space="preserve">plain how your project </w:t>
      </w:r>
      <w:r w:rsidR="00FE2BA3">
        <w:t xml:space="preserve">promotes </w:t>
      </w:r>
      <w:r w:rsidR="00BF35A4">
        <w:t xml:space="preserve">the </w:t>
      </w:r>
      <w:r w:rsidR="00A11AB9">
        <w:t xml:space="preserve">purpose of </w:t>
      </w:r>
      <w:r w:rsidR="00FE2BA3">
        <w:t xml:space="preserve">Part 4 </w:t>
      </w:r>
      <w:r w:rsidR="00A11AB9">
        <w:t>under</w:t>
      </w:r>
      <w:r w:rsidDel="00A11AB9" w:rsidR="00FE2BA3">
        <w:t xml:space="preserve"> </w:t>
      </w:r>
      <w:r w:rsidR="00FE2BA3">
        <w:t>s</w:t>
      </w:r>
      <w:r w:rsidR="00A11AB9">
        <w:t xml:space="preserve"> </w:t>
      </w:r>
      <w:r w:rsidR="00FE2BA3">
        <w:t>52</w:t>
      </w:r>
      <w:proofErr w:type="gramStart"/>
      <w:r w:rsidR="00FE2BA3">
        <w:t>A(</w:t>
      </w:r>
      <w:proofErr w:type="gramEnd"/>
      <w:r w:rsidR="00FE2BA3">
        <w:t>1) of the Commerce Act:</w:t>
      </w:r>
    </w:p>
    <w:p w:rsidR="00FE2BA3" w:rsidP="002E4C2E" w:rsidRDefault="00FE2BA3" w14:paraId="1A7EAA56" w14:textId="77777777">
      <w:pPr>
        <w:pStyle w:val="BodyText"/>
      </w:pPr>
    </w:p>
    <w:p w:rsidR="00FE2BA3" w:rsidP="002E4C2E" w:rsidRDefault="00FE2BA3" w14:paraId="6A67B194" w14:textId="77777777">
      <w:pPr>
        <w:pStyle w:val="BodyText"/>
      </w:pPr>
    </w:p>
    <w:p w:rsidR="00FE2BA3" w:rsidP="002E4C2E" w:rsidRDefault="00FE2BA3" w14:paraId="53DBBA83" w14:textId="77777777">
      <w:pPr>
        <w:pStyle w:val="BodyText"/>
      </w:pPr>
    </w:p>
    <w:p w:rsidR="00FE2BA3" w:rsidP="002E4C2E" w:rsidRDefault="00FE2BA3" w14:paraId="1EE8FC4A" w14:textId="77777777">
      <w:pPr>
        <w:pStyle w:val="BodyText"/>
      </w:pPr>
    </w:p>
    <w:p w:rsidR="00C63857" w:rsidP="002E4C2E" w:rsidRDefault="00C63857" w14:paraId="05936CDE" w14:textId="77777777">
      <w:pPr>
        <w:pStyle w:val="BodyText"/>
      </w:pPr>
    </w:p>
    <w:p w:rsidR="00490484" w:rsidP="002E4C2E" w:rsidRDefault="00490484" w14:paraId="2299178C" w14:textId="77777777">
      <w:pPr>
        <w:pStyle w:val="BodyText"/>
      </w:pPr>
    </w:p>
    <w:p w:rsidRPr="002E4C2E" w:rsidR="00916F4C" w:rsidP="002E4C2E" w:rsidRDefault="00916F4C" w14:paraId="7D7FF94B" w14:textId="77777777">
      <w:pPr>
        <w:pStyle w:val="BodyText"/>
      </w:pPr>
    </w:p>
    <w:p w:rsidRPr="001E0D27" w:rsidR="001E0D27" w:rsidP="0032605A" w:rsidRDefault="001E0D27" w14:paraId="5EC6EF75" w14:textId="10DD54BE">
      <w:pPr>
        <w:pStyle w:val="Heading3"/>
      </w:pPr>
      <w:r>
        <w:lastRenderedPageBreak/>
        <w:t>Is riskier than business as usual</w:t>
      </w:r>
    </w:p>
    <w:p w:rsidR="004B5A35" w:rsidP="00DB568B" w:rsidRDefault="00C63857" w14:paraId="0CA4040C" w14:textId="5D1C0985">
      <w:pPr>
        <w:pStyle w:val="BodyText"/>
      </w:pPr>
      <w:r>
        <w:t>Explain</w:t>
      </w:r>
      <w:r w:rsidDel="00490484" w:rsidR="0051410D">
        <w:t xml:space="preserve"> </w:t>
      </w:r>
      <w:r>
        <w:t>how your project is riskier than business as usual</w:t>
      </w:r>
      <w:r w:rsidR="00DB568B">
        <w:t>,</w:t>
      </w:r>
      <w:r w:rsidRPr="00DB568B" w:rsidR="00DB568B">
        <w:t xml:space="preserve"> </w:t>
      </w:r>
      <w:r w:rsidR="00DB568B">
        <w:t xml:space="preserve">such that </w:t>
      </w:r>
      <w:r w:rsidR="00215DCD">
        <w:t>you</w:t>
      </w:r>
      <w:r w:rsidR="00DB568B">
        <w:t xml:space="preserve"> would not carry out the project or programme if </w:t>
      </w:r>
      <w:r w:rsidR="00215DCD">
        <w:t>you</w:t>
      </w:r>
      <w:r w:rsidR="00DB568B">
        <w:t xml:space="preserve"> could not recover some or </w:t>
      </w:r>
      <w:proofErr w:type="gramStart"/>
      <w:r w:rsidR="00DB568B">
        <w:t>all of</w:t>
      </w:r>
      <w:proofErr w:type="gramEnd"/>
      <w:r w:rsidR="00DB568B">
        <w:t xml:space="preserve"> the forecast costs of the project or programme from </w:t>
      </w:r>
      <w:r w:rsidR="00215DCD">
        <w:t>your</w:t>
      </w:r>
      <w:r w:rsidR="00DB568B">
        <w:t xml:space="preserve"> INTSA</w:t>
      </w:r>
      <w:r>
        <w:t>:</w:t>
      </w:r>
    </w:p>
    <w:p w:rsidR="00C63857" w:rsidP="004B5A35" w:rsidRDefault="00C63857" w14:paraId="1E91C267" w14:textId="77777777">
      <w:pPr>
        <w:pStyle w:val="BodyText"/>
      </w:pPr>
    </w:p>
    <w:p w:rsidR="00C63857" w:rsidP="004B5A35" w:rsidRDefault="00C63857" w14:paraId="7DDC5AD0" w14:textId="77777777">
      <w:pPr>
        <w:pStyle w:val="BodyText"/>
      </w:pPr>
    </w:p>
    <w:p w:rsidR="00C63857" w:rsidP="004B5A35" w:rsidRDefault="00C63857" w14:paraId="30FDC381" w14:textId="77777777">
      <w:pPr>
        <w:pStyle w:val="BodyText"/>
      </w:pPr>
    </w:p>
    <w:p w:rsidR="00C63857" w:rsidP="004B5A35" w:rsidRDefault="00C63857" w14:paraId="0674E383" w14:textId="77777777">
      <w:pPr>
        <w:pStyle w:val="BodyText"/>
      </w:pPr>
    </w:p>
    <w:p w:rsidR="000D4FD3" w:rsidP="004B5A35" w:rsidRDefault="000D4FD3" w14:paraId="299B8399" w14:textId="77777777">
      <w:pPr>
        <w:pStyle w:val="BodyText"/>
      </w:pPr>
    </w:p>
    <w:p w:rsidR="0056031B" w:rsidP="0056031B" w:rsidRDefault="0056031B" w14:paraId="13AD79C9" w14:textId="7D74820C">
      <w:pPr>
        <w:pStyle w:val="Heading2"/>
      </w:pPr>
      <w:r>
        <w:t>3: Project</w:t>
      </w:r>
      <w:r w:rsidR="00DB129A">
        <w:t>-</w:t>
      </w:r>
      <w:r>
        <w:t xml:space="preserve">specific information </w:t>
      </w:r>
    </w:p>
    <w:p w:rsidR="005D6B17" w:rsidP="005D6B17" w:rsidRDefault="00991D4B" w14:paraId="19B18F87" w14:textId="42572608">
      <w:pPr>
        <w:pStyle w:val="Heading3"/>
      </w:pPr>
      <w:r>
        <w:t xml:space="preserve">The project’s purpose AND </w:t>
      </w:r>
      <w:r w:rsidR="00916F4C">
        <w:t xml:space="preserve">EDB’s </w:t>
      </w:r>
      <w:r>
        <w:t>intended steps to achieve that purpose</w:t>
      </w:r>
    </w:p>
    <w:p w:rsidR="005D6B17" w:rsidP="005D6B17" w:rsidRDefault="00A331D4" w14:paraId="38B33E15" w14:textId="1A0394AE">
      <w:pPr>
        <w:pStyle w:val="BodyText"/>
      </w:pPr>
      <w:r>
        <w:t xml:space="preserve">Describe the project’s purpose, giving as much detail as possible. Explain the steps you intend to take </w:t>
      </w:r>
      <w:proofErr w:type="gramStart"/>
      <w:r>
        <w:t>in order to</w:t>
      </w:r>
      <w:proofErr w:type="gramEnd"/>
      <w:r>
        <w:t xml:space="preserve"> achieve that purpose</w:t>
      </w:r>
      <w:r w:rsidR="0059249E">
        <w:t>:</w:t>
      </w:r>
      <w:r>
        <w:t xml:space="preserve"> </w:t>
      </w:r>
    </w:p>
    <w:p w:rsidR="0028571B" w:rsidP="005D6B17" w:rsidRDefault="0028571B" w14:paraId="7C04E2FD" w14:textId="77777777">
      <w:pPr>
        <w:pStyle w:val="BodyText"/>
      </w:pPr>
    </w:p>
    <w:p w:rsidR="0028571B" w:rsidP="005D6B17" w:rsidRDefault="0028571B" w14:paraId="10242AF2" w14:textId="77777777">
      <w:pPr>
        <w:pStyle w:val="BodyText"/>
      </w:pPr>
    </w:p>
    <w:p w:rsidR="0028571B" w:rsidP="005D6B17" w:rsidRDefault="0028571B" w14:paraId="789164FE" w14:textId="77777777">
      <w:pPr>
        <w:pStyle w:val="BodyText"/>
      </w:pPr>
    </w:p>
    <w:p w:rsidR="0028571B" w:rsidP="005D6B17" w:rsidRDefault="0028571B" w14:paraId="2E6929AC" w14:textId="77777777">
      <w:pPr>
        <w:pStyle w:val="BodyText"/>
      </w:pPr>
    </w:p>
    <w:p w:rsidRPr="005D6B17" w:rsidR="0028571B" w:rsidP="005D6B17" w:rsidRDefault="0028571B" w14:paraId="5BF472A3" w14:textId="77777777">
      <w:pPr>
        <w:pStyle w:val="BodyText"/>
      </w:pPr>
    </w:p>
    <w:p w:rsidR="00991D4B" w:rsidP="005D6B17" w:rsidRDefault="00991D4B" w14:paraId="2B095B40" w14:textId="5B8DDC42">
      <w:pPr>
        <w:pStyle w:val="Heading3"/>
      </w:pPr>
      <w:r>
        <w:t>INTSA outputs and expected benefits of the project for consumers</w:t>
      </w:r>
    </w:p>
    <w:p w:rsidR="0028571B" w:rsidP="00BE47D0" w:rsidRDefault="00BE47D0" w14:paraId="3B9C9C57" w14:textId="1D8E1C26">
      <w:pPr>
        <w:pStyle w:val="BodyText"/>
      </w:pPr>
      <w:r>
        <w:t>Outline the</w:t>
      </w:r>
      <w:r w:rsidDel="00CD1D2F" w:rsidR="00761DB8">
        <w:t xml:space="preserve"> </w:t>
      </w:r>
      <w:r w:rsidR="00003F76">
        <w:t>outputs to be delivered in the supply of electricity distribution services by the project</w:t>
      </w:r>
      <w:r w:rsidR="003B1B7B">
        <w:t>,</w:t>
      </w:r>
      <w:r w:rsidDel="00003F76" w:rsidR="00003F76">
        <w:t xml:space="preserve"> </w:t>
      </w:r>
      <w:r w:rsidR="00A271C0">
        <w:t>and the expected benefits for consumers</w:t>
      </w:r>
      <w:r w:rsidR="0059249E">
        <w:t>:</w:t>
      </w:r>
    </w:p>
    <w:p w:rsidR="0028571B" w:rsidP="00BE47D0" w:rsidRDefault="0028571B" w14:paraId="1D960BDD" w14:textId="77777777">
      <w:pPr>
        <w:pStyle w:val="BodyText"/>
      </w:pPr>
    </w:p>
    <w:p w:rsidR="0028571B" w:rsidP="00BE47D0" w:rsidRDefault="0028571B" w14:paraId="7EBFA621" w14:textId="77777777">
      <w:pPr>
        <w:pStyle w:val="BodyText"/>
      </w:pPr>
    </w:p>
    <w:p w:rsidR="0028571B" w:rsidP="00BE47D0" w:rsidRDefault="0028571B" w14:paraId="784435AF" w14:textId="77777777">
      <w:pPr>
        <w:pStyle w:val="BodyText"/>
      </w:pPr>
    </w:p>
    <w:p w:rsidR="0028571B" w:rsidP="00BE47D0" w:rsidRDefault="0028571B" w14:paraId="1BFCB3BC" w14:textId="77777777">
      <w:pPr>
        <w:pStyle w:val="BodyText"/>
      </w:pPr>
    </w:p>
    <w:p w:rsidRPr="00BE47D0" w:rsidR="00BE47D0" w:rsidP="00BE47D0" w:rsidRDefault="00A271C0" w14:paraId="084D381D" w14:textId="6BCC699E">
      <w:pPr>
        <w:pStyle w:val="BodyText"/>
      </w:pPr>
      <w:r>
        <w:t xml:space="preserve"> </w:t>
      </w:r>
    </w:p>
    <w:p w:rsidR="00991D4B" w:rsidP="005D6B17" w:rsidRDefault="00991D4B" w14:paraId="1B74FA08" w14:textId="63812667">
      <w:pPr>
        <w:pStyle w:val="Heading3"/>
      </w:pPr>
      <w:r w:rsidRPr="001C279E">
        <w:t xml:space="preserve">Estimated delivery </w:t>
      </w:r>
      <w:r w:rsidR="003F0502">
        <w:t xml:space="preserve">date </w:t>
      </w:r>
      <w:r>
        <w:t>for outputs</w:t>
      </w:r>
    </w:p>
    <w:p w:rsidR="00A271C0" w:rsidP="00A271C0" w:rsidRDefault="003B1B7B" w14:paraId="3177E677" w14:textId="7E58953C">
      <w:pPr>
        <w:pStyle w:val="BodyText"/>
      </w:pPr>
      <w:r>
        <w:t xml:space="preserve">Provide </w:t>
      </w:r>
      <w:r w:rsidR="003B4664">
        <w:t xml:space="preserve">the </w:t>
      </w:r>
      <w:r w:rsidRPr="003B1B7B">
        <w:t xml:space="preserve">date by which </w:t>
      </w:r>
      <w:r w:rsidR="003F0502">
        <w:t>you</w:t>
      </w:r>
      <w:r w:rsidRPr="003B1B7B">
        <w:t xml:space="preserve"> expect to have delivered </w:t>
      </w:r>
      <w:r w:rsidR="003F0502">
        <w:t xml:space="preserve">the </w:t>
      </w:r>
      <w:r w:rsidRPr="003B1B7B">
        <w:t xml:space="preserve">INTSA </w:t>
      </w:r>
      <w:r w:rsidDel="003B1B7B" w:rsidR="00A271C0">
        <w:t>outputs</w:t>
      </w:r>
      <w:r w:rsidR="0059249E">
        <w:t>:</w:t>
      </w:r>
    </w:p>
    <w:p w:rsidR="0034321E" w:rsidP="00A271C0" w:rsidRDefault="0034321E" w14:paraId="7E7A52F0" w14:textId="77777777">
      <w:pPr>
        <w:pStyle w:val="BodyText"/>
      </w:pPr>
    </w:p>
    <w:p w:rsidR="0034321E" w:rsidP="00A271C0" w:rsidRDefault="0034321E" w14:paraId="08246D89" w14:textId="77777777">
      <w:pPr>
        <w:pStyle w:val="BodyText"/>
      </w:pPr>
    </w:p>
    <w:p w:rsidR="0034321E" w:rsidP="00A271C0" w:rsidRDefault="0034321E" w14:paraId="7F177C69" w14:textId="77777777">
      <w:pPr>
        <w:pStyle w:val="BodyText"/>
      </w:pPr>
    </w:p>
    <w:p w:rsidR="0034321E" w:rsidP="00A271C0" w:rsidRDefault="0034321E" w14:paraId="5D438682" w14:textId="77777777">
      <w:pPr>
        <w:pStyle w:val="BodyText"/>
      </w:pPr>
    </w:p>
    <w:p w:rsidRPr="00A271C0" w:rsidR="0034321E" w:rsidP="00A271C0" w:rsidRDefault="0034321E" w14:paraId="51A3463C" w14:textId="77777777">
      <w:pPr>
        <w:pStyle w:val="BodyText"/>
      </w:pPr>
    </w:p>
    <w:p w:rsidR="00991D4B" w:rsidP="005D6B17" w:rsidRDefault="00991D4B" w14:paraId="632BC798" w14:textId="76C664D1">
      <w:pPr>
        <w:pStyle w:val="Heading3"/>
      </w:pPr>
      <w:r w:rsidRPr="001C279E">
        <w:t>Estimated</w:t>
      </w:r>
      <w:r>
        <w:t xml:space="preserve"> annual </w:t>
      </w:r>
      <w:r w:rsidRPr="001C279E">
        <w:t>forecast</w:t>
      </w:r>
      <w:r w:rsidR="00EA1F43">
        <w:t xml:space="preserve"> costs of project</w:t>
      </w:r>
    </w:p>
    <w:p w:rsidR="00C272C5" w:rsidP="00C272C5" w:rsidRDefault="0080392D" w14:paraId="79AE31B7" w14:textId="529CE58E">
      <w:pPr>
        <w:pStyle w:val="BodyText"/>
      </w:pPr>
      <w:r>
        <w:t xml:space="preserve">Set out the </w:t>
      </w:r>
      <w:r w:rsidR="00E50D71">
        <w:t xml:space="preserve">forecast </w:t>
      </w:r>
      <w:r>
        <w:t xml:space="preserve">project costs </w:t>
      </w:r>
      <w:r w:rsidR="00F04C0C">
        <w:t>on an annual basis</w:t>
      </w:r>
      <w:r w:rsidRPr="00E50D71" w:rsidR="00E50D71">
        <w:t xml:space="preserve"> </w:t>
      </w:r>
      <w:r w:rsidR="00E50D71">
        <w:t>until the date by which you expect to have delivered the project outputs</w:t>
      </w:r>
      <w:r w:rsidR="0059249E">
        <w:t>:</w:t>
      </w:r>
      <w:r w:rsidR="00F04C0C">
        <w:t xml:space="preserve"> </w:t>
      </w:r>
      <w:r>
        <w:t xml:space="preserve"> </w:t>
      </w:r>
    </w:p>
    <w:p w:rsidR="0034321E" w:rsidP="00C272C5" w:rsidRDefault="0034321E" w14:paraId="0D0110DA" w14:textId="77777777">
      <w:pPr>
        <w:pStyle w:val="BodyText"/>
      </w:pPr>
    </w:p>
    <w:p w:rsidR="0034321E" w:rsidP="00C272C5" w:rsidRDefault="0034321E" w14:paraId="255DCC9B" w14:textId="77777777">
      <w:pPr>
        <w:pStyle w:val="BodyText"/>
      </w:pPr>
    </w:p>
    <w:p w:rsidR="0034321E" w:rsidP="00C272C5" w:rsidRDefault="0034321E" w14:paraId="1AB20723" w14:textId="77777777">
      <w:pPr>
        <w:pStyle w:val="BodyText"/>
      </w:pPr>
    </w:p>
    <w:p w:rsidR="0034321E" w:rsidP="00C272C5" w:rsidRDefault="0034321E" w14:paraId="3A493D86" w14:textId="77777777">
      <w:pPr>
        <w:pStyle w:val="BodyText"/>
      </w:pPr>
    </w:p>
    <w:p w:rsidRPr="00C272C5" w:rsidR="0034321E" w:rsidP="00C272C5" w:rsidRDefault="0034321E" w14:paraId="2F93B668" w14:textId="77777777">
      <w:pPr>
        <w:pStyle w:val="BodyText"/>
      </w:pPr>
    </w:p>
    <w:p w:rsidR="00046E80" w:rsidP="005D6B17" w:rsidRDefault="00046E80" w14:paraId="36E7BEB7" w14:textId="738C38AF">
      <w:pPr>
        <w:pStyle w:val="Heading3"/>
      </w:pPr>
      <w:r>
        <w:t>Proportion of forecast costs that EDB wishes to recover</w:t>
      </w:r>
    </w:p>
    <w:p w:rsidR="00C6021C" w:rsidP="00C6021C" w:rsidRDefault="0025172B" w14:paraId="2659EF33" w14:textId="481BD16B">
      <w:pPr>
        <w:pStyle w:val="BodyText"/>
      </w:pPr>
      <w:r>
        <w:t xml:space="preserve">Set out the proportion of </w:t>
      </w:r>
      <w:r w:rsidR="00232A51">
        <w:t xml:space="preserve">the forecast project </w:t>
      </w:r>
      <w:r>
        <w:t>costs</w:t>
      </w:r>
      <w:r w:rsidR="00232A51">
        <w:t xml:space="preserve"> that you wish to recover</w:t>
      </w:r>
      <w:r w:rsidR="00E83F3B">
        <w:t>.</w:t>
      </w:r>
      <w:r w:rsidDel="00232A51">
        <w:t xml:space="preserve"> </w:t>
      </w:r>
      <w:r w:rsidR="00E83F3B">
        <w:t>I</w:t>
      </w:r>
      <w:r w:rsidR="00D97020">
        <w:t xml:space="preserve">f </w:t>
      </w:r>
      <w:r w:rsidR="00E83F3B">
        <w:t xml:space="preserve">the proportion is </w:t>
      </w:r>
      <w:r w:rsidR="00D97020">
        <w:t xml:space="preserve">greater than 75%, explain why </w:t>
      </w:r>
      <w:r w:rsidR="00302136">
        <w:t xml:space="preserve">the project </w:t>
      </w:r>
      <w:r w:rsidR="00C3070D">
        <w:t xml:space="preserve">is </w:t>
      </w:r>
      <w:r w:rsidR="00334A8E">
        <w:t xml:space="preserve">unlikely to </w:t>
      </w:r>
      <w:r w:rsidR="00C3070D">
        <w:t>otherwise</w:t>
      </w:r>
      <w:r w:rsidR="00334A8E">
        <w:t xml:space="preserve"> provide any </w:t>
      </w:r>
      <w:r w:rsidR="004D712D">
        <w:t xml:space="preserve">financial </w:t>
      </w:r>
      <w:r w:rsidR="00334A8E">
        <w:t>benefits to the EDB</w:t>
      </w:r>
      <w:r w:rsidR="0059249E">
        <w:t>:</w:t>
      </w:r>
    </w:p>
    <w:p w:rsidR="0034321E" w:rsidP="00C6021C" w:rsidRDefault="0034321E" w14:paraId="5DEC2E36" w14:textId="77777777">
      <w:pPr>
        <w:pStyle w:val="BodyText"/>
      </w:pPr>
    </w:p>
    <w:p w:rsidR="0034321E" w:rsidP="00C6021C" w:rsidRDefault="0034321E" w14:paraId="7C6FFEF7" w14:textId="77777777">
      <w:pPr>
        <w:pStyle w:val="BodyText"/>
      </w:pPr>
    </w:p>
    <w:p w:rsidR="0034321E" w:rsidP="00C6021C" w:rsidRDefault="0034321E" w14:paraId="4C4AF2B1" w14:textId="77777777">
      <w:pPr>
        <w:pStyle w:val="BodyText"/>
      </w:pPr>
    </w:p>
    <w:p w:rsidR="0034321E" w:rsidP="00C6021C" w:rsidRDefault="0034321E" w14:paraId="1C7DBD98" w14:textId="77777777">
      <w:pPr>
        <w:pStyle w:val="BodyText"/>
      </w:pPr>
    </w:p>
    <w:p w:rsidRPr="00C6021C" w:rsidR="0034321E" w:rsidP="00C6021C" w:rsidRDefault="0034321E" w14:paraId="73E198E2" w14:textId="77777777">
      <w:pPr>
        <w:pStyle w:val="BodyText"/>
      </w:pPr>
    </w:p>
    <w:p w:rsidR="00046E80" w:rsidP="005D6B17" w:rsidRDefault="00046E80" w14:paraId="033730F8" w14:textId="6D38A0D5">
      <w:pPr>
        <w:pStyle w:val="Heading3"/>
      </w:pPr>
      <w:r>
        <w:t xml:space="preserve">Any anticipated SAIDI </w:t>
      </w:r>
      <w:r w:rsidR="00380EA7">
        <w:t>INTSA values and</w:t>
      </w:r>
      <w:r>
        <w:t xml:space="preserve"> SAIFI </w:t>
      </w:r>
      <w:r w:rsidR="00380EA7">
        <w:t xml:space="preserve">INSTA </w:t>
      </w:r>
      <w:r>
        <w:t>values</w:t>
      </w:r>
    </w:p>
    <w:p w:rsidR="001C0B59" w:rsidP="001C0B59" w:rsidRDefault="001C0B59" w14:paraId="7AF0DB1F" w14:textId="02765FB3">
      <w:pPr>
        <w:pStyle w:val="BodyText"/>
      </w:pPr>
      <w:r>
        <w:t xml:space="preserve">Outline any </w:t>
      </w:r>
      <w:r w:rsidRPr="00380EA7" w:rsidR="00380EA7">
        <w:t>anticipated SAIDI and SAIFI values for interruptions directly associated with the project (‘SAIDI/ SAIFI INTSA values’)</w:t>
      </w:r>
      <w:r w:rsidR="0094208C">
        <w:t>:</w:t>
      </w:r>
    </w:p>
    <w:p w:rsidR="0034321E" w:rsidP="001C0B59" w:rsidRDefault="0034321E" w14:paraId="5DB6EAC2" w14:textId="77777777">
      <w:pPr>
        <w:pStyle w:val="BodyText"/>
      </w:pPr>
    </w:p>
    <w:p w:rsidR="0034321E" w:rsidP="001C0B59" w:rsidRDefault="0034321E" w14:paraId="6B4AA219" w14:textId="77777777">
      <w:pPr>
        <w:pStyle w:val="BodyText"/>
      </w:pPr>
    </w:p>
    <w:p w:rsidR="0034321E" w:rsidP="001C0B59" w:rsidRDefault="0034321E" w14:paraId="215B7B9C" w14:textId="77777777">
      <w:pPr>
        <w:pStyle w:val="BodyText"/>
      </w:pPr>
    </w:p>
    <w:p w:rsidR="0034321E" w:rsidP="001C0B59" w:rsidRDefault="0034321E" w14:paraId="56EFBF1D" w14:textId="77777777">
      <w:pPr>
        <w:pStyle w:val="BodyText"/>
      </w:pPr>
    </w:p>
    <w:p w:rsidRPr="001C0B59" w:rsidR="0034321E" w:rsidP="001C0B59" w:rsidRDefault="0034321E" w14:paraId="44F1886A" w14:textId="77777777">
      <w:pPr>
        <w:pStyle w:val="BodyText"/>
      </w:pPr>
    </w:p>
    <w:p w:rsidR="00046E80" w:rsidP="005D6B17" w:rsidRDefault="00046E80" w14:paraId="3976E076" w14:textId="208DEF01">
      <w:pPr>
        <w:pStyle w:val="Heading3"/>
      </w:pPr>
      <w:r>
        <w:lastRenderedPageBreak/>
        <w:t>Cause or causes of the anticipated interruptions on SAIDI or SAIFI values</w:t>
      </w:r>
    </w:p>
    <w:p w:rsidR="00C94264" w:rsidP="00C94264" w:rsidRDefault="00C94264" w14:paraId="3C7AD754" w14:textId="474BFC51">
      <w:r w:rsidRPr="009B2358">
        <w:t xml:space="preserve">Outline </w:t>
      </w:r>
      <w:r>
        <w:t>the cause or causes of the interruptions for any anticipated SAIDI INTSA values and SAIFI INTSA values</w:t>
      </w:r>
      <w:r w:rsidR="00887563">
        <w:t>, where</w:t>
      </w:r>
      <w:r>
        <w:t xml:space="preserve"> </w:t>
      </w:r>
      <w:r w:rsidR="00887563">
        <w:t>t</w:t>
      </w:r>
      <w:r>
        <w:t xml:space="preserve">he cause of each such interruption </w:t>
      </w:r>
      <w:r w:rsidR="00887563">
        <w:t>is</w:t>
      </w:r>
      <w:r>
        <w:t xml:space="preserve"> directly</w:t>
      </w:r>
    </w:p>
    <w:p w:rsidR="002A266D" w:rsidP="00C94264" w:rsidRDefault="00C94264" w14:paraId="5CBC02EB" w14:textId="7B2B6771">
      <w:pPr>
        <w:pStyle w:val="BodyText"/>
      </w:pPr>
      <w:r>
        <w:t>associated with the project or programme for the INTSA proposal</w:t>
      </w:r>
      <w:r w:rsidR="009B44C5">
        <w:t>:</w:t>
      </w:r>
    </w:p>
    <w:p w:rsidR="0034321E" w:rsidP="002A266D" w:rsidRDefault="0034321E" w14:paraId="2720A691" w14:textId="77777777">
      <w:pPr>
        <w:pStyle w:val="BodyText"/>
      </w:pPr>
    </w:p>
    <w:p w:rsidR="0060549C" w:rsidP="002A266D" w:rsidRDefault="0060549C" w14:paraId="1A5F3F3A" w14:textId="77777777">
      <w:pPr>
        <w:pStyle w:val="BodyText"/>
      </w:pPr>
    </w:p>
    <w:p w:rsidR="0060549C" w:rsidP="002A266D" w:rsidRDefault="0060549C" w14:paraId="44EC2CCF" w14:textId="77777777">
      <w:pPr>
        <w:pStyle w:val="BodyText"/>
      </w:pPr>
    </w:p>
    <w:p w:rsidR="0060549C" w:rsidP="002A266D" w:rsidRDefault="0060549C" w14:paraId="511C2305" w14:textId="77777777">
      <w:pPr>
        <w:pStyle w:val="BodyText"/>
      </w:pPr>
    </w:p>
    <w:p w:rsidR="0060549C" w:rsidP="002A266D" w:rsidRDefault="0060549C" w14:paraId="350C7F2C" w14:textId="77777777">
      <w:pPr>
        <w:pStyle w:val="BodyText"/>
      </w:pPr>
    </w:p>
    <w:p w:rsidR="00E8462A" w:rsidP="00452FAB" w:rsidRDefault="00422C29" w14:paraId="77C70220" w14:textId="77777777">
      <w:pPr>
        <w:pStyle w:val="BodyText"/>
        <w:spacing w:after="120"/>
        <w:rPr>
          <w:i/>
          <w:iCs/>
        </w:rPr>
      </w:pPr>
      <w:r w:rsidRPr="0020430B">
        <w:rPr>
          <w:i/>
          <w:iCs/>
        </w:rPr>
        <w:t>Steps taken, or proposing to take</w:t>
      </w:r>
      <w:r>
        <w:rPr>
          <w:i/>
          <w:iCs/>
        </w:rPr>
        <w:t>,</w:t>
      </w:r>
      <w:r w:rsidRPr="0020430B">
        <w:rPr>
          <w:i/>
          <w:iCs/>
        </w:rPr>
        <w:t xml:space="preserve"> to reduce likelihood or impact on consumers of interruptions </w:t>
      </w:r>
    </w:p>
    <w:p w:rsidRPr="00422C29" w:rsidR="00422C29" w:rsidP="002A266D" w:rsidRDefault="00DE6925" w14:paraId="337BA737" w14:textId="67FD3429">
      <w:pPr>
        <w:pStyle w:val="BodyText"/>
      </w:pPr>
      <w:r>
        <w:t>Outline the steps you’ve taken</w:t>
      </w:r>
      <w:r w:rsidRPr="00DE6925">
        <w:t xml:space="preserve">, or </w:t>
      </w:r>
      <w:r>
        <w:t xml:space="preserve">are </w:t>
      </w:r>
      <w:r w:rsidRPr="00DE6925">
        <w:t>proposing to take, to reduce</w:t>
      </w:r>
      <w:r>
        <w:t xml:space="preserve"> the</w:t>
      </w:r>
      <w:r w:rsidRPr="00DE6925">
        <w:t xml:space="preserve"> likelihood or impact on consumers of interruptions for any anticipated SAIDI INTSA values and SAIFI INTSA values</w:t>
      </w:r>
    </w:p>
    <w:p w:rsidR="0034321E" w:rsidP="002A266D" w:rsidRDefault="0034321E" w14:paraId="3627EF09" w14:textId="77777777">
      <w:pPr>
        <w:pStyle w:val="BodyText"/>
      </w:pPr>
    </w:p>
    <w:p w:rsidR="0034321E" w:rsidP="002A266D" w:rsidRDefault="0034321E" w14:paraId="5CB030CF" w14:textId="77777777">
      <w:pPr>
        <w:pStyle w:val="BodyText"/>
      </w:pPr>
    </w:p>
    <w:p w:rsidR="0060549C" w:rsidRDefault="0060549C" w14:paraId="279BBBC5" w14:textId="739CA290">
      <w:r>
        <w:br w:type="page"/>
      </w:r>
    </w:p>
    <w:p w:rsidR="008D3E91" w:rsidP="008D3E91" w:rsidRDefault="008D3E91" w14:paraId="683750D0" w14:textId="712BDC48">
      <w:pPr>
        <w:pStyle w:val="Heading2"/>
      </w:pPr>
      <w:r>
        <w:lastRenderedPageBreak/>
        <w:t xml:space="preserve">4: </w:t>
      </w:r>
      <w:r w:rsidR="00DB129A">
        <w:t xml:space="preserve">Voluntary </w:t>
      </w:r>
      <w:r>
        <w:t>information</w:t>
      </w:r>
    </w:p>
    <w:p w:rsidRPr="00860C7A" w:rsidR="00860C7A" w:rsidP="00250A05" w:rsidRDefault="000D534F" w14:paraId="2587E95C" w14:textId="71641208">
      <w:pPr>
        <w:pStyle w:val="BodyText"/>
        <w:rPr>
          <w:i/>
          <w:iCs/>
        </w:rPr>
      </w:pPr>
      <w:r>
        <w:rPr>
          <w:i/>
          <w:iCs/>
        </w:rPr>
        <w:t>Note wh</w:t>
      </w:r>
      <w:r w:rsidR="00250A05">
        <w:rPr>
          <w:i/>
          <w:iCs/>
        </w:rPr>
        <w:t>ile</w:t>
      </w:r>
      <w:r w:rsidR="00580C7E">
        <w:rPr>
          <w:i/>
          <w:iCs/>
        </w:rPr>
        <w:t xml:space="preserve"> other sufficient information is a requirement set in the determination,</w:t>
      </w:r>
      <w:r w:rsidR="00250A05">
        <w:rPr>
          <w:i/>
          <w:iCs/>
        </w:rPr>
        <w:t xml:space="preserve"> these information categories are not </w:t>
      </w:r>
      <w:r w:rsidR="00580C7E">
        <w:rPr>
          <w:i/>
          <w:iCs/>
        </w:rPr>
        <w:t>individually required</w:t>
      </w:r>
      <w:r w:rsidR="00860C7A">
        <w:rPr>
          <w:i/>
          <w:iCs/>
        </w:rPr>
        <w:t xml:space="preserve">; EDBs can choose to provide other information/evidence </w:t>
      </w:r>
      <w:r w:rsidR="0034321E">
        <w:rPr>
          <w:i/>
          <w:iCs/>
        </w:rPr>
        <w:t>if they wish</w:t>
      </w:r>
      <w:r w:rsidR="00860C7A">
        <w:rPr>
          <w:i/>
          <w:iCs/>
        </w:rPr>
        <w:t xml:space="preserve">. </w:t>
      </w:r>
    </w:p>
    <w:tbl>
      <w:tblPr>
        <w:tblStyle w:val="GridTable4-Accent2"/>
        <w:tblW w:w="9017" w:type="dxa"/>
        <w:tblLook w:val="04A0" w:firstRow="1" w:lastRow="0" w:firstColumn="1" w:lastColumn="0" w:noHBand="0" w:noVBand="1"/>
      </w:tblPr>
      <w:tblGrid>
        <w:gridCol w:w="2933"/>
        <w:gridCol w:w="3063"/>
        <w:gridCol w:w="3021"/>
      </w:tblGrid>
      <w:tr w:rsidR="00020AA9" w:rsidTr="00020AA9" w14:paraId="1838877E" w14:textId="50F9F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</w:tcPr>
          <w:p w:rsidR="00020AA9" w:rsidP="00020AA9" w:rsidRDefault="009006B2" w14:paraId="6A103F58" w14:textId="5EF3D211">
            <w:r>
              <w:t xml:space="preserve">Voluntary </w:t>
            </w:r>
            <w:r w:rsidR="00020AA9">
              <w:t xml:space="preserve">Information type </w:t>
            </w:r>
          </w:p>
        </w:tc>
        <w:tc>
          <w:tcPr>
            <w:tcW w:w="3063" w:type="dxa"/>
          </w:tcPr>
          <w:p w:rsidR="00020AA9" w:rsidP="00020AA9" w:rsidRDefault="00020AA9" w14:paraId="0C5AF368" w14:textId="3005CA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Guidance </w:t>
            </w:r>
          </w:p>
        </w:tc>
        <w:tc>
          <w:tcPr>
            <w:tcW w:w="3021" w:type="dxa"/>
          </w:tcPr>
          <w:p w:rsidR="00020AA9" w:rsidP="00020AA9" w:rsidRDefault="00C0071D" w14:paraId="20548D3B" w14:textId="2652F0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Information </w:t>
            </w:r>
            <w:r w:rsidR="00020AA9">
              <w:t>(EDB to complete)</w:t>
            </w:r>
          </w:p>
        </w:tc>
      </w:tr>
      <w:tr w:rsidR="00020AA9" w:rsidTr="00020AA9" w14:paraId="4862AC6F" w14:textId="5DFD8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</w:tcPr>
          <w:p w:rsidR="00020AA9" w:rsidP="00020AA9" w:rsidRDefault="00020AA9" w14:paraId="7A4A3468" w14:textId="31C0B825">
            <w:r>
              <w:t xml:space="preserve">Scope </w:t>
            </w:r>
          </w:p>
        </w:tc>
        <w:tc>
          <w:tcPr>
            <w:tcW w:w="3063" w:type="dxa"/>
          </w:tcPr>
          <w:p w:rsidR="00020AA9" w:rsidP="00020AA9" w:rsidRDefault="0030675B" w14:paraId="0BC96635" w14:textId="0E2AE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Details of </w:t>
            </w:r>
            <w:r w:rsidR="0002434F">
              <w:t xml:space="preserve">the </w:t>
            </w:r>
            <w:r w:rsidR="00EA79DB">
              <w:t xml:space="preserve">subject area or extent that the project will cover </w:t>
            </w:r>
          </w:p>
        </w:tc>
        <w:tc>
          <w:tcPr>
            <w:tcW w:w="3021" w:type="dxa"/>
          </w:tcPr>
          <w:p w:rsidR="00020AA9" w:rsidP="00020AA9" w:rsidRDefault="00020AA9" w14:paraId="634C505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0AA9" w:rsidTr="00020AA9" w14:paraId="5AD38038" w14:textId="5F05B537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</w:tcPr>
          <w:p w:rsidR="00020AA9" w:rsidP="00020AA9" w:rsidRDefault="00020AA9" w14:paraId="0C7E0C79" w14:textId="126D7C50">
            <w:r>
              <w:t xml:space="preserve">Scale </w:t>
            </w:r>
          </w:p>
        </w:tc>
        <w:tc>
          <w:tcPr>
            <w:tcW w:w="3063" w:type="dxa"/>
          </w:tcPr>
          <w:p w:rsidR="00020AA9" w:rsidP="00020AA9" w:rsidRDefault="00D23C21" w14:paraId="5AB131E2" w14:textId="7F7C1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 the scale of the project</w:t>
            </w:r>
            <w:r w:rsidR="0030675B">
              <w:t xml:space="preserve"> with reference to size of the network</w:t>
            </w:r>
          </w:p>
        </w:tc>
        <w:tc>
          <w:tcPr>
            <w:tcW w:w="3021" w:type="dxa"/>
          </w:tcPr>
          <w:p w:rsidR="00020AA9" w:rsidP="00020AA9" w:rsidRDefault="00020AA9" w14:paraId="7905E3E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0AA9" w:rsidTr="00020AA9" w14:paraId="6B065FAE" w14:textId="39E8A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</w:tcPr>
          <w:p w:rsidRPr="00FC55C3" w:rsidR="00020AA9" w:rsidP="00020AA9" w:rsidRDefault="00020AA9" w14:paraId="7EEACB5E" w14:textId="527473B6">
            <w:pPr>
              <w:rPr>
                <w:b w:val="0"/>
                <w:bCs w:val="0"/>
              </w:rPr>
            </w:pPr>
            <w:r>
              <w:t xml:space="preserve">Geographical area </w:t>
            </w:r>
          </w:p>
        </w:tc>
        <w:tc>
          <w:tcPr>
            <w:tcW w:w="3063" w:type="dxa"/>
          </w:tcPr>
          <w:p w:rsidR="00020AA9" w:rsidP="00020AA9" w:rsidRDefault="00020AA9" w14:paraId="1088CBFD" w14:textId="73D8F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is the area or zone that the project will cover (if any)</w:t>
            </w:r>
          </w:p>
        </w:tc>
        <w:tc>
          <w:tcPr>
            <w:tcW w:w="3021" w:type="dxa"/>
          </w:tcPr>
          <w:p w:rsidR="00020AA9" w:rsidP="00020AA9" w:rsidRDefault="00020AA9" w14:paraId="2D23066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0AA9" w:rsidTr="00020AA9" w14:paraId="661083A6" w14:textId="105A719D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</w:tcPr>
          <w:p w:rsidR="00020AA9" w:rsidP="00020AA9" w:rsidRDefault="00020AA9" w14:paraId="15C6486A" w14:textId="64A1B47D">
            <w:r>
              <w:t xml:space="preserve">How does project build on prior learning </w:t>
            </w:r>
          </w:p>
        </w:tc>
        <w:tc>
          <w:tcPr>
            <w:tcW w:w="3063" w:type="dxa"/>
          </w:tcPr>
          <w:p w:rsidR="00020AA9" w:rsidP="00020AA9" w:rsidRDefault="00020AA9" w14:paraId="72D4BAD5" w14:textId="2A961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there any prior learning or similar experience that informs this work</w:t>
            </w:r>
          </w:p>
        </w:tc>
        <w:tc>
          <w:tcPr>
            <w:tcW w:w="3021" w:type="dxa"/>
          </w:tcPr>
          <w:p w:rsidR="00020AA9" w:rsidP="00020AA9" w:rsidRDefault="00020AA9" w14:paraId="78C5478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0AA9" w:rsidTr="00020AA9" w14:paraId="3F9077EF" w14:textId="1610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</w:tcPr>
          <w:p w:rsidR="00020AA9" w:rsidP="00020AA9" w:rsidRDefault="00020AA9" w14:paraId="22976454" w14:textId="22E53B60">
            <w:r>
              <w:t xml:space="preserve">Potential for new learning </w:t>
            </w:r>
          </w:p>
        </w:tc>
        <w:tc>
          <w:tcPr>
            <w:tcW w:w="3063" w:type="dxa"/>
          </w:tcPr>
          <w:p w:rsidR="00020AA9" w:rsidP="00020AA9" w:rsidRDefault="00020AA9" w14:paraId="24F0A902" w14:textId="23B67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Details for how project could result in or provide new learning </w:t>
            </w:r>
          </w:p>
        </w:tc>
        <w:tc>
          <w:tcPr>
            <w:tcW w:w="3021" w:type="dxa"/>
          </w:tcPr>
          <w:p w:rsidR="00020AA9" w:rsidP="00020AA9" w:rsidRDefault="00020AA9" w14:paraId="11C1831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0AA9" w:rsidTr="00020AA9" w14:paraId="7572284E" w14:textId="0906434C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</w:tcPr>
          <w:p w:rsidR="00020AA9" w:rsidP="00020AA9" w:rsidRDefault="00020AA9" w14:paraId="2455ED3C" w14:textId="29EDDBE4">
            <w:r>
              <w:t xml:space="preserve">Collaboration and/or partners </w:t>
            </w:r>
          </w:p>
        </w:tc>
        <w:tc>
          <w:tcPr>
            <w:tcW w:w="3063" w:type="dxa"/>
          </w:tcPr>
          <w:p w:rsidR="00020AA9" w:rsidP="00020AA9" w:rsidRDefault="00020AA9" w14:paraId="0F7ACF5F" w14:textId="5DCD8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Details of partners and respective roles </w:t>
            </w:r>
          </w:p>
        </w:tc>
        <w:tc>
          <w:tcPr>
            <w:tcW w:w="3021" w:type="dxa"/>
          </w:tcPr>
          <w:p w:rsidR="00020AA9" w:rsidP="00020AA9" w:rsidRDefault="00020AA9" w14:paraId="50506CB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0AA9" w:rsidTr="00020AA9" w14:paraId="5339254A" w14:textId="4684E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</w:tcPr>
          <w:p w:rsidR="00020AA9" w:rsidP="00020AA9" w:rsidRDefault="00020AA9" w14:paraId="4998CF56" w14:textId="4D2B377D">
            <w:r>
              <w:t xml:space="preserve">Alignment to sector programmes </w:t>
            </w:r>
          </w:p>
        </w:tc>
        <w:tc>
          <w:tcPr>
            <w:tcW w:w="3063" w:type="dxa"/>
          </w:tcPr>
          <w:p w:rsidR="00020AA9" w:rsidP="00020AA9" w:rsidRDefault="00020AA9" w14:paraId="065703CB" w14:textId="0DFC8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might include work with or alignment to work undertaken by programmes such as flex-forum, etc. </w:t>
            </w:r>
          </w:p>
        </w:tc>
        <w:tc>
          <w:tcPr>
            <w:tcW w:w="3021" w:type="dxa"/>
          </w:tcPr>
          <w:p w:rsidR="00020AA9" w:rsidP="00020AA9" w:rsidRDefault="00020AA9" w14:paraId="74B9E40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0AA9" w:rsidTr="00020AA9" w14:paraId="1C4404E4" w14:textId="0C67D699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</w:tcPr>
          <w:p w:rsidR="00020AA9" w:rsidP="00020AA9" w:rsidRDefault="00020AA9" w14:paraId="5258579B" w14:textId="7A2D345E">
            <w:r>
              <w:t xml:space="preserve">Replicable in New Zealand  </w:t>
            </w:r>
          </w:p>
        </w:tc>
        <w:tc>
          <w:tcPr>
            <w:tcW w:w="3063" w:type="dxa"/>
          </w:tcPr>
          <w:p w:rsidR="00020AA9" w:rsidP="00020AA9" w:rsidRDefault="00020AA9" w14:paraId="2225B957" w14:textId="13677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Explanation for how project would be replicable for other networks in NZ  </w:t>
            </w:r>
          </w:p>
        </w:tc>
        <w:tc>
          <w:tcPr>
            <w:tcW w:w="3021" w:type="dxa"/>
          </w:tcPr>
          <w:p w:rsidR="00020AA9" w:rsidP="00020AA9" w:rsidRDefault="00020AA9" w14:paraId="06A0680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860C7A" w:rsidR="00250A05" w:rsidP="00250A05" w:rsidRDefault="00250A05" w14:paraId="5710C0B7" w14:textId="276D41F4">
      <w:pPr>
        <w:pStyle w:val="BodyText"/>
      </w:pPr>
    </w:p>
    <w:sectPr w:rsidRPr="00860C7A" w:rsidR="00250A05" w:rsidSect="00760B9E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850" w:footer="43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7E3B" w:rsidRDefault="000B7E3B" w14:paraId="71C28CC9" w14:textId="77777777">
      <w:r>
        <w:separator/>
      </w:r>
    </w:p>
  </w:endnote>
  <w:endnote w:type="continuationSeparator" w:id="0">
    <w:p w:rsidR="000B7E3B" w:rsidRDefault="000B7E3B" w14:paraId="460E3BB2" w14:textId="77777777">
      <w:r>
        <w:continuationSeparator/>
      </w:r>
    </w:p>
  </w:endnote>
  <w:endnote w:type="continuationNotice" w:id="1">
    <w:p w:rsidR="000B7E3B" w:rsidRDefault="000B7E3B" w14:paraId="5CD6562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14F1" w:rsidP="008314F1" w:rsidRDefault="004B79AF" w14:paraId="62448859" w14:textId="2CC73AAC">
    <w:pPr>
      <w:pStyle w:val="Footer"/>
      <w:jc w:val="left"/>
    </w:pPr>
    <w:r>
      <w:fldChar w:fldCharType="begin"/>
    </w:r>
    <w:r>
      <w:instrText>DOCPROPERTY  CCNZ.imProfileDocNum  \* MERGEFORMAT</w:instrText>
    </w:r>
    <w:r>
      <w:fldChar w:fldCharType="separate"/>
    </w:r>
    <w:r w:rsidR="00BB75DC">
      <w:rPr>
        <w:b/>
        <w:bCs/>
        <w:lang w:val="en-GB"/>
      </w:rPr>
      <w:t>Error! Unknown document property name.</w:t>
    </w:r>
    <w:r>
      <w:fldChar w:fldCharType="end"/>
    </w:r>
    <w:r w:rsidR="008314F1">
      <w:t>-</w:t>
    </w:r>
    <w:r>
      <w:fldChar w:fldCharType="begin"/>
    </w:r>
    <w:r>
      <w:instrText>DOCPROPERTY  CCNZ.imProfileVersion  \* MERGEFORMAT</w:instrText>
    </w:r>
    <w:r>
      <w:fldChar w:fldCharType="separate"/>
    </w:r>
    <w:r w:rsidR="00BB75DC">
      <w:rPr>
        <w:b/>
        <w:bCs/>
        <w:lang w:val="en-GB"/>
      </w:rPr>
      <w:t>Error! Unknown document property name.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5AA6" w:rsidP="00125AA6" w:rsidRDefault="00125AA6" w14:paraId="1445E41A" w14:textId="7777777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7E3B" w:rsidRDefault="000B7E3B" w14:paraId="0331FEB1" w14:textId="77777777">
      <w:r>
        <w:separator/>
      </w:r>
    </w:p>
  </w:footnote>
  <w:footnote w:type="continuationSeparator" w:id="0">
    <w:p w:rsidR="000B7E3B" w:rsidRDefault="000B7E3B" w14:paraId="37228CEB" w14:textId="77777777">
      <w:r>
        <w:continuationSeparator/>
      </w:r>
    </w:p>
  </w:footnote>
  <w:footnote w:type="continuationNotice" w:id="1">
    <w:p w:rsidR="000B7E3B" w:rsidRDefault="000B7E3B" w14:paraId="5AD84175" w14:textId="77777777"/>
  </w:footnote>
  <w:footnote w:id="2">
    <w:p w:rsidR="00DB3622" w:rsidRDefault="00DB3622" w14:paraId="158C8648" w14:textId="04B9EA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See the bottom of this docu</w:t>
      </w:r>
      <w:r w:rsidR="009946AC">
        <w:t xml:space="preserve">ment for a draft PEA template </w:t>
      </w:r>
    </w:p>
  </w:footnote>
  <w:footnote w:id="3">
    <w:p w:rsidR="00F1685F" w:rsidP="00F1685F" w:rsidRDefault="00F1685F" w14:paraId="6007C53C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Under the EDB IMs and draft DPP4 determination: </w:t>
      </w:r>
    </w:p>
    <w:p w:rsidR="00F1685F" w:rsidP="00864A1C" w:rsidRDefault="00F1685F" w14:paraId="25267706" w14:textId="77777777">
      <w:pPr>
        <w:pStyle w:val="FootnoteText"/>
        <w:numPr>
          <w:ilvl w:val="0"/>
          <w:numId w:val="33"/>
        </w:numPr>
      </w:pPr>
      <w:r>
        <w:t>‘</w:t>
      </w:r>
      <w:proofErr w:type="gramStart"/>
      <w:r>
        <w:t>electricity</w:t>
      </w:r>
      <w:proofErr w:type="gramEnd"/>
      <w:r>
        <w:t xml:space="preserve"> distribution services’ means all electricity lines services, other than those supplied by Transpower or any subsidiary of, or successor to Transpower; and</w:t>
      </w:r>
    </w:p>
    <w:p w:rsidR="00F1685F" w:rsidP="00864A1C" w:rsidRDefault="00F1685F" w14:paraId="4FB0EE0E" w14:textId="77777777">
      <w:pPr>
        <w:pStyle w:val="FootnoteText"/>
        <w:numPr>
          <w:ilvl w:val="0"/>
          <w:numId w:val="33"/>
        </w:numPr>
      </w:pPr>
      <w:r>
        <w:t>‘</w:t>
      </w:r>
      <w:proofErr w:type="gramStart"/>
      <w:r>
        <w:t>electricity</w:t>
      </w:r>
      <w:proofErr w:type="gramEnd"/>
      <w:r>
        <w:t xml:space="preserve"> lines services’ has the same meaning as defined in s 54C of the Act. We have previously published guidance on the s 54C definition of ‘electricity lines services’ – most recently </w:t>
      </w:r>
      <w:hyperlink w:history="1" r:id="rId1">
        <w:r w:rsidRPr="00240ED6">
          <w:rPr>
            <w:rStyle w:val="Hyperlink"/>
          </w:rPr>
          <w:t>here</w:t>
        </w:r>
      </w:hyperlink>
      <w:r>
        <w:t>.</w:t>
      </w:r>
    </w:p>
    <w:p w:rsidR="00F1685F" w:rsidP="00F1685F" w:rsidRDefault="00F1685F" w14:paraId="51A976DC" w14:textId="77777777">
      <w:pPr>
        <w:pStyle w:val="FootnoteText"/>
        <w:ind w:firstLine="0"/>
      </w:pPr>
    </w:p>
  </w:footnote>
  <w:footnote w:id="4">
    <w:p w:rsidRPr="00922631" w:rsidR="00201CCA" w:rsidRDefault="00201CCA" w14:paraId="66B776E4" w14:textId="1C7C38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22631">
        <w:tab/>
        <w:t>Note that given the function that an INTSA would serve, we consider</w:t>
      </w:r>
      <w:r w:rsidR="000821CA">
        <w:t xml:space="preserve"> every</w:t>
      </w:r>
      <w:r w:rsidR="00922631">
        <w:t xml:space="preserve"> INTSA project </w:t>
      </w:r>
      <w:r w:rsidR="00922631">
        <w:rPr>
          <w:b/>
          <w:bCs/>
        </w:rPr>
        <w:t xml:space="preserve">must </w:t>
      </w:r>
      <w:r w:rsidR="008D5C18">
        <w:t xml:space="preserve">pose </w:t>
      </w:r>
      <w:r w:rsidR="000821CA">
        <w:t xml:space="preserve">a </w:t>
      </w:r>
      <w:r w:rsidR="008D5C18">
        <w:t>financial risk</w:t>
      </w:r>
      <w:r w:rsidR="000821CA">
        <w:t xml:space="preserve"> to the EDB</w:t>
      </w:r>
      <w:r w:rsidR="008D5C18">
        <w:t xml:space="preserve"> </w:t>
      </w:r>
      <w:r w:rsidR="000821CA">
        <w:t xml:space="preserve">in the first instance.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D7657" w:rsidR="001D7657" w:rsidRDefault="00D8236E" w14:paraId="74B5A74B" w14:textId="77777777">
    <w:pPr>
      <w:pStyle w:val="Header"/>
    </w:pPr>
    <w:r w:rsidRPr="001D7657">
      <w:rPr>
        <w:rStyle w:val="PageNumber"/>
      </w:rPr>
      <w:fldChar w:fldCharType="begin"/>
    </w:r>
    <w:r w:rsidRPr="001D7657" w:rsidR="001D7657">
      <w:rPr>
        <w:rStyle w:val="PageNumber"/>
      </w:rPr>
      <w:instrText xml:space="preserve"> PAGE   \* MERGEFORMAT </w:instrText>
    </w:r>
    <w:r w:rsidRPr="001D7657">
      <w:rPr>
        <w:rStyle w:val="PageNumber"/>
      </w:rPr>
      <w:fldChar w:fldCharType="separate"/>
    </w:r>
    <w:r w:rsidR="001D7657">
      <w:rPr>
        <w:rStyle w:val="PageNumber"/>
        <w:noProof/>
      </w:rPr>
      <w:t>2</w:t>
    </w:r>
    <w:r w:rsidRPr="001D7657">
      <w:rPr>
        <w:rStyle w:val="PageNumber"/>
      </w:rPr>
      <w:fldChar w:fldCharType="end"/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0836" w:rsidP="00F10836" w:rsidRDefault="00F10836" w14:paraId="75604F5E" w14:textId="7120984F">
    <w:pPr>
      <w:pStyle w:val="Header"/>
      <w:jc w:val="left"/>
    </w:pPr>
    <w:r>
      <w:rPr>
        <w:noProof/>
        <w:lang w:eastAsia="en-NZ"/>
      </w:rPr>
      <w:drawing>
        <wp:inline distT="0" distB="0" distL="0" distR="0" wp14:anchorId="0A800CBB" wp14:editId="6D75297D">
          <wp:extent cx="1993265" cy="604520"/>
          <wp:effectExtent l="0" t="0" r="6985" b="5080"/>
          <wp:docPr id="5" name="Picture 5" descr="" titl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265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55D0"/>
    <w:multiLevelType w:val="hybridMultilevel"/>
    <w:tmpl w:val="944EE97E"/>
    <w:lvl w:ilvl="0" w:tplc="DA0C8E9A">
      <w:start w:val="1"/>
      <w:numFmt w:val="decimal"/>
      <w:pStyle w:val="List"/>
      <w:lvlText w:val="%1."/>
      <w:lvlJc w:val="left"/>
      <w:pPr>
        <w:tabs>
          <w:tab w:val="num" w:pos="65"/>
        </w:tabs>
        <w:ind w:left="6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12237"/>
    <w:multiLevelType w:val="hybridMultilevel"/>
    <w:tmpl w:val="36AA933E"/>
    <w:lvl w:ilvl="0" w:tplc="0174046E">
      <w:start w:val="1"/>
      <w:numFmt w:val="decimal"/>
      <w:pStyle w:val="Numberedlist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4035E"/>
    <w:multiLevelType w:val="hybridMultilevel"/>
    <w:tmpl w:val="40102C9E"/>
    <w:lvl w:ilvl="0" w:tplc="B5B4420C">
      <w:numFmt w:val="bullet"/>
      <w:pStyle w:val="Level3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Calibri" w:hAnsi="Symbol" w:cs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E2503"/>
    <w:multiLevelType w:val="multilevel"/>
    <w:tmpl w:val="58C625A4"/>
    <w:styleLink w:val="Tablebulletlis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D2244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21ED376B"/>
    <w:multiLevelType w:val="hybridMultilevel"/>
    <w:tmpl w:val="91F4B0EA"/>
    <w:lvl w:ilvl="0" w:tplc="875C6B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0D4F5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FD2E877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3320B67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6E0A5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504A27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1C42587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234A212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0066CA3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5" w15:restartNumberingAfterBreak="0">
    <w:nsid w:val="255036F7"/>
    <w:multiLevelType w:val="hybridMultilevel"/>
    <w:tmpl w:val="63841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20946"/>
    <w:multiLevelType w:val="hybridMultilevel"/>
    <w:tmpl w:val="F1E8F51C"/>
    <w:lvl w:ilvl="0" w:tplc="1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950253B"/>
    <w:multiLevelType w:val="multilevel"/>
    <w:tmpl w:val="A57616B4"/>
    <w:lvl w:ilvl="0">
      <w:start w:val="1"/>
      <w:numFmt w:val="decimal"/>
      <w:pStyle w:val="Outline2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3A62BAE"/>
    <w:multiLevelType w:val="multilevel"/>
    <w:tmpl w:val="102E164E"/>
    <w:styleLink w:val="Outlinestyle"/>
    <w:lvl w:ilvl="0">
      <w:start w:val="1"/>
      <w:numFmt w:val="decimal"/>
      <w:pStyle w:val="Par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Letter"/>
      <w:pStyle w:val="Para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Roman"/>
      <w:pStyle w:val="Para5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3A255F9B"/>
    <w:multiLevelType w:val="hybridMultilevel"/>
    <w:tmpl w:val="0C0EE1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B564D"/>
    <w:multiLevelType w:val="hybridMultilevel"/>
    <w:tmpl w:val="11B472C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314D2"/>
    <w:multiLevelType w:val="hybridMultilevel"/>
    <w:tmpl w:val="FEC20E48"/>
    <w:lvl w:ilvl="0" w:tplc="24A2CDFC">
      <w:start w:val="1"/>
      <w:numFmt w:val="decimal"/>
      <w:pStyle w:val="Tablenumberedlist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7B4652"/>
    <w:multiLevelType w:val="hybridMultilevel"/>
    <w:tmpl w:val="D85CE49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80546"/>
    <w:multiLevelType w:val="hybridMultilevel"/>
    <w:tmpl w:val="7D5C984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5353F"/>
    <w:multiLevelType w:val="multilevel"/>
    <w:tmpl w:val="8292B964"/>
    <w:styleLink w:val="zInstructionsbulletlist"/>
    <w:lvl w:ilvl="0">
      <w:start w:val="1"/>
      <w:numFmt w:val="bullet"/>
      <w:pStyle w:val="zInstructions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26"/>
        </w:tabs>
        <w:ind w:left="2126" w:hanging="70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58C66B4A"/>
    <w:multiLevelType w:val="multilevel"/>
    <w:tmpl w:val="9D00A394"/>
    <w:styleLink w:val="Attachmentsliststyle"/>
    <w:lvl w:ilvl="0">
      <w:start w:val="1"/>
      <w:numFmt w:val="upperLetter"/>
      <w:pStyle w:val="Attachmentsheading"/>
      <w:lvlText w:val="Attachment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591E0F60"/>
    <w:multiLevelType w:val="hybridMultilevel"/>
    <w:tmpl w:val="AA062754"/>
    <w:lvl w:ilvl="0" w:tplc="A6C42CF8">
      <w:start w:val="1"/>
      <w:numFmt w:val="bullet"/>
      <w:pStyle w:val="Level1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D2AD2"/>
    <w:multiLevelType w:val="hybridMultilevel"/>
    <w:tmpl w:val="F70632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E670E"/>
    <w:multiLevelType w:val="hybridMultilevel"/>
    <w:tmpl w:val="9F4CB590"/>
    <w:lvl w:ilvl="0" w:tplc="E9A2782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B35207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8EE61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B11270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A12C8A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3B963F3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8D1038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5E2EA6F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05894A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9" w15:restartNumberingAfterBreak="0">
    <w:nsid w:val="68F66127"/>
    <w:multiLevelType w:val="hybridMultilevel"/>
    <w:tmpl w:val="9B546DE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99788F"/>
    <w:multiLevelType w:val="multilevel"/>
    <w:tmpl w:val="102E164E"/>
    <w:numStyleLink w:val="Outlinestyle"/>
  </w:abstractNum>
  <w:abstractNum w:abstractNumId="21" w15:restartNumberingAfterBreak="0">
    <w:nsid w:val="79AE6065"/>
    <w:multiLevelType w:val="multilevel"/>
    <w:tmpl w:val="FD2E6198"/>
    <w:styleLink w:val="Bulletliststyle"/>
    <w:lvl w:ilvl="0">
      <w:start w:val="1"/>
      <w:numFmt w:val="bullet"/>
      <w:pStyle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u w:val="none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7CCB3E2C"/>
    <w:multiLevelType w:val="hybridMultilevel"/>
    <w:tmpl w:val="94A29726"/>
    <w:lvl w:ilvl="0" w:tplc="26B6920E">
      <w:numFmt w:val="bullet"/>
      <w:pStyle w:val="Level2bullet"/>
      <w:lvlText w:val=""/>
      <w:lvlJc w:val="left"/>
      <w:pPr>
        <w:tabs>
          <w:tab w:val="num" w:pos="568"/>
        </w:tabs>
        <w:ind w:left="568" w:hanging="284"/>
      </w:pPr>
      <w:rPr>
        <w:rFonts w:ascii="Symbol" w:eastAsia="Calibri" w:hAnsi="Symbol" w:cs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894494">
    <w:abstractNumId w:val="14"/>
  </w:num>
  <w:num w:numId="2" w16cid:durableId="1046027827">
    <w:abstractNumId w:val="14"/>
  </w:num>
  <w:num w:numId="3" w16cid:durableId="523446240">
    <w:abstractNumId w:val="15"/>
  </w:num>
  <w:num w:numId="4" w16cid:durableId="1068840636">
    <w:abstractNumId w:val="21"/>
  </w:num>
  <w:num w:numId="5" w16cid:durableId="2111537093">
    <w:abstractNumId w:val="16"/>
  </w:num>
  <w:num w:numId="6" w16cid:durableId="2115243747">
    <w:abstractNumId w:val="22"/>
  </w:num>
  <w:num w:numId="7" w16cid:durableId="1116409332">
    <w:abstractNumId w:val="2"/>
  </w:num>
  <w:num w:numId="8" w16cid:durableId="849756382">
    <w:abstractNumId w:val="0"/>
  </w:num>
  <w:num w:numId="9" w16cid:durableId="63257203">
    <w:abstractNumId w:val="1"/>
  </w:num>
  <w:num w:numId="10" w16cid:durableId="227038981">
    <w:abstractNumId w:val="7"/>
  </w:num>
  <w:num w:numId="11" w16cid:durableId="634605880">
    <w:abstractNumId w:val="8"/>
  </w:num>
  <w:num w:numId="12" w16cid:durableId="710616487">
    <w:abstractNumId w:val="20"/>
  </w:num>
  <w:num w:numId="13" w16cid:durableId="1456950437">
    <w:abstractNumId w:val="3"/>
  </w:num>
  <w:num w:numId="14" w16cid:durableId="554002562">
    <w:abstractNumId w:val="11"/>
  </w:num>
  <w:num w:numId="15" w16cid:durableId="1205871544">
    <w:abstractNumId w:val="21"/>
  </w:num>
  <w:num w:numId="16" w16cid:durableId="1337074224">
    <w:abstractNumId w:val="21"/>
  </w:num>
  <w:num w:numId="17" w16cid:durableId="1786847849">
    <w:abstractNumId w:val="21"/>
  </w:num>
  <w:num w:numId="18" w16cid:durableId="1825003214">
    <w:abstractNumId w:val="21"/>
  </w:num>
  <w:num w:numId="19" w16cid:durableId="1691567080">
    <w:abstractNumId w:val="21"/>
  </w:num>
  <w:num w:numId="20" w16cid:durableId="826015995">
    <w:abstractNumId w:val="21"/>
  </w:num>
  <w:num w:numId="21" w16cid:durableId="606160476">
    <w:abstractNumId w:val="12"/>
  </w:num>
  <w:num w:numId="22" w16cid:durableId="647856007">
    <w:abstractNumId w:val="13"/>
  </w:num>
  <w:num w:numId="23" w16cid:durableId="1740908387">
    <w:abstractNumId w:val="10"/>
  </w:num>
  <w:num w:numId="24" w16cid:durableId="293172579">
    <w:abstractNumId w:val="5"/>
  </w:num>
  <w:num w:numId="25" w16cid:durableId="1697653644">
    <w:abstractNumId w:val="19"/>
  </w:num>
  <w:num w:numId="26" w16cid:durableId="3801764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30873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641812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96014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3832219">
    <w:abstractNumId w:val="18"/>
  </w:num>
  <w:num w:numId="31" w16cid:durableId="652100175">
    <w:abstractNumId w:val="4"/>
  </w:num>
  <w:num w:numId="32" w16cid:durableId="612171987">
    <w:abstractNumId w:val="9"/>
  </w:num>
  <w:num w:numId="33" w16cid:durableId="1860048777">
    <w:abstractNumId w:val="6"/>
  </w:num>
  <w:num w:numId="34" w16cid:durableId="1268536157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8A"/>
    <w:rsid w:val="000002F8"/>
    <w:rsid w:val="00002EDE"/>
    <w:rsid w:val="00003F76"/>
    <w:rsid w:val="00005435"/>
    <w:rsid w:val="00006066"/>
    <w:rsid w:val="00006904"/>
    <w:rsid w:val="00007B4E"/>
    <w:rsid w:val="00007BF0"/>
    <w:rsid w:val="00012AF2"/>
    <w:rsid w:val="0001347A"/>
    <w:rsid w:val="0001532C"/>
    <w:rsid w:val="00020AA9"/>
    <w:rsid w:val="00020E5E"/>
    <w:rsid w:val="00020FF8"/>
    <w:rsid w:val="00021A57"/>
    <w:rsid w:val="00021C48"/>
    <w:rsid w:val="0002434F"/>
    <w:rsid w:val="00024B11"/>
    <w:rsid w:val="000267FE"/>
    <w:rsid w:val="0002692D"/>
    <w:rsid w:val="00027E87"/>
    <w:rsid w:val="00030BB8"/>
    <w:rsid w:val="00033649"/>
    <w:rsid w:val="00033D7B"/>
    <w:rsid w:val="00034BF2"/>
    <w:rsid w:val="00037950"/>
    <w:rsid w:val="000400F8"/>
    <w:rsid w:val="00040191"/>
    <w:rsid w:val="00043BAC"/>
    <w:rsid w:val="0004472D"/>
    <w:rsid w:val="0004502C"/>
    <w:rsid w:val="00046E80"/>
    <w:rsid w:val="0004739A"/>
    <w:rsid w:val="000509F8"/>
    <w:rsid w:val="00050B7D"/>
    <w:rsid w:val="00053B4B"/>
    <w:rsid w:val="000566C0"/>
    <w:rsid w:val="0006183A"/>
    <w:rsid w:val="00064469"/>
    <w:rsid w:val="00066CC8"/>
    <w:rsid w:val="00067BA8"/>
    <w:rsid w:val="00071100"/>
    <w:rsid w:val="0007196F"/>
    <w:rsid w:val="00073885"/>
    <w:rsid w:val="000757EE"/>
    <w:rsid w:val="00077352"/>
    <w:rsid w:val="00077BD6"/>
    <w:rsid w:val="00081A4E"/>
    <w:rsid w:val="000821CA"/>
    <w:rsid w:val="00085046"/>
    <w:rsid w:val="00085922"/>
    <w:rsid w:val="00085D83"/>
    <w:rsid w:val="00087F5D"/>
    <w:rsid w:val="00090F89"/>
    <w:rsid w:val="00092A9F"/>
    <w:rsid w:val="00095324"/>
    <w:rsid w:val="00096237"/>
    <w:rsid w:val="00096C7F"/>
    <w:rsid w:val="000A0313"/>
    <w:rsid w:val="000A141F"/>
    <w:rsid w:val="000A1E05"/>
    <w:rsid w:val="000A3E94"/>
    <w:rsid w:val="000A51A4"/>
    <w:rsid w:val="000A586F"/>
    <w:rsid w:val="000A58E8"/>
    <w:rsid w:val="000A6664"/>
    <w:rsid w:val="000B4A15"/>
    <w:rsid w:val="000B59FF"/>
    <w:rsid w:val="000B5A5B"/>
    <w:rsid w:val="000B6E13"/>
    <w:rsid w:val="000B7E3B"/>
    <w:rsid w:val="000C0A20"/>
    <w:rsid w:val="000C1DBE"/>
    <w:rsid w:val="000C2E98"/>
    <w:rsid w:val="000C502B"/>
    <w:rsid w:val="000C59A2"/>
    <w:rsid w:val="000C5D11"/>
    <w:rsid w:val="000C5D9D"/>
    <w:rsid w:val="000C6B2B"/>
    <w:rsid w:val="000C7E10"/>
    <w:rsid w:val="000D00A5"/>
    <w:rsid w:val="000D0521"/>
    <w:rsid w:val="000D4236"/>
    <w:rsid w:val="000D4C56"/>
    <w:rsid w:val="000D4FD3"/>
    <w:rsid w:val="000D534F"/>
    <w:rsid w:val="000D5B4C"/>
    <w:rsid w:val="000D6FA8"/>
    <w:rsid w:val="000E04E6"/>
    <w:rsid w:val="000E0A4D"/>
    <w:rsid w:val="000E2F9A"/>
    <w:rsid w:val="000E3AC8"/>
    <w:rsid w:val="000F0A86"/>
    <w:rsid w:val="000F3065"/>
    <w:rsid w:val="000F450B"/>
    <w:rsid w:val="000F5E4E"/>
    <w:rsid w:val="00100886"/>
    <w:rsid w:val="00100D3C"/>
    <w:rsid w:val="00104E4E"/>
    <w:rsid w:val="00111E7F"/>
    <w:rsid w:val="001120A5"/>
    <w:rsid w:val="001132DE"/>
    <w:rsid w:val="00113580"/>
    <w:rsid w:val="00115BDC"/>
    <w:rsid w:val="0011684C"/>
    <w:rsid w:val="00117435"/>
    <w:rsid w:val="00124EA6"/>
    <w:rsid w:val="00125AA6"/>
    <w:rsid w:val="00125F76"/>
    <w:rsid w:val="00126C06"/>
    <w:rsid w:val="00131081"/>
    <w:rsid w:val="00134AA5"/>
    <w:rsid w:val="00134DEC"/>
    <w:rsid w:val="001371FD"/>
    <w:rsid w:val="00137F63"/>
    <w:rsid w:val="00141080"/>
    <w:rsid w:val="0014117A"/>
    <w:rsid w:val="0014245B"/>
    <w:rsid w:val="00144E76"/>
    <w:rsid w:val="001504A7"/>
    <w:rsid w:val="00150B17"/>
    <w:rsid w:val="0015201E"/>
    <w:rsid w:val="00154E81"/>
    <w:rsid w:val="001566BF"/>
    <w:rsid w:val="00157518"/>
    <w:rsid w:val="001606C9"/>
    <w:rsid w:val="001609C3"/>
    <w:rsid w:val="00160C70"/>
    <w:rsid w:val="0016370F"/>
    <w:rsid w:val="00163DE9"/>
    <w:rsid w:val="001672FB"/>
    <w:rsid w:val="001674A0"/>
    <w:rsid w:val="00171D43"/>
    <w:rsid w:val="00175726"/>
    <w:rsid w:val="00176298"/>
    <w:rsid w:val="00176486"/>
    <w:rsid w:val="0017730E"/>
    <w:rsid w:val="001800D2"/>
    <w:rsid w:val="00180A21"/>
    <w:rsid w:val="00184E79"/>
    <w:rsid w:val="00186344"/>
    <w:rsid w:val="0019096B"/>
    <w:rsid w:val="00193F9F"/>
    <w:rsid w:val="001944AD"/>
    <w:rsid w:val="001947B8"/>
    <w:rsid w:val="001948F4"/>
    <w:rsid w:val="00195400"/>
    <w:rsid w:val="0019599C"/>
    <w:rsid w:val="001A03AA"/>
    <w:rsid w:val="001A4BF0"/>
    <w:rsid w:val="001A6AAD"/>
    <w:rsid w:val="001A70DE"/>
    <w:rsid w:val="001A7769"/>
    <w:rsid w:val="001A7A67"/>
    <w:rsid w:val="001B556D"/>
    <w:rsid w:val="001B623B"/>
    <w:rsid w:val="001B6DA2"/>
    <w:rsid w:val="001B6E32"/>
    <w:rsid w:val="001B752A"/>
    <w:rsid w:val="001C0B59"/>
    <w:rsid w:val="001C1F75"/>
    <w:rsid w:val="001C28B1"/>
    <w:rsid w:val="001C332D"/>
    <w:rsid w:val="001C3681"/>
    <w:rsid w:val="001C3FF5"/>
    <w:rsid w:val="001C4440"/>
    <w:rsid w:val="001C79C6"/>
    <w:rsid w:val="001D03DF"/>
    <w:rsid w:val="001D176A"/>
    <w:rsid w:val="001D22E7"/>
    <w:rsid w:val="001D27A9"/>
    <w:rsid w:val="001D3A5A"/>
    <w:rsid w:val="001D3CCB"/>
    <w:rsid w:val="001D4A43"/>
    <w:rsid w:val="001D5E3D"/>
    <w:rsid w:val="001D6BE4"/>
    <w:rsid w:val="001D6EBB"/>
    <w:rsid w:val="001D7657"/>
    <w:rsid w:val="001E0D27"/>
    <w:rsid w:val="001E1032"/>
    <w:rsid w:val="001E2953"/>
    <w:rsid w:val="001F6696"/>
    <w:rsid w:val="001F766F"/>
    <w:rsid w:val="00200016"/>
    <w:rsid w:val="00201CCA"/>
    <w:rsid w:val="00201DBD"/>
    <w:rsid w:val="00203A38"/>
    <w:rsid w:val="0020430B"/>
    <w:rsid w:val="002045EF"/>
    <w:rsid w:val="00205A4D"/>
    <w:rsid w:val="00205AC7"/>
    <w:rsid w:val="00207601"/>
    <w:rsid w:val="002105E4"/>
    <w:rsid w:val="002125EC"/>
    <w:rsid w:val="0021455E"/>
    <w:rsid w:val="00214CDF"/>
    <w:rsid w:val="00215751"/>
    <w:rsid w:val="00215DCD"/>
    <w:rsid w:val="002169C6"/>
    <w:rsid w:val="00217222"/>
    <w:rsid w:val="0022129B"/>
    <w:rsid w:val="00221667"/>
    <w:rsid w:val="00225CEF"/>
    <w:rsid w:val="0022602F"/>
    <w:rsid w:val="00227B04"/>
    <w:rsid w:val="002301D8"/>
    <w:rsid w:val="0023058D"/>
    <w:rsid w:val="002308CA"/>
    <w:rsid w:val="00230CFE"/>
    <w:rsid w:val="0023110F"/>
    <w:rsid w:val="00232455"/>
    <w:rsid w:val="0023255D"/>
    <w:rsid w:val="00232732"/>
    <w:rsid w:val="00232A51"/>
    <w:rsid w:val="0023401F"/>
    <w:rsid w:val="00235C96"/>
    <w:rsid w:val="0023666A"/>
    <w:rsid w:val="00240ED6"/>
    <w:rsid w:val="00241BB5"/>
    <w:rsid w:val="00243BE9"/>
    <w:rsid w:val="00244406"/>
    <w:rsid w:val="00244C0F"/>
    <w:rsid w:val="00244DAA"/>
    <w:rsid w:val="002467E4"/>
    <w:rsid w:val="00250A05"/>
    <w:rsid w:val="00250D78"/>
    <w:rsid w:val="0025172B"/>
    <w:rsid w:val="00256A1B"/>
    <w:rsid w:val="00262558"/>
    <w:rsid w:val="002649D8"/>
    <w:rsid w:val="00265701"/>
    <w:rsid w:val="00266646"/>
    <w:rsid w:val="002668AF"/>
    <w:rsid w:val="00270696"/>
    <w:rsid w:val="0027215B"/>
    <w:rsid w:val="00272CB4"/>
    <w:rsid w:val="00273C42"/>
    <w:rsid w:val="00274EED"/>
    <w:rsid w:val="0027631F"/>
    <w:rsid w:val="0027798A"/>
    <w:rsid w:val="00281941"/>
    <w:rsid w:val="00284B72"/>
    <w:rsid w:val="00284BD8"/>
    <w:rsid w:val="0028571B"/>
    <w:rsid w:val="002874F5"/>
    <w:rsid w:val="00291427"/>
    <w:rsid w:val="00291A0E"/>
    <w:rsid w:val="00291C2C"/>
    <w:rsid w:val="00292691"/>
    <w:rsid w:val="00294C46"/>
    <w:rsid w:val="00294E5E"/>
    <w:rsid w:val="00296370"/>
    <w:rsid w:val="00297616"/>
    <w:rsid w:val="00297FF7"/>
    <w:rsid w:val="002A064A"/>
    <w:rsid w:val="002A0F27"/>
    <w:rsid w:val="002A1B47"/>
    <w:rsid w:val="002A266D"/>
    <w:rsid w:val="002A3373"/>
    <w:rsid w:val="002A5112"/>
    <w:rsid w:val="002A51AE"/>
    <w:rsid w:val="002A7326"/>
    <w:rsid w:val="002A7E16"/>
    <w:rsid w:val="002B5FB7"/>
    <w:rsid w:val="002B5FC9"/>
    <w:rsid w:val="002B68D1"/>
    <w:rsid w:val="002B783B"/>
    <w:rsid w:val="002C0060"/>
    <w:rsid w:val="002C068D"/>
    <w:rsid w:val="002C36A5"/>
    <w:rsid w:val="002C3AB5"/>
    <w:rsid w:val="002C7558"/>
    <w:rsid w:val="002D2144"/>
    <w:rsid w:val="002D2307"/>
    <w:rsid w:val="002D29E6"/>
    <w:rsid w:val="002D3454"/>
    <w:rsid w:val="002D4E03"/>
    <w:rsid w:val="002D5D42"/>
    <w:rsid w:val="002D7C6E"/>
    <w:rsid w:val="002D7DA4"/>
    <w:rsid w:val="002E06D2"/>
    <w:rsid w:val="002E27A0"/>
    <w:rsid w:val="002E4C2E"/>
    <w:rsid w:val="002E514C"/>
    <w:rsid w:val="002F0BF0"/>
    <w:rsid w:val="002F203D"/>
    <w:rsid w:val="002F425B"/>
    <w:rsid w:val="00302136"/>
    <w:rsid w:val="0030675B"/>
    <w:rsid w:val="00306C1C"/>
    <w:rsid w:val="00313DE4"/>
    <w:rsid w:val="0031466A"/>
    <w:rsid w:val="00315D7B"/>
    <w:rsid w:val="00316468"/>
    <w:rsid w:val="0031693D"/>
    <w:rsid w:val="00317475"/>
    <w:rsid w:val="00317827"/>
    <w:rsid w:val="00317A0B"/>
    <w:rsid w:val="00321CE7"/>
    <w:rsid w:val="0032330C"/>
    <w:rsid w:val="003246C6"/>
    <w:rsid w:val="00324F15"/>
    <w:rsid w:val="00325B7B"/>
    <w:rsid w:val="0032605A"/>
    <w:rsid w:val="003267B9"/>
    <w:rsid w:val="00326A50"/>
    <w:rsid w:val="0032752C"/>
    <w:rsid w:val="00327732"/>
    <w:rsid w:val="00327E80"/>
    <w:rsid w:val="00331F13"/>
    <w:rsid w:val="0033261E"/>
    <w:rsid w:val="00332666"/>
    <w:rsid w:val="00332FA7"/>
    <w:rsid w:val="00333364"/>
    <w:rsid w:val="00334264"/>
    <w:rsid w:val="00334A8E"/>
    <w:rsid w:val="0033501B"/>
    <w:rsid w:val="003351DE"/>
    <w:rsid w:val="0034321E"/>
    <w:rsid w:val="00344FE5"/>
    <w:rsid w:val="00345DE0"/>
    <w:rsid w:val="00351B5D"/>
    <w:rsid w:val="0035232A"/>
    <w:rsid w:val="00354659"/>
    <w:rsid w:val="003549E4"/>
    <w:rsid w:val="00362B51"/>
    <w:rsid w:val="00362E5E"/>
    <w:rsid w:val="00364035"/>
    <w:rsid w:val="00364DF6"/>
    <w:rsid w:val="0036522B"/>
    <w:rsid w:val="00366324"/>
    <w:rsid w:val="00367FF5"/>
    <w:rsid w:val="00371ECB"/>
    <w:rsid w:val="00372263"/>
    <w:rsid w:val="003757D8"/>
    <w:rsid w:val="00375EEC"/>
    <w:rsid w:val="00380EA7"/>
    <w:rsid w:val="003824C1"/>
    <w:rsid w:val="00382B59"/>
    <w:rsid w:val="003851A3"/>
    <w:rsid w:val="00385C9E"/>
    <w:rsid w:val="003869AC"/>
    <w:rsid w:val="00386B7E"/>
    <w:rsid w:val="00387C08"/>
    <w:rsid w:val="003900BC"/>
    <w:rsid w:val="003902A6"/>
    <w:rsid w:val="003912D4"/>
    <w:rsid w:val="00392A2E"/>
    <w:rsid w:val="00393F26"/>
    <w:rsid w:val="003946B9"/>
    <w:rsid w:val="003956BF"/>
    <w:rsid w:val="003A025F"/>
    <w:rsid w:val="003A1CF7"/>
    <w:rsid w:val="003A2C3F"/>
    <w:rsid w:val="003A306D"/>
    <w:rsid w:val="003A373E"/>
    <w:rsid w:val="003A376F"/>
    <w:rsid w:val="003A59B2"/>
    <w:rsid w:val="003A7F1E"/>
    <w:rsid w:val="003B1449"/>
    <w:rsid w:val="003B1B7B"/>
    <w:rsid w:val="003B1F78"/>
    <w:rsid w:val="003B208B"/>
    <w:rsid w:val="003B3636"/>
    <w:rsid w:val="003B368B"/>
    <w:rsid w:val="003B40F6"/>
    <w:rsid w:val="003B4664"/>
    <w:rsid w:val="003B5BF0"/>
    <w:rsid w:val="003B6217"/>
    <w:rsid w:val="003B6373"/>
    <w:rsid w:val="003C013A"/>
    <w:rsid w:val="003C28E5"/>
    <w:rsid w:val="003C50F8"/>
    <w:rsid w:val="003C5209"/>
    <w:rsid w:val="003C546A"/>
    <w:rsid w:val="003C60F9"/>
    <w:rsid w:val="003C6C24"/>
    <w:rsid w:val="003D28E4"/>
    <w:rsid w:val="003D2F17"/>
    <w:rsid w:val="003D3B7D"/>
    <w:rsid w:val="003D430E"/>
    <w:rsid w:val="003D5239"/>
    <w:rsid w:val="003D575A"/>
    <w:rsid w:val="003D5AD7"/>
    <w:rsid w:val="003D7227"/>
    <w:rsid w:val="003E0051"/>
    <w:rsid w:val="003E0A41"/>
    <w:rsid w:val="003E34EC"/>
    <w:rsid w:val="003E3DCD"/>
    <w:rsid w:val="003F0502"/>
    <w:rsid w:val="003F154A"/>
    <w:rsid w:val="003F205C"/>
    <w:rsid w:val="003F2DDF"/>
    <w:rsid w:val="003F2DE9"/>
    <w:rsid w:val="003F3AF1"/>
    <w:rsid w:val="003F3DE4"/>
    <w:rsid w:val="003F44B3"/>
    <w:rsid w:val="003F512B"/>
    <w:rsid w:val="003F5993"/>
    <w:rsid w:val="003F736E"/>
    <w:rsid w:val="004001FC"/>
    <w:rsid w:val="004013C2"/>
    <w:rsid w:val="0040243A"/>
    <w:rsid w:val="00402C70"/>
    <w:rsid w:val="00402D57"/>
    <w:rsid w:val="00403333"/>
    <w:rsid w:val="004044CE"/>
    <w:rsid w:val="00404C42"/>
    <w:rsid w:val="00406289"/>
    <w:rsid w:val="004100E4"/>
    <w:rsid w:val="00417DBB"/>
    <w:rsid w:val="00420450"/>
    <w:rsid w:val="00421337"/>
    <w:rsid w:val="0042167D"/>
    <w:rsid w:val="00422C29"/>
    <w:rsid w:val="004234AC"/>
    <w:rsid w:val="00424D90"/>
    <w:rsid w:val="00427020"/>
    <w:rsid w:val="00431BE4"/>
    <w:rsid w:val="004330A5"/>
    <w:rsid w:val="004334D6"/>
    <w:rsid w:val="004340B7"/>
    <w:rsid w:val="004349D3"/>
    <w:rsid w:val="00435CFE"/>
    <w:rsid w:val="004365D2"/>
    <w:rsid w:val="00437A52"/>
    <w:rsid w:val="00440B84"/>
    <w:rsid w:val="00441144"/>
    <w:rsid w:val="00441332"/>
    <w:rsid w:val="00441625"/>
    <w:rsid w:val="00444604"/>
    <w:rsid w:val="00444F77"/>
    <w:rsid w:val="004459C8"/>
    <w:rsid w:val="00445C1D"/>
    <w:rsid w:val="0044698E"/>
    <w:rsid w:val="004500DF"/>
    <w:rsid w:val="004526C2"/>
    <w:rsid w:val="00452FAB"/>
    <w:rsid w:val="00453B80"/>
    <w:rsid w:val="00455B97"/>
    <w:rsid w:val="00460AEC"/>
    <w:rsid w:val="0046186F"/>
    <w:rsid w:val="00463915"/>
    <w:rsid w:val="00466971"/>
    <w:rsid w:val="004671E2"/>
    <w:rsid w:val="00467EDC"/>
    <w:rsid w:val="00473528"/>
    <w:rsid w:val="0047384C"/>
    <w:rsid w:val="0047486D"/>
    <w:rsid w:val="004760AD"/>
    <w:rsid w:val="00477744"/>
    <w:rsid w:val="00477C85"/>
    <w:rsid w:val="0048014A"/>
    <w:rsid w:val="004847E0"/>
    <w:rsid w:val="00490484"/>
    <w:rsid w:val="00490A3E"/>
    <w:rsid w:val="0049193E"/>
    <w:rsid w:val="00494F69"/>
    <w:rsid w:val="004961C9"/>
    <w:rsid w:val="00497C5F"/>
    <w:rsid w:val="00497E71"/>
    <w:rsid w:val="004A481B"/>
    <w:rsid w:val="004A6B10"/>
    <w:rsid w:val="004B0285"/>
    <w:rsid w:val="004B0E35"/>
    <w:rsid w:val="004B1B49"/>
    <w:rsid w:val="004B23E7"/>
    <w:rsid w:val="004B26DC"/>
    <w:rsid w:val="004B2C48"/>
    <w:rsid w:val="004B40D0"/>
    <w:rsid w:val="004B4F77"/>
    <w:rsid w:val="004B4FF5"/>
    <w:rsid w:val="004B5A35"/>
    <w:rsid w:val="004B5B33"/>
    <w:rsid w:val="004B79AF"/>
    <w:rsid w:val="004C2076"/>
    <w:rsid w:val="004C2524"/>
    <w:rsid w:val="004C3662"/>
    <w:rsid w:val="004C45B1"/>
    <w:rsid w:val="004C518D"/>
    <w:rsid w:val="004C6DF1"/>
    <w:rsid w:val="004C709A"/>
    <w:rsid w:val="004C7B4F"/>
    <w:rsid w:val="004D1A98"/>
    <w:rsid w:val="004D314C"/>
    <w:rsid w:val="004D34DE"/>
    <w:rsid w:val="004D712D"/>
    <w:rsid w:val="004D7375"/>
    <w:rsid w:val="004E2091"/>
    <w:rsid w:val="004E4CF2"/>
    <w:rsid w:val="004E568B"/>
    <w:rsid w:val="004E792A"/>
    <w:rsid w:val="004E7E71"/>
    <w:rsid w:val="004F04B8"/>
    <w:rsid w:val="004F49F5"/>
    <w:rsid w:val="004F4E00"/>
    <w:rsid w:val="004F58D6"/>
    <w:rsid w:val="004F5FC9"/>
    <w:rsid w:val="004F6AC9"/>
    <w:rsid w:val="00501E24"/>
    <w:rsid w:val="00504C28"/>
    <w:rsid w:val="00506FC4"/>
    <w:rsid w:val="005135CE"/>
    <w:rsid w:val="0051410D"/>
    <w:rsid w:val="00515E37"/>
    <w:rsid w:val="00516EEE"/>
    <w:rsid w:val="00521BBF"/>
    <w:rsid w:val="00523207"/>
    <w:rsid w:val="00523BEE"/>
    <w:rsid w:val="00524AE5"/>
    <w:rsid w:val="00525521"/>
    <w:rsid w:val="00526B77"/>
    <w:rsid w:val="00530718"/>
    <w:rsid w:val="00530E44"/>
    <w:rsid w:val="00532A9D"/>
    <w:rsid w:val="005350C6"/>
    <w:rsid w:val="00535457"/>
    <w:rsid w:val="00536F66"/>
    <w:rsid w:val="0054183A"/>
    <w:rsid w:val="005433B3"/>
    <w:rsid w:val="00543A43"/>
    <w:rsid w:val="00546AC4"/>
    <w:rsid w:val="005504CF"/>
    <w:rsid w:val="005514F7"/>
    <w:rsid w:val="00552E1B"/>
    <w:rsid w:val="005534E8"/>
    <w:rsid w:val="005542F0"/>
    <w:rsid w:val="00554488"/>
    <w:rsid w:val="00554B05"/>
    <w:rsid w:val="0056031B"/>
    <w:rsid w:val="005604E5"/>
    <w:rsid w:val="005606B7"/>
    <w:rsid w:val="00560F4A"/>
    <w:rsid w:val="0056205D"/>
    <w:rsid w:val="005624D3"/>
    <w:rsid w:val="00565894"/>
    <w:rsid w:val="00567904"/>
    <w:rsid w:val="00570473"/>
    <w:rsid w:val="005710C6"/>
    <w:rsid w:val="00571832"/>
    <w:rsid w:val="00572AE4"/>
    <w:rsid w:val="0057306C"/>
    <w:rsid w:val="0057536A"/>
    <w:rsid w:val="00577448"/>
    <w:rsid w:val="00577A73"/>
    <w:rsid w:val="00580C7E"/>
    <w:rsid w:val="00581E4C"/>
    <w:rsid w:val="005844E7"/>
    <w:rsid w:val="005845C0"/>
    <w:rsid w:val="0058504A"/>
    <w:rsid w:val="005859DB"/>
    <w:rsid w:val="0059249E"/>
    <w:rsid w:val="00593333"/>
    <w:rsid w:val="00597BAA"/>
    <w:rsid w:val="005A1683"/>
    <w:rsid w:val="005A3B7D"/>
    <w:rsid w:val="005A454C"/>
    <w:rsid w:val="005A5845"/>
    <w:rsid w:val="005A5EB7"/>
    <w:rsid w:val="005A5F94"/>
    <w:rsid w:val="005A6DE2"/>
    <w:rsid w:val="005A6F3F"/>
    <w:rsid w:val="005A7573"/>
    <w:rsid w:val="005A7A76"/>
    <w:rsid w:val="005A7C8D"/>
    <w:rsid w:val="005B02ED"/>
    <w:rsid w:val="005B2091"/>
    <w:rsid w:val="005B49F1"/>
    <w:rsid w:val="005B4C40"/>
    <w:rsid w:val="005B5F8B"/>
    <w:rsid w:val="005C0304"/>
    <w:rsid w:val="005C2684"/>
    <w:rsid w:val="005C4511"/>
    <w:rsid w:val="005C4CA1"/>
    <w:rsid w:val="005C6178"/>
    <w:rsid w:val="005D009A"/>
    <w:rsid w:val="005D16A3"/>
    <w:rsid w:val="005D4AB8"/>
    <w:rsid w:val="005D4CE2"/>
    <w:rsid w:val="005D5FB2"/>
    <w:rsid w:val="005D6B17"/>
    <w:rsid w:val="005E2ADF"/>
    <w:rsid w:val="005E58B2"/>
    <w:rsid w:val="005E6E43"/>
    <w:rsid w:val="005F0BF0"/>
    <w:rsid w:val="005F0F71"/>
    <w:rsid w:val="005F117B"/>
    <w:rsid w:val="005F1917"/>
    <w:rsid w:val="005F2574"/>
    <w:rsid w:val="005F268E"/>
    <w:rsid w:val="005F30EB"/>
    <w:rsid w:val="005F3BB7"/>
    <w:rsid w:val="005F3D13"/>
    <w:rsid w:val="005F4019"/>
    <w:rsid w:val="005F4793"/>
    <w:rsid w:val="005F59EB"/>
    <w:rsid w:val="00600A51"/>
    <w:rsid w:val="00600B40"/>
    <w:rsid w:val="006051D9"/>
    <w:rsid w:val="0060549C"/>
    <w:rsid w:val="006058CF"/>
    <w:rsid w:val="00606345"/>
    <w:rsid w:val="006107E1"/>
    <w:rsid w:val="006112C5"/>
    <w:rsid w:val="00615696"/>
    <w:rsid w:val="00615AE0"/>
    <w:rsid w:val="00617866"/>
    <w:rsid w:val="00620483"/>
    <w:rsid w:val="00620B1E"/>
    <w:rsid w:val="006217F1"/>
    <w:rsid w:val="00625236"/>
    <w:rsid w:val="006256BF"/>
    <w:rsid w:val="00627666"/>
    <w:rsid w:val="00627C45"/>
    <w:rsid w:val="006301A9"/>
    <w:rsid w:val="00631064"/>
    <w:rsid w:val="0063122B"/>
    <w:rsid w:val="00631814"/>
    <w:rsid w:val="00631855"/>
    <w:rsid w:val="00631A2F"/>
    <w:rsid w:val="0063208E"/>
    <w:rsid w:val="00632E81"/>
    <w:rsid w:val="00633EB5"/>
    <w:rsid w:val="00634346"/>
    <w:rsid w:val="0063537C"/>
    <w:rsid w:val="00635657"/>
    <w:rsid w:val="00635A4C"/>
    <w:rsid w:val="00640B44"/>
    <w:rsid w:val="006429CE"/>
    <w:rsid w:val="0064523A"/>
    <w:rsid w:val="0065049E"/>
    <w:rsid w:val="00651C7F"/>
    <w:rsid w:val="0065325A"/>
    <w:rsid w:val="00653932"/>
    <w:rsid w:val="00655435"/>
    <w:rsid w:val="006575D9"/>
    <w:rsid w:val="00660667"/>
    <w:rsid w:val="00660D12"/>
    <w:rsid w:val="00661E8B"/>
    <w:rsid w:val="006620F3"/>
    <w:rsid w:val="006622B2"/>
    <w:rsid w:val="00663908"/>
    <w:rsid w:val="00664E51"/>
    <w:rsid w:val="00667141"/>
    <w:rsid w:val="006737ED"/>
    <w:rsid w:val="00673D7C"/>
    <w:rsid w:val="00674DDC"/>
    <w:rsid w:val="00674F2B"/>
    <w:rsid w:val="006768DA"/>
    <w:rsid w:val="00681E73"/>
    <w:rsid w:val="00682041"/>
    <w:rsid w:val="0068212B"/>
    <w:rsid w:val="00682FB6"/>
    <w:rsid w:val="00691891"/>
    <w:rsid w:val="00691F1E"/>
    <w:rsid w:val="006921FD"/>
    <w:rsid w:val="00692A1B"/>
    <w:rsid w:val="00693253"/>
    <w:rsid w:val="0069380F"/>
    <w:rsid w:val="00696698"/>
    <w:rsid w:val="00696B73"/>
    <w:rsid w:val="00697A7E"/>
    <w:rsid w:val="006A0C96"/>
    <w:rsid w:val="006A174D"/>
    <w:rsid w:val="006A1B51"/>
    <w:rsid w:val="006A1D22"/>
    <w:rsid w:val="006A28A0"/>
    <w:rsid w:val="006A3D4D"/>
    <w:rsid w:val="006A6368"/>
    <w:rsid w:val="006A6C77"/>
    <w:rsid w:val="006A6D00"/>
    <w:rsid w:val="006B129B"/>
    <w:rsid w:val="006B1E91"/>
    <w:rsid w:val="006B25FE"/>
    <w:rsid w:val="006B4866"/>
    <w:rsid w:val="006B7701"/>
    <w:rsid w:val="006C1616"/>
    <w:rsid w:val="006C32EB"/>
    <w:rsid w:val="006C387F"/>
    <w:rsid w:val="006C4619"/>
    <w:rsid w:val="006C4990"/>
    <w:rsid w:val="006C70F1"/>
    <w:rsid w:val="006D0E84"/>
    <w:rsid w:val="006D5853"/>
    <w:rsid w:val="006D7A63"/>
    <w:rsid w:val="006E0119"/>
    <w:rsid w:val="006E2659"/>
    <w:rsid w:val="006E3823"/>
    <w:rsid w:val="006E5EC2"/>
    <w:rsid w:val="006E7808"/>
    <w:rsid w:val="006F09AD"/>
    <w:rsid w:val="006F0FC4"/>
    <w:rsid w:val="006F20F6"/>
    <w:rsid w:val="006F23FA"/>
    <w:rsid w:val="006F358E"/>
    <w:rsid w:val="006F4808"/>
    <w:rsid w:val="006F4A03"/>
    <w:rsid w:val="006F4DA1"/>
    <w:rsid w:val="007019E9"/>
    <w:rsid w:val="0070389B"/>
    <w:rsid w:val="007104D3"/>
    <w:rsid w:val="007109F1"/>
    <w:rsid w:val="00711A63"/>
    <w:rsid w:val="00712B10"/>
    <w:rsid w:val="007134C3"/>
    <w:rsid w:val="00720C03"/>
    <w:rsid w:val="00721F98"/>
    <w:rsid w:val="00726503"/>
    <w:rsid w:val="007306E5"/>
    <w:rsid w:val="007309F8"/>
    <w:rsid w:val="00731191"/>
    <w:rsid w:val="00731BC1"/>
    <w:rsid w:val="0073210B"/>
    <w:rsid w:val="00732DC2"/>
    <w:rsid w:val="00736685"/>
    <w:rsid w:val="0074122F"/>
    <w:rsid w:val="00741E82"/>
    <w:rsid w:val="00742D6C"/>
    <w:rsid w:val="007433BE"/>
    <w:rsid w:val="00745C39"/>
    <w:rsid w:val="00746501"/>
    <w:rsid w:val="007469FA"/>
    <w:rsid w:val="00751F6F"/>
    <w:rsid w:val="00753BF6"/>
    <w:rsid w:val="00760B9E"/>
    <w:rsid w:val="00760C0E"/>
    <w:rsid w:val="00761DB8"/>
    <w:rsid w:val="00762779"/>
    <w:rsid w:val="00762923"/>
    <w:rsid w:val="00764A2A"/>
    <w:rsid w:val="00764DB3"/>
    <w:rsid w:val="0076721E"/>
    <w:rsid w:val="0076748A"/>
    <w:rsid w:val="00767FAF"/>
    <w:rsid w:val="0077094A"/>
    <w:rsid w:val="00773509"/>
    <w:rsid w:val="0077612B"/>
    <w:rsid w:val="00777D8F"/>
    <w:rsid w:val="00777E3A"/>
    <w:rsid w:val="007854F8"/>
    <w:rsid w:val="0078685D"/>
    <w:rsid w:val="00790458"/>
    <w:rsid w:val="0079107C"/>
    <w:rsid w:val="00792487"/>
    <w:rsid w:val="00793EF5"/>
    <w:rsid w:val="007945D1"/>
    <w:rsid w:val="007957F4"/>
    <w:rsid w:val="00795B31"/>
    <w:rsid w:val="00795D72"/>
    <w:rsid w:val="007970C0"/>
    <w:rsid w:val="007A45E7"/>
    <w:rsid w:val="007A4BDD"/>
    <w:rsid w:val="007A52E7"/>
    <w:rsid w:val="007A77BA"/>
    <w:rsid w:val="007B0C40"/>
    <w:rsid w:val="007B126A"/>
    <w:rsid w:val="007B2540"/>
    <w:rsid w:val="007B387A"/>
    <w:rsid w:val="007B439D"/>
    <w:rsid w:val="007B6C90"/>
    <w:rsid w:val="007C052E"/>
    <w:rsid w:val="007C0880"/>
    <w:rsid w:val="007C412D"/>
    <w:rsid w:val="007C65FE"/>
    <w:rsid w:val="007C7ED4"/>
    <w:rsid w:val="007D2C9A"/>
    <w:rsid w:val="007D50B7"/>
    <w:rsid w:val="007D74A2"/>
    <w:rsid w:val="007E3084"/>
    <w:rsid w:val="007E3521"/>
    <w:rsid w:val="007E4B5C"/>
    <w:rsid w:val="007F51C6"/>
    <w:rsid w:val="007F7260"/>
    <w:rsid w:val="00803742"/>
    <w:rsid w:val="0080392D"/>
    <w:rsid w:val="00804024"/>
    <w:rsid w:val="008042F7"/>
    <w:rsid w:val="00805C19"/>
    <w:rsid w:val="00811249"/>
    <w:rsid w:val="00811875"/>
    <w:rsid w:val="00814D74"/>
    <w:rsid w:val="00817FC4"/>
    <w:rsid w:val="00821499"/>
    <w:rsid w:val="00827533"/>
    <w:rsid w:val="00827B4A"/>
    <w:rsid w:val="00830F6C"/>
    <w:rsid w:val="00830FE3"/>
    <w:rsid w:val="008314F1"/>
    <w:rsid w:val="00831AAB"/>
    <w:rsid w:val="0083492A"/>
    <w:rsid w:val="00837B4E"/>
    <w:rsid w:val="00841C79"/>
    <w:rsid w:val="0084380D"/>
    <w:rsid w:val="00847BC5"/>
    <w:rsid w:val="00853703"/>
    <w:rsid w:val="00854D0B"/>
    <w:rsid w:val="008565A1"/>
    <w:rsid w:val="00856EB6"/>
    <w:rsid w:val="008575B3"/>
    <w:rsid w:val="00860C7A"/>
    <w:rsid w:val="00862F0E"/>
    <w:rsid w:val="00863506"/>
    <w:rsid w:val="00864A1C"/>
    <w:rsid w:val="00864ED4"/>
    <w:rsid w:val="0086587B"/>
    <w:rsid w:val="0086595E"/>
    <w:rsid w:val="00872681"/>
    <w:rsid w:val="00873184"/>
    <w:rsid w:val="008766FC"/>
    <w:rsid w:val="008804AD"/>
    <w:rsid w:val="00881215"/>
    <w:rsid w:val="00881C12"/>
    <w:rsid w:val="00883540"/>
    <w:rsid w:val="00887345"/>
    <w:rsid w:val="00887563"/>
    <w:rsid w:val="00887827"/>
    <w:rsid w:val="00887A51"/>
    <w:rsid w:val="00890701"/>
    <w:rsid w:val="00891F6C"/>
    <w:rsid w:val="008928D2"/>
    <w:rsid w:val="0089424B"/>
    <w:rsid w:val="00894EEF"/>
    <w:rsid w:val="00895161"/>
    <w:rsid w:val="00896290"/>
    <w:rsid w:val="00897AA5"/>
    <w:rsid w:val="008A0D2B"/>
    <w:rsid w:val="008A1FCE"/>
    <w:rsid w:val="008A41D4"/>
    <w:rsid w:val="008A472E"/>
    <w:rsid w:val="008A5CCF"/>
    <w:rsid w:val="008A70B0"/>
    <w:rsid w:val="008A73BD"/>
    <w:rsid w:val="008A7666"/>
    <w:rsid w:val="008A7A49"/>
    <w:rsid w:val="008B0172"/>
    <w:rsid w:val="008B0C58"/>
    <w:rsid w:val="008B22B6"/>
    <w:rsid w:val="008B4F81"/>
    <w:rsid w:val="008B5459"/>
    <w:rsid w:val="008B5946"/>
    <w:rsid w:val="008C0FBE"/>
    <w:rsid w:val="008C2039"/>
    <w:rsid w:val="008C4571"/>
    <w:rsid w:val="008C5006"/>
    <w:rsid w:val="008C7077"/>
    <w:rsid w:val="008C794B"/>
    <w:rsid w:val="008C7D5D"/>
    <w:rsid w:val="008D1073"/>
    <w:rsid w:val="008D31A8"/>
    <w:rsid w:val="008D3E91"/>
    <w:rsid w:val="008D4053"/>
    <w:rsid w:val="008D5B75"/>
    <w:rsid w:val="008D5C18"/>
    <w:rsid w:val="008E08CB"/>
    <w:rsid w:val="008E1250"/>
    <w:rsid w:val="008E2687"/>
    <w:rsid w:val="008E37DF"/>
    <w:rsid w:val="008E5EF9"/>
    <w:rsid w:val="008E60C8"/>
    <w:rsid w:val="008E6653"/>
    <w:rsid w:val="008E6771"/>
    <w:rsid w:val="008F1708"/>
    <w:rsid w:val="008F173C"/>
    <w:rsid w:val="008F32A4"/>
    <w:rsid w:val="008F3F77"/>
    <w:rsid w:val="009006B2"/>
    <w:rsid w:val="00900C1D"/>
    <w:rsid w:val="00902EBE"/>
    <w:rsid w:val="009030A6"/>
    <w:rsid w:val="00910C6A"/>
    <w:rsid w:val="00913652"/>
    <w:rsid w:val="0091651F"/>
    <w:rsid w:val="00916F4C"/>
    <w:rsid w:val="009205A2"/>
    <w:rsid w:val="0092155E"/>
    <w:rsid w:val="00922631"/>
    <w:rsid w:val="00923F08"/>
    <w:rsid w:val="009262E4"/>
    <w:rsid w:val="00926E32"/>
    <w:rsid w:val="00927E13"/>
    <w:rsid w:val="009305F9"/>
    <w:rsid w:val="00934D05"/>
    <w:rsid w:val="00934E15"/>
    <w:rsid w:val="00935DBC"/>
    <w:rsid w:val="009362A4"/>
    <w:rsid w:val="0094208C"/>
    <w:rsid w:val="0094291E"/>
    <w:rsid w:val="00943A7E"/>
    <w:rsid w:val="009448AB"/>
    <w:rsid w:val="00947A5E"/>
    <w:rsid w:val="009504AF"/>
    <w:rsid w:val="00950A03"/>
    <w:rsid w:val="00950DB5"/>
    <w:rsid w:val="009512E4"/>
    <w:rsid w:val="00951C3E"/>
    <w:rsid w:val="00955509"/>
    <w:rsid w:val="009607C1"/>
    <w:rsid w:val="00960B69"/>
    <w:rsid w:val="009613E1"/>
    <w:rsid w:val="009618A9"/>
    <w:rsid w:val="00963C4E"/>
    <w:rsid w:val="00966406"/>
    <w:rsid w:val="00967ECF"/>
    <w:rsid w:val="00970EE9"/>
    <w:rsid w:val="00972324"/>
    <w:rsid w:val="00972EFB"/>
    <w:rsid w:val="009738BC"/>
    <w:rsid w:val="00973B88"/>
    <w:rsid w:val="00975CAE"/>
    <w:rsid w:val="00976E66"/>
    <w:rsid w:val="00980C00"/>
    <w:rsid w:val="009811D6"/>
    <w:rsid w:val="009812B6"/>
    <w:rsid w:val="00984E59"/>
    <w:rsid w:val="009855B9"/>
    <w:rsid w:val="00985ECC"/>
    <w:rsid w:val="00987491"/>
    <w:rsid w:val="009908F8"/>
    <w:rsid w:val="00991D4B"/>
    <w:rsid w:val="00993514"/>
    <w:rsid w:val="009946AC"/>
    <w:rsid w:val="00995CFD"/>
    <w:rsid w:val="00996FC0"/>
    <w:rsid w:val="00997981"/>
    <w:rsid w:val="009A05D0"/>
    <w:rsid w:val="009A1132"/>
    <w:rsid w:val="009A155B"/>
    <w:rsid w:val="009A1E54"/>
    <w:rsid w:val="009A3126"/>
    <w:rsid w:val="009A449C"/>
    <w:rsid w:val="009A7C31"/>
    <w:rsid w:val="009B0138"/>
    <w:rsid w:val="009B0BBC"/>
    <w:rsid w:val="009B2358"/>
    <w:rsid w:val="009B2707"/>
    <w:rsid w:val="009B2B18"/>
    <w:rsid w:val="009B3253"/>
    <w:rsid w:val="009B3576"/>
    <w:rsid w:val="009B44C5"/>
    <w:rsid w:val="009B5DC3"/>
    <w:rsid w:val="009B60E7"/>
    <w:rsid w:val="009B6BC7"/>
    <w:rsid w:val="009B7CDE"/>
    <w:rsid w:val="009C0CF4"/>
    <w:rsid w:val="009C3D7D"/>
    <w:rsid w:val="009C5249"/>
    <w:rsid w:val="009D298C"/>
    <w:rsid w:val="009D439C"/>
    <w:rsid w:val="009D667D"/>
    <w:rsid w:val="009D6D54"/>
    <w:rsid w:val="009E3DC7"/>
    <w:rsid w:val="009E41E1"/>
    <w:rsid w:val="009E52EB"/>
    <w:rsid w:val="009E60DA"/>
    <w:rsid w:val="009F0027"/>
    <w:rsid w:val="009F0254"/>
    <w:rsid w:val="009F2825"/>
    <w:rsid w:val="009F37D2"/>
    <w:rsid w:val="009F4590"/>
    <w:rsid w:val="00A01871"/>
    <w:rsid w:val="00A0500A"/>
    <w:rsid w:val="00A06658"/>
    <w:rsid w:val="00A108DD"/>
    <w:rsid w:val="00A11AB9"/>
    <w:rsid w:val="00A12717"/>
    <w:rsid w:val="00A12F69"/>
    <w:rsid w:val="00A16E42"/>
    <w:rsid w:val="00A172EA"/>
    <w:rsid w:val="00A22BFA"/>
    <w:rsid w:val="00A26594"/>
    <w:rsid w:val="00A27173"/>
    <w:rsid w:val="00A271C0"/>
    <w:rsid w:val="00A275A8"/>
    <w:rsid w:val="00A32601"/>
    <w:rsid w:val="00A32B69"/>
    <w:rsid w:val="00A331D4"/>
    <w:rsid w:val="00A33F0C"/>
    <w:rsid w:val="00A40571"/>
    <w:rsid w:val="00A40FA3"/>
    <w:rsid w:val="00A43797"/>
    <w:rsid w:val="00A45B5C"/>
    <w:rsid w:val="00A460CB"/>
    <w:rsid w:val="00A46699"/>
    <w:rsid w:val="00A46CF1"/>
    <w:rsid w:val="00A533B8"/>
    <w:rsid w:val="00A5382F"/>
    <w:rsid w:val="00A602EF"/>
    <w:rsid w:val="00A6131B"/>
    <w:rsid w:val="00A6135A"/>
    <w:rsid w:val="00A61993"/>
    <w:rsid w:val="00A623BA"/>
    <w:rsid w:val="00A63B6D"/>
    <w:rsid w:val="00A72007"/>
    <w:rsid w:val="00A75CA5"/>
    <w:rsid w:val="00A80514"/>
    <w:rsid w:val="00A82AB9"/>
    <w:rsid w:val="00A84C49"/>
    <w:rsid w:val="00A86280"/>
    <w:rsid w:val="00A8667E"/>
    <w:rsid w:val="00A91D3C"/>
    <w:rsid w:val="00A91DC7"/>
    <w:rsid w:val="00A91E79"/>
    <w:rsid w:val="00A930EC"/>
    <w:rsid w:val="00A94539"/>
    <w:rsid w:val="00A94582"/>
    <w:rsid w:val="00A96104"/>
    <w:rsid w:val="00A96F85"/>
    <w:rsid w:val="00AA04C3"/>
    <w:rsid w:val="00AA0C06"/>
    <w:rsid w:val="00AA111C"/>
    <w:rsid w:val="00AA31D8"/>
    <w:rsid w:val="00AA65C7"/>
    <w:rsid w:val="00AB10CA"/>
    <w:rsid w:val="00AB13D0"/>
    <w:rsid w:val="00AB2C79"/>
    <w:rsid w:val="00AB31CE"/>
    <w:rsid w:val="00AB3278"/>
    <w:rsid w:val="00AB4974"/>
    <w:rsid w:val="00AB4F1A"/>
    <w:rsid w:val="00AB5B2D"/>
    <w:rsid w:val="00AC05B3"/>
    <w:rsid w:val="00AC0D9F"/>
    <w:rsid w:val="00AC348F"/>
    <w:rsid w:val="00AC6230"/>
    <w:rsid w:val="00AC6B05"/>
    <w:rsid w:val="00AD1098"/>
    <w:rsid w:val="00AD23A6"/>
    <w:rsid w:val="00AD2906"/>
    <w:rsid w:val="00AD5885"/>
    <w:rsid w:val="00AD66C8"/>
    <w:rsid w:val="00AD69FA"/>
    <w:rsid w:val="00AD7187"/>
    <w:rsid w:val="00AE0955"/>
    <w:rsid w:val="00AE52B5"/>
    <w:rsid w:val="00AF3F74"/>
    <w:rsid w:val="00AF4B1C"/>
    <w:rsid w:val="00AF6A47"/>
    <w:rsid w:val="00B00CB4"/>
    <w:rsid w:val="00B00DEF"/>
    <w:rsid w:val="00B024D4"/>
    <w:rsid w:val="00B07B6D"/>
    <w:rsid w:val="00B1126F"/>
    <w:rsid w:val="00B167D4"/>
    <w:rsid w:val="00B20725"/>
    <w:rsid w:val="00B24511"/>
    <w:rsid w:val="00B2471A"/>
    <w:rsid w:val="00B24CDB"/>
    <w:rsid w:val="00B31CDC"/>
    <w:rsid w:val="00B32B3B"/>
    <w:rsid w:val="00B34255"/>
    <w:rsid w:val="00B35545"/>
    <w:rsid w:val="00B40A2D"/>
    <w:rsid w:val="00B43705"/>
    <w:rsid w:val="00B4586D"/>
    <w:rsid w:val="00B52640"/>
    <w:rsid w:val="00B52DA0"/>
    <w:rsid w:val="00B53076"/>
    <w:rsid w:val="00B5322E"/>
    <w:rsid w:val="00B54F4F"/>
    <w:rsid w:val="00B556A9"/>
    <w:rsid w:val="00B55C30"/>
    <w:rsid w:val="00B56651"/>
    <w:rsid w:val="00B63461"/>
    <w:rsid w:val="00B63A51"/>
    <w:rsid w:val="00B63EEF"/>
    <w:rsid w:val="00B65D5C"/>
    <w:rsid w:val="00B671BC"/>
    <w:rsid w:val="00B71CB9"/>
    <w:rsid w:val="00B73553"/>
    <w:rsid w:val="00B748F1"/>
    <w:rsid w:val="00B761A3"/>
    <w:rsid w:val="00B774D4"/>
    <w:rsid w:val="00B77B75"/>
    <w:rsid w:val="00B82594"/>
    <w:rsid w:val="00B84ABF"/>
    <w:rsid w:val="00B856B6"/>
    <w:rsid w:val="00B87A55"/>
    <w:rsid w:val="00B91DF6"/>
    <w:rsid w:val="00B93531"/>
    <w:rsid w:val="00B9426C"/>
    <w:rsid w:val="00B947EC"/>
    <w:rsid w:val="00B954F6"/>
    <w:rsid w:val="00B965F5"/>
    <w:rsid w:val="00B97A90"/>
    <w:rsid w:val="00B97C03"/>
    <w:rsid w:val="00B97F2B"/>
    <w:rsid w:val="00BA0C6C"/>
    <w:rsid w:val="00BA2E47"/>
    <w:rsid w:val="00BA2F6E"/>
    <w:rsid w:val="00BA307B"/>
    <w:rsid w:val="00BA3FBC"/>
    <w:rsid w:val="00BA4E30"/>
    <w:rsid w:val="00BA582A"/>
    <w:rsid w:val="00BA5B60"/>
    <w:rsid w:val="00BA6402"/>
    <w:rsid w:val="00BB1130"/>
    <w:rsid w:val="00BB1628"/>
    <w:rsid w:val="00BB22F6"/>
    <w:rsid w:val="00BB68DF"/>
    <w:rsid w:val="00BB75DC"/>
    <w:rsid w:val="00BC0E67"/>
    <w:rsid w:val="00BC4B3B"/>
    <w:rsid w:val="00BC74A4"/>
    <w:rsid w:val="00BD0C6C"/>
    <w:rsid w:val="00BD2218"/>
    <w:rsid w:val="00BD23E7"/>
    <w:rsid w:val="00BD3AA4"/>
    <w:rsid w:val="00BD3EFC"/>
    <w:rsid w:val="00BD53A6"/>
    <w:rsid w:val="00BD5B1E"/>
    <w:rsid w:val="00BD6616"/>
    <w:rsid w:val="00BD69E2"/>
    <w:rsid w:val="00BD706E"/>
    <w:rsid w:val="00BE356E"/>
    <w:rsid w:val="00BE47D0"/>
    <w:rsid w:val="00BE4E26"/>
    <w:rsid w:val="00BE5833"/>
    <w:rsid w:val="00BF0178"/>
    <w:rsid w:val="00BF0CD3"/>
    <w:rsid w:val="00BF35A4"/>
    <w:rsid w:val="00BF3F52"/>
    <w:rsid w:val="00BF4C0F"/>
    <w:rsid w:val="00BF5A5D"/>
    <w:rsid w:val="00BF7E24"/>
    <w:rsid w:val="00C0071D"/>
    <w:rsid w:val="00C007E0"/>
    <w:rsid w:val="00C00BB8"/>
    <w:rsid w:val="00C0135B"/>
    <w:rsid w:val="00C01D8A"/>
    <w:rsid w:val="00C033EA"/>
    <w:rsid w:val="00C03865"/>
    <w:rsid w:val="00C03A1D"/>
    <w:rsid w:val="00C0404F"/>
    <w:rsid w:val="00C07247"/>
    <w:rsid w:val="00C07CFF"/>
    <w:rsid w:val="00C11DD4"/>
    <w:rsid w:val="00C11E15"/>
    <w:rsid w:val="00C11F73"/>
    <w:rsid w:val="00C14E94"/>
    <w:rsid w:val="00C166B8"/>
    <w:rsid w:val="00C23954"/>
    <w:rsid w:val="00C2422A"/>
    <w:rsid w:val="00C24291"/>
    <w:rsid w:val="00C2479E"/>
    <w:rsid w:val="00C272BA"/>
    <w:rsid w:val="00C272C5"/>
    <w:rsid w:val="00C3070D"/>
    <w:rsid w:val="00C31391"/>
    <w:rsid w:val="00C31CB6"/>
    <w:rsid w:val="00C31E9F"/>
    <w:rsid w:val="00C352EB"/>
    <w:rsid w:val="00C362A1"/>
    <w:rsid w:val="00C36AD1"/>
    <w:rsid w:val="00C37F16"/>
    <w:rsid w:val="00C41181"/>
    <w:rsid w:val="00C41ADD"/>
    <w:rsid w:val="00C45695"/>
    <w:rsid w:val="00C500FC"/>
    <w:rsid w:val="00C5173B"/>
    <w:rsid w:val="00C51EFB"/>
    <w:rsid w:val="00C52F54"/>
    <w:rsid w:val="00C52F73"/>
    <w:rsid w:val="00C54BDB"/>
    <w:rsid w:val="00C558EC"/>
    <w:rsid w:val="00C6021C"/>
    <w:rsid w:val="00C61336"/>
    <w:rsid w:val="00C63857"/>
    <w:rsid w:val="00C65774"/>
    <w:rsid w:val="00C67EE8"/>
    <w:rsid w:val="00C72DE1"/>
    <w:rsid w:val="00C73338"/>
    <w:rsid w:val="00C74BE0"/>
    <w:rsid w:val="00C7502F"/>
    <w:rsid w:val="00C7516A"/>
    <w:rsid w:val="00C75CFE"/>
    <w:rsid w:val="00C80F67"/>
    <w:rsid w:val="00C8169F"/>
    <w:rsid w:val="00C81911"/>
    <w:rsid w:val="00C83C76"/>
    <w:rsid w:val="00C85104"/>
    <w:rsid w:val="00C85F99"/>
    <w:rsid w:val="00C8783C"/>
    <w:rsid w:val="00C92E98"/>
    <w:rsid w:val="00C94264"/>
    <w:rsid w:val="00C94497"/>
    <w:rsid w:val="00C94CA4"/>
    <w:rsid w:val="00C959EA"/>
    <w:rsid w:val="00C97C4D"/>
    <w:rsid w:val="00CA1BBD"/>
    <w:rsid w:val="00CA2A5B"/>
    <w:rsid w:val="00CA2F30"/>
    <w:rsid w:val="00CA31CE"/>
    <w:rsid w:val="00CA341E"/>
    <w:rsid w:val="00CA3A6F"/>
    <w:rsid w:val="00CA3B17"/>
    <w:rsid w:val="00CA63E8"/>
    <w:rsid w:val="00CB0858"/>
    <w:rsid w:val="00CB1074"/>
    <w:rsid w:val="00CB14AB"/>
    <w:rsid w:val="00CB17AA"/>
    <w:rsid w:val="00CB1A77"/>
    <w:rsid w:val="00CB1CAB"/>
    <w:rsid w:val="00CB475A"/>
    <w:rsid w:val="00CC1033"/>
    <w:rsid w:val="00CC31F6"/>
    <w:rsid w:val="00CC4207"/>
    <w:rsid w:val="00CC5523"/>
    <w:rsid w:val="00CC5ED8"/>
    <w:rsid w:val="00CC6E00"/>
    <w:rsid w:val="00CC6EAB"/>
    <w:rsid w:val="00CC7BD5"/>
    <w:rsid w:val="00CD12B0"/>
    <w:rsid w:val="00CD1D2F"/>
    <w:rsid w:val="00CD281E"/>
    <w:rsid w:val="00CD45A6"/>
    <w:rsid w:val="00CD6009"/>
    <w:rsid w:val="00CD6461"/>
    <w:rsid w:val="00CD657B"/>
    <w:rsid w:val="00CD65B4"/>
    <w:rsid w:val="00CD6EB9"/>
    <w:rsid w:val="00CE0BAC"/>
    <w:rsid w:val="00CE0E0E"/>
    <w:rsid w:val="00CE5561"/>
    <w:rsid w:val="00CE60C9"/>
    <w:rsid w:val="00CF6D47"/>
    <w:rsid w:val="00D0272C"/>
    <w:rsid w:val="00D03FA4"/>
    <w:rsid w:val="00D05C41"/>
    <w:rsid w:val="00D07C55"/>
    <w:rsid w:val="00D114E3"/>
    <w:rsid w:val="00D12E82"/>
    <w:rsid w:val="00D156F2"/>
    <w:rsid w:val="00D16B3C"/>
    <w:rsid w:val="00D201EC"/>
    <w:rsid w:val="00D209D6"/>
    <w:rsid w:val="00D20D4D"/>
    <w:rsid w:val="00D20DFE"/>
    <w:rsid w:val="00D224D0"/>
    <w:rsid w:val="00D23070"/>
    <w:rsid w:val="00D23609"/>
    <w:rsid w:val="00D23C21"/>
    <w:rsid w:val="00D2478B"/>
    <w:rsid w:val="00D31B04"/>
    <w:rsid w:val="00D335FB"/>
    <w:rsid w:val="00D34650"/>
    <w:rsid w:val="00D378FF"/>
    <w:rsid w:val="00D40FF4"/>
    <w:rsid w:val="00D4122F"/>
    <w:rsid w:val="00D51146"/>
    <w:rsid w:val="00D51E13"/>
    <w:rsid w:val="00D51F1A"/>
    <w:rsid w:val="00D540B2"/>
    <w:rsid w:val="00D544C0"/>
    <w:rsid w:val="00D5599F"/>
    <w:rsid w:val="00D55ABF"/>
    <w:rsid w:val="00D605C2"/>
    <w:rsid w:val="00D60B5F"/>
    <w:rsid w:val="00D61846"/>
    <w:rsid w:val="00D62035"/>
    <w:rsid w:val="00D62E1D"/>
    <w:rsid w:val="00D6337F"/>
    <w:rsid w:val="00D63AAA"/>
    <w:rsid w:val="00D63E9E"/>
    <w:rsid w:val="00D64583"/>
    <w:rsid w:val="00D64C94"/>
    <w:rsid w:val="00D67090"/>
    <w:rsid w:val="00D71454"/>
    <w:rsid w:val="00D71E7E"/>
    <w:rsid w:val="00D7281B"/>
    <w:rsid w:val="00D72F51"/>
    <w:rsid w:val="00D74BF9"/>
    <w:rsid w:val="00D755E9"/>
    <w:rsid w:val="00D806AF"/>
    <w:rsid w:val="00D81FED"/>
    <w:rsid w:val="00D8236E"/>
    <w:rsid w:val="00D841F3"/>
    <w:rsid w:val="00D84B27"/>
    <w:rsid w:val="00D84FFA"/>
    <w:rsid w:val="00D8507D"/>
    <w:rsid w:val="00D8545E"/>
    <w:rsid w:val="00D907D4"/>
    <w:rsid w:val="00D90A5F"/>
    <w:rsid w:val="00D9308F"/>
    <w:rsid w:val="00D93B1C"/>
    <w:rsid w:val="00D93D61"/>
    <w:rsid w:val="00D9401A"/>
    <w:rsid w:val="00D94474"/>
    <w:rsid w:val="00D949AB"/>
    <w:rsid w:val="00D95823"/>
    <w:rsid w:val="00D95B8E"/>
    <w:rsid w:val="00D97020"/>
    <w:rsid w:val="00D97A58"/>
    <w:rsid w:val="00DA1474"/>
    <w:rsid w:val="00DA38ED"/>
    <w:rsid w:val="00DA56B1"/>
    <w:rsid w:val="00DA72D2"/>
    <w:rsid w:val="00DA73BA"/>
    <w:rsid w:val="00DA7C3D"/>
    <w:rsid w:val="00DB0BA1"/>
    <w:rsid w:val="00DB129A"/>
    <w:rsid w:val="00DB3622"/>
    <w:rsid w:val="00DB568B"/>
    <w:rsid w:val="00DB7437"/>
    <w:rsid w:val="00DC0523"/>
    <w:rsid w:val="00DC19A7"/>
    <w:rsid w:val="00DC203F"/>
    <w:rsid w:val="00DC3897"/>
    <w:rsid w:val="00DC38EC"/>
    <w:rsid w:val="00DC58BD"/>
    <w:rsid w:val="00DC5B12"/>
    <w:rsid w:val="00DC7E74"/>
    <w:rsid w:val="00DD066C"/>
    <w:rsid w:val="00DD128C"/>
    <w:rsid w:val="00DD2897"/>
    <w:rsid w:val="00DD45CF"/>
    <w:rsid w:val="00DE5C4D"/>
    <w:rsid w:val="00DE6925"/>
    <w:rsid w:val="00DE6A54"/>
    <w:rsid w:val="00DE7D1B"/>
    <w:rsid w:val="00DF3AFF"/>
    <w:rsid w:val="00DF413C"/>
    <w:rsid w:val="00E01190"/>
    <w:rsid w:val="00E01567"/>
    <w:rsid w:val="00E01F1F"/>
    <w:rsid w:val="00E03055"/>
    <w:rsid w:val="00E05DA0"/>
    <w:rsid w:val="00E05E2F"/>
    <w:rsid w:val="00E109C0"/>
    <w:rsid w:val="00E11A29"/>
    <w:rsid w:val="00E11DD9"/>
    <w:rsid w:val="00E137C6"/>
    <w:rsid w:val="00E13FA9"/>
    <w:rsid w:val="00E14567"/>
    <w:rsid w:val="00E14917"/>
    <w:rsid w:val="00E158F5"/>
    <w:rsid w:val="00E16642"/>
    <w:rsid w:val="00E169D6"/>
    <w:rsid w:val="00E20A7C"/>
    <w:rsid w:val="00E21A27"/>
    <w:rsid w:val="00E25835"/>
    <w:rsid w:val="00E25F43"/>
    <w:rsid w:val="00E31DE5"/>
    <w:rsid w:val="00E347EC"/>
    <w:rsid w:val="00E34B6E"/>
    <w:rsid w:val="00E36B15"/>
    <w:rsid w:val="00E4076F"/>
    <w:rsid w:val="00E421C4"/>
    <w:rsid w:val="00E42441"/>
    <w:rsid w:val="00E425A5"/>
    <w:rsid w:val="00E43551"/>
    <w:rsid w:val="00E44739"/>
    <w:rsid w:val="00E4516F"/>
    <w:rsid w:val="00E46FC4"/>
    <w:rsid w:val="00E508F9"/>
    <w:rsid w:val="00E50D71"/>
    <w:rsid w:val="00E51048"/>
    <w:rsid w:val="00E52E3C"/>
    <w:rsid w:val="00E52F8F"/>
    <w:rsid w:val="00E53781"/>
    <w:rsid w:val="00E54DC9"/>
    <w:rsid w:val="00E60236"/>
    <w:rsid w:val="00E61022"/>
    <w:rsid w:val="00E62D8D"/>
    <w:rsid w:val="00E64747"/>
    <w:rsid w:val="00E706AB"/>
    <w:rsid w:val="00E728A5"/>
    <w:rsid w:val="00E7492F"/>
    <w:rsid w:val="00E7643D"/>
    <w:rsid w:val="00E7736D"/>
    <w:rsid w:val="00E809B5"/>
    <w:rsid w:val="00E81768"/>
    <w:rsid w:val="00E8203E"/>
    <w:rsid w:val="00E83F3B"/>
    <w:rsid w:val="00E8462A"/>
    <w:rsid w:val="00E86C1A"/>
    <w:rsid w:val="00E90E26"/>
    <w:rsid w:val="00E91F2D"/>
    <w:rsid w:val="00E92026"/>
    <w:rsid w:val="00E9279E"/>
    <w:rsid w:val="00E93990"/>
    <w:rsid w:val="00E95A16"/>
    <w:rsid w:val="00EA1F43"/>
    <w:rsid w:val="00EA2833"/>
    <w:rsid w:val="00EA4187"/>
    <w:rsid w:val="00EA5F1A"/>
    <w:rsid w:val="00EA79D9"/>
    <w:rsid w:val="00EA79DB"/>
    <w:rsid w:val="00EB3050"/>
    <w:rsid w:val="00EB4229"/>
    <w:rsid w:val="00EB7FA1"/>
    <w:rsid w:val="00EC067E"/>
    <w:rsid w:val="00EC2A12"/>
    <w:rsid w:val="00EC374F"/>
    <w:rsid w:val="00EC3A44"/>
    <w:rsid w:val="00EC5774"/>
    <w:rsid w:val="00EC7DE0"/>
    <w:rsid w:val="00ED004D"/>
    <w:rsid w:val="00ED1ACF"/>
    <w:rsid w:val="00ED2F1C"/>
    <w:rsid w:val="00ED32FF"/>
    <w:rsid w:val="00ED39FE"/>
    <w:rsid w:val="00ED76FE"/>
    <w:rsid w:val="00ED7779"/>
    <w:rsid w:val="00ED7BEB"/>
    <w:rsid w:val="00EE2720"/>
    <w:rsid w:val="00EE2EB7"/>
    <w:rsid w:val="00EE4966"/>
    <w:rsid w:val="00EE4BB7"/>
    <w:rsid w:val="00EE4E00"/>
    <w:rsid w:val="00EE4F2F"/>
    <w:rsid w:val="00EE715F"/>
    <w:rsid w:val="00EF02A8"/>
    <w:rsid w:val="00EF0A30"/>
    <w:rsid w:val="00EF1A10"/>
    <w:rsid w:val="00EF5C7E"/>
    <w:rsid w:val="00EF7511"/>
    <w:rsid w:val="00F02EC0"/>
    <w:rsid w:val="00F04C0C"/>
    <w:rsid w:val="00F05B70"/>
    <w:rsid w:val="00F074A9"/>
    <w:rsid w:val="00F10836"/>
    <w:rsid w:val="00F113CD"/>
    <w:rsid w:val="00F1220F"/>
    <w:rsid w:val="00F12BCA"/>
    <w:rsid w:val="00F149E3"/>
    <w:rsid w:val="00F1502D"/>
    <w:rsid w:val="00F156E1"/>
    <w:rsid w:val="00F1685F"/>
    <w:rsid w:val="00F16CD1"/>
    <w:rsid w:val="00F178FB"/>
    <w:rsid w:val="00F23871"/>
    <w:rsid w:val="00F242AC"/>
    <w:rsid w:val="00F2560D"/>
    <w:rsid w:val="00F26559"/>
    <w:rsid w:val="00F2666F"/>
    <w:rsid w:val="00F36397"/>
    <w:rsid w:val="00F44D13"/>
    <w:rsid w:val="00F4748C"/>
    <w:rsid w:val="00F47FF5"/>
    <w:rsid w:val="00F510F1"/>
    <w:rsid w:val="00F52381"/>
    <w:rsid w:val="00F529FD"/>
    <w:rsid w:val="00F5606D"/>
    <w:rsid w:val="00F57634"/>
    <w:rsid w:val="00F60878"/>
    <w:rsid w:val="00F60C7B"/>
    <w:rsid w:val="00F625E2"/>
    <w:rsid w:val="00F62EA7"/>
    <w:rsid w:val="00F63136"/>
    <w:rsid w:val="00F6430E"/>
    <w:rsid w:val="00F65036"/>
    <w:rsid w:val="00F656B0"/>
    <w:rsid w:val="00F674A4"/>
    <w:rsid w:val="00F70E27"/>
    <w:rsid w:val="00F72A1F"/>
    <w:rsid w:val="00F7311F"/>
    <w:rsid w:val="00F73437"/>
    <w:rsid w:val="00F75C75"/>
    <w:rsid w:val="00F75F9E"/>
    <w:rsid w:val="00F76E0C"/>
    <w:rsid w:val="00F80AA8"/>
    <w:rsid w:val="00F83A5F"/>
    <w:rsid w:val="00F909AC"/>
    <w:rsid w:val="00F92386"/>
    <w:rsid w:val="00F93579"/>
    <w:rsid w:val="00F93C66"/>
    <w:rsid w:val="00F942D6"/>
    <w:rsid w:val="00FA0734"/>
    <w:rsid w:val="00FA20B7"/>
    <w:rsid w:val="00FA3A37"/>
    <w:rsid w:val="00FA686B"/>
    <w:rsid w:val="00FA6D08"/>
    <w:rsid w:val="00FA6EE8"/>
    <w:rsid w:val="00FB0CC5"/>
    <w:rsid w:val="00FB0E38"/>
    <w:rsid w:val="00FB20C9"/>
    <w:rsid w:val="00FB2B0E"/>
    <w:rsid w:val="00FB428D"/>
    <w:rsid w:val="00FB6A20"/>
    <w:rsid w:val="00FB6C5E"/>
    <w:rsid w:val="00FB6F3D"/>
    <w:rsid w:val="00FC017A"/>
    <w:rsid w:val="00FC033C"/>
    <w:rsid w:val="00FC1B1B"/>
    <w:rsid w:val="00FC23A2"/>
    <w:rsid w:val="00FC3726"/>
    <w:rsid w:val="00FC3E6F"/>
    <w:rsid w:val="00FC5137"/>
    <w:rsid w:val="00FC55C3"/>
    <w:rsid w:val="00FC5FE8"/>
    <w:rsid w:val="00FD2BDA"/>
    <w:rsid w:val="00FD640C"/>
    <w:rsid w:val="00FE10A3"/>
    <w:rsid w:val="00FE2BA3"/>
    <w:rsid w:val="00FE504F"/>
    <w:rsid w:val="00FE5C56"/>
    <w:rsid w:val="00FE6E41"/>
    <w:rsid w:val="00FE70A7"/>
    <w:rsid w:val="00FF2053"/>
    <w:rsid w:val="00FF31A4"/>
    <w:rsid w:val="00FF429E"/>
    <w:rsid w:val="00FF58B3"/>
    <w:rsid w:val="00FF5DF8"/>
    <w:rsid w:val="00FF6BC9"/>
    <w:rsid w:val="00FF7389"/>
    <w:rsid w:val="06A7350C"/>
    <w:rsid w:val="0C1DDD85"/>
    <w:rsid w:val="0DB762DF"/>
    <w:rsid w:val="0F6F4C5C"/>
    <w:rsid w:val="1080F9CD"/>
    <w:rsid w:val="1381B0EC"/>
    <w:rsid w:val="16325AF3"/>
    <w:rsid w:val="1CA4BAEC"/>
    <w:rsid w:val="25CE35A8"/>
    <w:rsid w:val="27165305"/>
    <w:rsid w:val="2ED35F24"/>
    <w:rsid w:val="2F43630F"/>
    <w:rsid w:val="350DAD07"/>
    <w:rsid w:val="357E261B"/>
    <w:rsid w:val="35A62645"/>
    <w:rsid w:val="3B20D4DA"/>
    <w:rsid w:val="46D2A513"/>
    <w:rsid w:val="4CCE2ECC"/>
    <w:rsid w:val="5021F116"/>
    <w:rsid w:val="5197614D"/>
    <w:rsid w:val="54E03554"/>
    <w:rsid w:val="5CDDCB24"/>
    <w:rsid w:val="62C202B9"/>
    <w:rsid w:val="663AF7A5"/>
    <w:rsid w:val="6B148DD6"/>
    <w:rsid w:val="6E540CF2"/>
    <w:rsid w:val="7EDE9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12D9D"/>
  <w15:docId w15:val="{DE870980-FDF5-40DF-96DB-C81DBFD5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kern w:val="2"/>
        <w:lang w:val="en-NZ" w:eastAsia="en-NZ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uiPriority="99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/>
    <w:lsdException w:name="TOC Heading" w:uiPriority="39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rsid w:val="0076748A"/>
    <w:rPr>
      <w:rFonts w:ascii="Calibri" w:hAnsi="Calibri"/>
      <w:sz w:val="24"/>
      <w:lang w:eastAsia="en-GB"/>
    </w:rPr>
  </w:style>
  <w:style w:type="paragraph" w:styleId="Heading1">
    <w:name w:val="heading 1"/>
    <w:basedOn w:val="Normal"/>
    <w:next w:val="BodyText"/>
    <w:qFormat/>
    <w:rsid w:val="001D7657"/>
    <w:pPr>
      <w:keepNext/>
      <w:spacing w:after="120"/>
      <w:outlineLvl w:val="0"/>
    </w:pPr>
    <w:rPr>
      <w:b/>
      <w:sz w:val="28"/>
    </w:rPr>
  </w:style>
  <w:style w:type="paragraph" w:styleId="Heading2">
    <w:name w:val="heading 2"/>
    <w:basedOn w:val="Normal"/>
    <w:next w:val="BodyText"/>
    <w:qFormat/>
    <w:rsid w:val="001D7657"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1D7657"/>
    <w:pPr>
      <w:keepNext/>
      <w:spacing w:after="120"/>
      <w:outlineLvl w:val="2"/>
    </w:pPr>
    <w:rPr>
      <w:i/>
    </w:rPr>
  </w:style>
  <w:style w:type="paragraph" w:styleId="Heading4">
    <w:name w:val="heading 4"/>
    <w:basedOn w:val="Normal"/>
    <w:semiHidden/>
    <w:qFormat/>
    <w:rsid w:val="001D7657"/>
    <w:pPr>
      <w:outlineLvl w:val="3"/>
    </w:pPr>
  </w:style>
  <w:style w:type="paragraph" w:styleId="Heading5">
    <w:name w:val="heading 5"/>
    <w:basedOn w:val="Normal"/>
    <w:semiHidden/>
    <w:qFormat/>
    <w:rsid w:val="001D7657"/>
    <w:pPr>
      <w:outlineLvl w:val="4"/>
    </w:pPr>
  </w:style>
  <w:style w:type="paragraph" w:styleId="Heading6">
    <w:name w:val="heading 6"/>
    <w:basedOn w:val="Normal"/>
    <w:semiHidden/>
    <w:qFormat/>
    <w:rsid w:val="001D7657"/>
    <w:pPr>
      <w:outlineLvl w:val="5"/>
    </w:pPr>
  </w:style>
  <w:style w:type="paragraph" w:styleId="Heading7">
    <w:name w:val="heading 7"/>
    <w:basedOn w:val="Normal"/>
    <w:next w:val="Normal"/>
    <w:semiHidden/>
    <w:qFormat/>
    <w:rsid w:val="001D7657"/>
    <w:pPr>
      <w:outlineLvl w:val="6"/>
    </w:pPr>
  </w:style>
  <w:style w:type="paragraph" w:styleId="Heading8">
    <w:name w:val="heading 8"/>
    <w:basedOn w:val="Normal"/>
    <w:next w:val="Normal"/>
    <w:semiHidden/>
    <w:qFormat/>
    <w:rsid w:val="001D7657"/>
    <w:pPr>
      <w:outlineLvl w:val="7"/>
    </w:pPr>
  </w:style>
  <w:style w:type="paragraph" w:styleId="Heading9">
    <w:name w:val="heading 9"/>
    <w:basedOn w:val="Normal"/>
    <w:next w:val="Normal"/>
    <w:semiHidden/>
    <w:qFormat/>
    <w:rsid w:val="001D7657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D7657"/>
    <w:pPr>
      <w:spacing w:after="240" w:line="264" w:lineRule="atLeast"/>
    </w:pPr>
  </w:style>
  <w:style w:type="character" w:styleId="BodyTextChar" w:customStyle="1">
    <w:name w:val="Body Text Char"/>
    <w:basedOn w:val="DefaultParagraphFont"/>
    <w:link w:val="BodyText"/>
    <w:rsid w:val="00FA6D08"/>
    <w:rPr>
      <w:rFonts w:ascii="Calibri" w:hAnsi="Calibri"/>
      <w:sz w:val="24"/>
      <w:lang w:eastAsia="en-GB"/>
    </w:rPr>
  </w:style>
  <w:style w:type="paragraph" w:styleId="Bullet" w:customStyle="1">
    <w:name w:val="Bullet"/>
    <w:basedOn w:val="Normal"/>
    <w:qFormat/>
    <w:rsid w:val="008D31A8"/>
    <w:pPr>
      <w:numPr>
        <w:numId w:val="20"/>
      </w:numPr>
      <w:spacing w:before="120"/>
    </w:pPr>
  </w:style>
  <w:style w:type="numbering" w:styleId="Bulletliststyle" w:customStyle="1">
    <w:name w:val="Bullet list style"/>
    <w:basedOn w:val="NoList"/>
    <w:uiPriority w:val="99"/>
    <w:rsid w:val="008D31A8"/>
    <w:pPr>
      <w:numPr>
        <w:numId w:val="4"/>
      </w:numPr>
    </w:pPr>
  </w:style>
  <w:style w:type="paragraph" w:styleId="Date">
    <w:name w:val="Date"/>
    <w:basedOn w:val="Normal"/>
    <w:next w:val="BodyText"/>
    <w:link w:val="DateChar"/>
    <w:semiHidden/>
    <w:rsid w:val="001D7657"/>
    <w:pPr>
      <w:spacing w:after="454"/>
    </w:pPr>
  </w:style>
  <w:style w:type="character" w:styleId="DateChar" w:customStyle="1">
    <w:name w:val="Date Char"/>
    <w:basedOn w:val="DefaultParagraphFont"/>
    <w:link w:val="Date"/>
    <w:semiHidden/>
    <w:rsid w:val="00A22BFA"/>
    <w:rPr>
      <w:rFonts w:ascii="Calibri" w:hAnsi="Calibri"/>
      <w:sz w:val="24"/>
      <w:lang w:eastAsia="en-GB"/>
    </w:rPr>
  </w:style>
  <w:style w:type="paragraph" w:styleId="EnvelopeAddress">
    <w:name w:val="envelope address"/>
    <w:basedOn w:val="Normal"/>
    <w:semiHidden/>
    <w:rsid w:val="001D7657"/>
    <w:pPr>
      <w:framePr w:w="7920" w:h="1980" w:hSpace="180" w:wrap="auto" w:hAnchor="page" w:xAlign="center" w:yAlign="bottom" w:hRule="exact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1D7657"/>
    <w:rPr>
      <w:rFonts w:cs="Arial"/>
      <w:color w:val="003366"/>
      <w:sz w:val="18"/>
      <w:szCs w:val="18"/>
    </w:rPr>
  </w:style>
  <w:style w:type="paragraph" w:styleId="Footer">
    <w:name w:val="footer"/>
    <w:basedOn w:val="Normal"/>
    <w:link w:val="FooterChar"/>
    <w:semiHidden/>
    <w:rsid w:val="001D7657"/>
    <w:pPr>
      <w:tabs>
        <w:tab w:val="center" w:pos="4536"/>
        <w:tab w:val="right" w:pos="9072"/>
      </w:tabs>
      <w:jc w:val="center"/>
    </w:pPr>
    <w:rPr>
      <w:sz w:val="20"/>
    </w:rPr>
  </w:style>
  <w:style w:type="character" w:styleId="FooterChar" w:customStyle="1">
    <w:name w:val="Footer Char"/>
    <w:basedOn w:val="DefaultParagraphFont"/>
    <w:link w:val="Footer"/>
    <w:semiHidden/>
    <w:rsid w:val="00A22BFA"/>
    <w:rPr>
      <w:rFonts w:ascii="Calibri" w:hAnsi="Calibri"/>
      <w:lang w:eastAsia="en-GB"/>
    </w:rPr>
  </w:style>
  <w:style w:type="paragraph" w:styleId="FootnoteText">
    <w:name w:val="footnote text"/>
    <w:basedOn w:val="Normal"/>
    <w:link w:val="FootnoteTextChar"/>
    <w:semiHidden/>
    <w:rsid w:val="001D7657"/>
    <w:pPr>
      <w:ind w:left="425" w:hanging="425"/>
    </w:pPr>
    <w:rPr>
      <w:sz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1D7657"/>
    <w:rPr>
      <w:rFonts w:ascii="Calibri" w:hAnsi="Calibri"/>
      <w:lang w:eastAsia="en-GB"/>
    </w:rPr>
  </w:style>
  <w:style w:type="paragraph" w:styleId="Header">
    <w:name w:val="header"/>
    <w:basedOn w:val="Normal"/>
    <w:link w:val="HeaderChar"/>
    <w:semiHidden/>
    <w:rsid w:val="001D7657"/>
    <w:pPr>
      <w:tabs>
        <w:tab w:val="center" w:pos="4153"/>
        <w:tab w:val="right" w:pos="8306"/>
      </w:tabs>
      <w:jc w:val="center"/>
    </w:pPr>
  </w:style>
  <w:style w:type="character" w:styleId="HeaderChar" w:customStyle="1">
    <w:name w:val="Header Char"/>
    <w:basedOn w:val="DefaultParagraphFont"/>
    <w:link w:val="Header"/>
    <w:semiHidden/>
    <w:rsid w:val="00A22BFA"/>
    <w:rPr>
      <w:rFonts w:ascii="Calibri" w:hAnsi="Calibri"/>
      <w:sz w:val="24"/>
      <w:lang w:eastAsia="en-GB"/>
    </w:rPr>
  </w:style>
  <w:style w:type="character" w:styleId="Hyperlink">
    <w:name w:val="Hyperlink"/>
    <w:basedOn w:val="DefaultParagraphFont"/>
    <w:semiHidden/>
    <w:rsid w:val="001D7657"/>
    <w:rPr>
      <w:color w:val="0000FF"/>
      <w:u w:val="single"/>
    </w:rPr>
  </w:style>
  <w:style w:type="paragraph" w:styleId="List">
    <w:name w:val="List"/>
    <w:basedOn w:val="BodyText"/>
    <w:semiHidden/>
    <w:rsid w:val="001D7657"/>
    <w:pPr>
      <w:numPr>
        <w:numId w:val="8"/>
      </w:numPr>
    </w:pPr>
  </w:style>
  <w:style w:type="paragraph" w:styleId="ListBullet">
    <w:name w:val="List Bullet"/>
    <w:basedOn w:val="BodyText"/>
    <w:semiHidden/>
    <w:rsid w:val="001D7657"/>
  </w:style>
  <w:style w:type="paragraph" w:styleId="ListBullet2">
    <w:name w:val="List Bullet 2"/>
    <w:basedOn w:val="BodyText"/>
    <w:semiHidden/>
    <w:rsid w:val="001D7657"/>
  </w:style>
  <w:style w:type="paragraph" w:styleId="ListBullet3">
    <w:name w:val="List Bullet 3"/>
    <w:basedOn w:val="BodyText"/>
    <w:semiHidden/>
    <w:rsid w:val="001D7657"/>
  </w:style>
  <w:style w:type="numbering" w:styleId="Outlinestyle" w:customStyle="1">
    <w:name w:val="Outline style"/>
    <w:basedOn w:val="NoList"/>
    <w:uiPriority w:val="99"/>
    <w:rsid w:val="001D7657"/>
    <w:pPr>
      <w:numPr>
        <w:numId w:val="11"/>
      </w:numPr>
    </w:pPr>
  </w:style>
  <w:style w:type="character" w:styleId="PageNumber">
    <w:name w:val="page number"/>
    <w:basedOn w:val="DefaultParagraphFont"/>
    <w:semiHidden/>
    <w:rsid w:val="001D7657"/>
    <w:rPr>
      <w:rFonts w:ascii="Calibri" w:hAnsi="Calibri"/>
      <w:sz w:val="20"/>
    </w:rPr>
  </w:style>
  <w:style w:type="paragraph" w:styleId="Quotation" w:customStyle="1">
    <w:name w:val="Quotation"/>
    <w:basedOn w:val="BodyText"/>
    <w:qFormat/>
    <w:rsid w:val="00980C00"/>
    <w:pPr>
      <w:ind w:left="709" w:right="709"/>
    </w:pPr>
    <w:rPr>
      <w:sz w:val="20"/>
    </w:rPr>
  </w:style>
  <w:style w:type="paragraph" w:styleId="Tablebodytext" w:customStyle="1">
    <w:name w:val="Table body text"/>
    <w:basedOn w:val="BodyText"/>
    <w:qFormat/>
    <w:rsid w:val="001D7657"/>
    <w:rPr>
      <w:rFonts w:cs="Arial"/>
      <w:szCs w:val="17"/>
    </w:rPr>
  </w:style>
  <w:style w:type="paragraph" w:styleId="Tablebullet" w:customStyle="1">
    <w:name w:val="Table bullet"/>
    <w:basedOn w:val="Tablebodytext"/>
    <w:qFormat/>
    <w:rsid w:val="001D7657"/>
    <w:pPr>
      <w:numPr>
        <w:numId w:val="13"/>
      </w:numPr>
    </w:pPr>
  </w:style>
  <w:style w:type="table" w:styleId="TableGrid">
    <w:name w:val="Table Grid"/>
    <w:basedOn w:val="TableNormal"/>
    <w:rsid w:val="001D76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heading" w:customStyle="1">
    <w:name w:val="Table heading"/>
    <w:basedOn w:val="Tablebodytext"/>
    <w:qFormat/>
    <w:rsid w:val="001D7657"/>
    <w:pPr>
      <w:keepNext/>
      <w:spacing w:after="60"/>
      <w:jc w:val="center"/>
    </w:pPr>
    <w:rPr>
      <w:b/>
    </w:rPr>
  </w:style>
  <w:style w:type="paragraph" w:styleId="Tablenumberedlist" w:customStyle="1">
    <w:name w:val="Table numbered list"/>
    <w:basedOn w:val="Tablebodytext"/>
    <w:qFormat/>
    <w:rsid w:val="001D7657"/>
    <w:pPr>
      <w:numPr>
        <w:numId w:val="14"/>
      </w:numPr>
    </w:pPr>
  </w:style>
  <w:style w:type="paragraph" w:styleId="TableofAuthorities">
    <w:name w:val="table of authorities"/>
    <w:basedOn w:val="Normal"/>
    <w:next w:val="Normal"/>
    <w:semiHidden/>
    <w:rsid w:val="001D7657"/>
    <w:pPr>
      <w:ind w:left="200" w:hanging="200"/>
    </w:pPr>
  </w:style>
  <w:style w:type="paragraph" w:styleId="Title">
    <w:name w:val="Title"/>
    <w:basedOn w:val="Normal"/>
    <w:next w:val="BodyText"/>
    <w:link w:val="TitleChar"/>
    <w:qFormat/>
    <w:rsid w:val="001D7657"/>
    <w:pPr>
      <w:keepNext/>
      <w:spacing w:after="240"/>
    </w:pPr>
    <w:rPr>
      <w:b/>
      <w:sz w:val="36"/>
    </w:rPr>
  </w:style>
  <w:style w:type="character" w:styleId="TitleChar" w:customStyle="1">
    <w:name w:val="Title Char"/>
    <w:basedOn w:val="DefaultParagraphFont"/>
    <w:link w:val="Title"/>
    <w:rsid w:val="00A22BFA"/>
    <w:rPr>
      <w:rFonts w:ascii="Calibri" w:hAnsi="Calibri"/>
      <w:b/>
      <w:sz w:val="36"/>
      <w:lang w:eastAsia="en-GB"/>
    </w:rPr>
  </w:style>
  <w:style w:type="paragraph" w:styleId="TOC1">
    <w:name w:val="toc 1"/>
    <w:basedOn w:val="Normal"/>
    <w:autoRedefine/>
    <w:uiPriority w:val="39"/>
    <w:rsid w:val="008D31A8"/>
    <w:pPr>
      <w:tabs>
        <w:tab w:val="right" w:leader="dot" w:pos="8930"/>
      </w:tabs>
      <w:ind w:right="425"/>
    </w:pPr>
    <w:rPr>
      <w:b/>
      <w:caps/>
      <w:sz w:val="22"/>
    </w:rPr>
  </w:style>
  <w:style w:type="paragraph" w:styleId="TOC2">
    <w:name w:val="toc 2"/>
    <w:basedOn w:val="TOC1"/>
    <w:autoRedefine/>
    <w:uiPriority w:val="39"/>
    <w:rsid w:val="008D31A8"/>
    <w:pPr>
      <w:tabs>
        <w:tab w:val="clear" w:pos="8930"/>
        <w:tab w:val="right" w:leader="dot" w:pos="8931"/>
      </w:tabs>
      <w:ind w:left="425"/>
    </w:pPr>
    <w:rPr>
      <w:b w:val="0"/>
      <w:noProof/>
    </w:rPr>
  </w:style>
  <w:style w:type="paragraph" w:styleId="TOC3">
    <w:name w:val="toc 3"/>
    <w:basedOn w:val="TOC2"/>
    <w:autoRedefine/>
    <w:uiPriority w:val="39"/>
    <w:rsid w:val="008D31A8"/>
    <w:pPr>
      <w:ind w:left="851"/>
    </w:pPr>
    <w:rPr>
      <w:i/>
      <w:caps w:val="0"/>
      <w:sz w:val="20"/>
    </w:rPr>
  </w:style>
  <w:style w:type="paragraph" w:styleId="Attachmentsheading" w:customStyle="1">
    <w:name w:val="Attachments heading"/>
    <w:basedOn w:val="Normal"/>
    <w:next w:val="BodyText"/>
    <w:rsid w:val="001D7657"/>
    <w:pPr>
      <w:keepNext/>
      <w:pageBreakBefore/>
      <w:numPr>
        <w:numId w:val="3"/>
      </w:numPr>
      <w:spacing w:after="120"/>
    </w:pPr>
    <w:rPr>
      <w:b/>
      <w:sz w:val="28"/>
    </w:rPr>
  </w:style>
  <w:style w:type="numbering" w:styleId="Attachmentsliststyle" w:customStyle="1">
    <w:name w:val="Attachments list style"/>
    <w:basedOn w:val="NoList"/>
    <w:uiPriority w:val="99"/>
    <w:rsid w:val="001D7657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1D765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0D6FA8"/>
    <w:rPr>
      <w:rFonts w:ascii="Tahoma" w:hAnsi="Tahoma" w:cs="Tahoma"/>
      <w:sz w:val="16"/>
      <w:szCs w:val="16"/>
      <w:lang w:eastAsia="en-GB"/>
    </w:rPr>
  </w:style>
  <w:style w:type="character" w:styleId="FootnoteReference">
    <w:name w:val="footnote reference"/>
    <w:basedOn w:val="DefaultParagraphFont"/>
    <w:semiHidden/>
    <w:rsid w:val="001D7657"/>
    <w:rPr>
      <w:vertAlign w:val="superscript"/>
    </w:rPr>
  </w:style>
  <w:style w:type="paragraph" w:styleId="Para1" w:customStyle="1">
    <w:name w:val="Para 1"/>
    <w:basedOn w:val="BodyText"/>
    <w:qFormat/>
    <w:rsid w:val="001D7657"/>
    <w:pPr>
      <w:numPr>
        <w:numId w:val="12"/>
      </w:numPr>
    </w:pPr>
  </w:style>
  <w:style w:type="paragraph" w:styleId="Para2" w:customStyle="1">
    <w:name w:val="Para 2"/>
    <w:basedOn w:val="BodyText"/>
    <w:qFormat/>
    <w:rsid w:val="001D7657"/>
    <w:pPr>
      <w:numPr>
        <w:ilvl w:val="1"/>
        <w:numId w:val="12"/>
      </w:numPr>
    </w:pPr>
  </w:style>
  <w:style w:type="paragraph" w:styleId="Para3" w:customStyle="1">
    <w:name w:val="Para 3"/>
    <w:basedOn w:val="Para2"/>
    <w:qFormat/>
    <w:rsid w:val="001D7657"/>
    <w:pPr>
      <w:numPr>
        <w:ilvl w:val="2"/>
      </w:numPr>
    </w:pPr>
  </w:style>
  <w:style w:type="paragraph" w:styleId="Para4" w:customStyle="1">
    <w:name w:val="Para 4"/>
    <w:basedOn w:val="Para3"/>
    <w:qFormat/>
    <w:rsid w:val="001D7657"/>
    <w:pPr>
      <w:numPr>
        <w:ilvl w:val="3"/>
      </w:numPr>
    </w:pPr>
  </w:style>
  <w:style w:type="paragraph" w:styleId="Para5" w:customStyle="1">
    <w:name w:val="Para 5"/>
    <w:basedOn w:val="Para4"/>
    <w:qFormat/>
    <w:rsid w:val="001D7657"/>
    <w:pPr>
      <w:numPr>
        <w:ilvl w:val="4"/>
      </w:numPr>
    </w:pPr>
  </w:style>
  <w:style w:type="paragraph" w:styleId="Singlespacedparagraph" w:customStyle="1">
    <w:name w:val="Single spaced paragraph"/>
    <w:basedOn w:val="Normal"/>
    <w:qFormat/>
    <w:rsid w:val="001D7657"/>
  </w:style>
  <w:style w:type="numbering" w:styleId="Tablebulletlist" w:customStyle="1">
    <w:name w:val="Table bullet list"/>
    <w:uiPriority w:val="99"/>
    <w:rsid w:val="001D7657"/>
    <w:pPr>
      <w:numPr>
        <w:numId w:val="13"/>
      </w:numPr>
    </w:pPr>
  </w:style>
  <w:style w:type="paragraph" w:styleId="zContactdetails" w:customStyle="1">
    <w:name w:val="z_Contact details"/>
    <w:basedOn w:val="BodyText"/>
    <w:semiHidden/>
    <w:rsid w:val="001D7657"/>
    <w:pPr>
      <w:spacing w:after="120"/>
    </w:pPr>
  </w:style>
  <w:style w:type="paragraph" w:styleId="zContactheadings" w:customStyle="1">
    <w:name w:val="z_Contact headings"/>
    <w:basedOn w:val="BodyText"/>
    <w:semiHidden/>
    <w:rsid w:val="001D7657"/>
    <w:pPr>
      <w:spacing w:after="120"/>
    </w:pPr>
    <w:rPr>
      <w:b/>
    </w:rPr>
  </w:style>
  <w:style w:type="paragraph" w:styleId="zPagename" w:customStyle="1">
    <w:name w:val="z_Page name"/>
    <w:basedOn w:val="Title"/>
    <w:next w:val="BodyText"/>
    <w:semiHidden/>
    <w:rsid w:val="001D7657"/>
    <w:pPr>
      <w:spacing w:before="720"/>
    </w:pPr>
  </w:style>
  <w:style w:type="paragraph" w:styleId="zInstructions" w:customStyle="1">
    <w:name w:val="z_Instructions"/>
    <w:basedOn w:val="BodyText"/>
    <w:semiHidden/>
    <w:rsid w:val="00640B44"/>
    <w:pPr>
      <w:shd w:val="clear" w:color="auto" w:fill="A6A6A6" w:themeFill="background1" w:themeFillShade="A6"/>
      <w:spacing w:after="120" w:line="260" w:lineRule="atLeast"/>
    </w:pPr>
    <w:rPr>
      <w:color w:val="FFFFFF"/>
      <w:sz w:val="22"/>
    </w:rPr>
  </w:style>
  <w:style w:type="paragraph" w:styleId="zInstructionsbullet" w:customStyle="1">
    <w:name w:val="z_Instructions bullet"/>
    <w:basedOn w:val="zInstructions"/>
    <w:semiHidden/>
    <w:rsid w:val="00640B44"/>
    <w:pPr>
      <w:numPr>
        <w:numId w:val="2"/>
      </w:numPr>
    </w:pPr>
  </w:style>
  <w:style w:type="numbering" w:styleId="zInstructionsbulletlist" w:customStyle="1">
    <w:name w:val="z_Instructions bullet list"/>
    <w:basedOn w:val="NoList"/>
    <w:uiPriority w:val="99"/>
    <w:rsid w:val="00640B44"/>
    <w:pPr>
      <w:numPr>
        <w:numId w:val="1"/>
      </w:numPr>
    </w:pPr>
  </w:style>
  <w:style w:type="paragraph" w:styleId="BodyTextIndent">
    <w:name w:val="Body Text Indent"/>
    <w:basedOn w:val="BodyText"/>
    <w:link w:val="BodyTextIndentChar"/>
    <w:qFormat/>
    <w:rsid w:val="001D7657"/>
    <w:pPr>
      <w:ind w:left="709"/>
    </w:pPr>
  </w:style>
  <w:style w:type="character" w:styleId="BodyTextIndentChar" w:customStyle="1">
    <w:name w:val="Body Text Indent Char"/>
    <w:basedOn w:val="DefaultParagraphFont"/>
    <w:link w:val="BodyTextIndent"/>
    <w:rsid w:val="005A7573"/>
    <w:rPr>
      <w:rFonts w:ascii="Calibri" w:hAnsi="Calibri"/>
      <w:sz w:val="24"/>
      <w:lang w:eastAsia="en-GB"/>
    </w:rPr>
  </w:style>
  <w:style w:type="paragraph" w:styleId="ImanageHeader" w:customStyle="1">
    <w:name w:val="ImanageHeader"/>
    <w:basedOn w:val="Normal"/>
    <w:semiHidden/>
    <w:rsid w:val="001D7657"/>
    <w:pPr>
      <w:jc w:val="right"/>
    </w:pPr>
    <w:rPr>
      <w:sz w:val="20"/>
    </w:rPr>
  </w:style>
  <w:style w:type="paragraph" w:styleId="Level1bullet" w:customStyle="1">
    <w:name w:val="Level 1 bullet"/>
    <w:basedOn w:val="Normal"/>
    <w:semiHidden/>
    <w:rsid w:val="001D7657"/>
    <w:pPr>
      <w:numPr>
        <w:numId w:val="5"/>
      </w:numPr>
      <w:spacing w:before="120"/>
    </w:pPr>
  </w:style>
  <w:style w:type="paragraph" w:styleId="Level2bullet" w:customStyle="1">
    <w:name w:val="Level 2 bullet"/>
    <w:basedOn w:val="Normal"/>
    <w:semiHidden/>
    <w:rsid w:val="001D7657"/>
    <w:pPr>
      <w:numPr>
        <w:numId w:val="6"/>
      </w:numPr>
      <w:spacing w:before="120"/>
    </w:pPr>
  </w:style>
  <w:style w:type="paragraph" w:styleId="Level3bullet" w:customStyle="1">
    <w:name w:val="Level 3 bullet"/>
    <w:basedOn w:val="Normal"/>
    <w:semiHidden/>
    <w:rsid w:val="001D7657"/>
    <w:pPr>
      <w:numPr>
        <w:numId w:val="7"/>
      </w:numPr>
      <w:spacing w:before="120"/>
    </w:pPr>
  </w:style>
  <w:style w:type="paragraph" w:styleId="Numberedlist" w:customStyle="1">
    <w:name w:val="Numbered list"/>
    <w:basedOn w:val="Normal"/>
    <w:semiHidden/>
    <w:rsid w:val="001D7657"/>
    <w:pPr>
      <w:numPr>
        <w:numId w:val="9"/>
      </w:numPr>
    </w:pPr>
  </w:style>
  <w:style w:type="paragraph" w:styleId="Outline1" w:customStyle="1">
    <w:name w:val="Outline 1"/>
    <w:basedOn w:val="Normal"/>
    <w:semiHidden/>
    <w:rsid w:val="001D7657"/>
    <w:pPr>
      <w:spacing w:after="120"/>
    </w:pPr>
  </w:style>
  <w:style w:type="paragraph" w:styleId="Outline1Heading" w:customStyle="1">
    <w:name w:val="Outline 1 Heading"/>
    <w:basedOn w:val="Normal"/>
    <w:next w:val="Outline1"/>
    <w:semiHidden/>
    <w:rsid w:val="001D7657"/>
    <w:pPr>
      <w:keepNext/>
      <w:spacing w:before="240" w:after="60"/>
      <w:outlineLvl w:val="0"/>
    </w:pPr>
    <w:rPr>
      <w:b/>
    </w:rPr>
  </w:style>
  <w:style w:type="paragraph" w:styleId="Outline2" w:customStyle="1">
    <w:name w:val="Outline 2"/>
    <w:basedOn w:val="Normal"/>
    <w:semiHidden/>
    <w:rsid w:val="001D7657"/>
    <w:pPr>
      <w:numPr>
        <w:numId w:val="10"/>
      </w:numPr>
      <w:spacing w:after="120"/>
    </w:pPr>
  </w:style>
  <w:style w:type="paragraph" w:styleId="Subtitle">
    <w:name w:val="Subtitle"/>
    <w:basedOn w:val="Normal"/>
    <w:next w:val="Normal"/>
    <w:link w:val="SubtitleChar"/>
    <w:semiHidden/>
    <w:qFormat/>
    <w:rsid w:val="0076748A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semiHidden/>
    <w:rsid w:val="0076748A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:lang w:eastAsia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76748A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76748A"/>
    <w:rPr>
      <w:rFonts w:ascii="Calibri" w:hAnsi="Calibri"/>
      <w:i/>
      <w:iCs/>
      <w:color w:val="404040" w:themeColor="text1" w:themeTint="BF"/>
      <w:sz w:val="24"/>
      <w:lang w:eastAsia="en-GB"/>
    </w:rPr>
  </w:style>
  <w:style w:type="paragraph" w:styleId="ListParagraph">
    <w:name w:val="List Paragraph"/>
    <w:basedOn w:val="Normal"/>
    <w:uiPriority w:val="34"/>
    <w:semiHidden/>
    <w:qFormat/>
    <w:rsid w:val="00767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76748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748A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76748A"/>
    <w:rPr>
      <w:rFonts w:ascii="Calibri" w:hAnsi="Calibri"/>
      <w:i/>
      <w:iCs/>
      <w:color w:val="365F91" w:themeColor="accent1" w:themeShade="BF"/>
      <w:sz w:val="24"/>
      <w:lang w:eastAsia="en-GB"/>
    </w:rPr>
  </w:style>
  <w:style w:type="character" w:styleId="IntenseReference">
    <w:name w:val="Intense Reference"/>
    <w:basedOn w:val="DefaultParagraphFont"/>
    <w:uiPriority w:val="32"/>
    <w:semiHidden/>
    <w:qFormat/>
    <w:rsid w:val="0076748A"/>
    <w:rPr>
      <w:b/>
      <w:bCs/>
      <w:smallCaps/>
      <w:color w:val="365F91" w:themeColor="accent1" w:themeShade="BF"/>
      <w:spacing w:val="5"/>
    </w:rPr>
  </w:style>
  <w:style w:type="table" w:styleId="GridTable4-Accent2">
    <w:name w:val="Grid Table 4 Accent 2"/>
    <w:basedOn w:val="TableNormal"/>
    <w:uiPriority w:val="49"/>
    <w:rsid w:val="0076748A"/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76748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748A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76748A"/>
    <w:rPr>
      <w:rFonts w:ascii="Calibri" w:hAnsi="Calibri"/>
      <w:lang w:eastAsia="en-GB"/>
    </w:rPr>
  </w:style>
  <w:style w:type="table" w:styleId="GridTable3-Accent2">
    <w:name w:val="Grid Table 3 Accent 2"/>
    <w:basedOn w:val="TableNormal"/>
    <w:uiPriority w:val="48"/>
    <w:rsid w:val="003F2DDF"/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ridTable2-Accent2">
    <w:name w:val="Grid Table 2 Accent 2"/>
    <w:basedOn w:val="TableNormal"/>
    <w:uiPriority w:val="47"/>
    <w:rsid w:val="003F2DDF"/>
    <w:tblPr>
      <w:tblStyleRowBandSize w:val="1"/>
      <w:tblStyleColBandSize w:val="1"/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2">
    <w:name w:val="List Table 4 Accent 2"/>
    <w:basedOn w:val="TableNormal"/>
    <w:uiPriority w:val="49"/>
    <w:rsid w:val="003F2DDF"/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3F2DDF"/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blPr/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504D" w:themeColor="accent2" w:sz="4" w:space="0"/>
          <w:left w:val="nil"/>
        </w:tcBorders>
      </w:tcPr>
    </w:tblStylePr>
    <w:tblStylePr w:type="swCell">
      <w:tblPr/>
      <w:tcPr>
        <w:tcBorders>
          <w:top w:val="double" w:color="C0504D" w:themeColor="accent2" w:sz="4" w:space="0"/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3F2DDF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2E47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BA2E47"/>
    <w:rPr>
      <w:rFonts w:ascii="Calibri" w:hAnsi="Calibri"/>
      <w:b/>
      <w:bCs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C052E"/>
    <w:rPr>
      <w:color w:val="605E5C"/>
      <w:shd w:val="clear" w:color="auto" w:fill="E1DFDD"/>
    </w:rPr>
  </w:style>
  <w:style w:type="character" w:styleId="cf01" w:customStyle="1">
    <w:name w:val="cf01"/>
    <w:basedOn w:val="DefaultParagraphFont"/>
    <w:rsid w:val="0064523A"/>
    <w:rPr>
      <w:rFonts w:hint="default"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41F3"/>
    <w:rPr>
      <w:rFonts w:ascii="Calibri" w:hAnsi="Calibri"/>
      <w:sz w:val="24"/>
      <w:lang w:eastAsia="en-GB"/>
    </w:rPr>
  </w:style>
  <w:style w:type="character" w:styleId="Mention">
    <w:name w:val="Mention"/>
    <w:basedOn w:val="DefaultParagraphFont"/>
    <w:uiPriority w:val="99"/>
    <w:unhideWhenUsed/>
    <w:rsid w:val="0023058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tyles" Target="styles.xml" Id="rId6" /><Relationship Type="http://schemas.openxmlformats.org/officeDocument/2006/relationships/hyperlink" Target="mailto:infrastructure.regulation@comcom.govt.nz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mcom.govt.nz/__data/assets/pdf_file/0032/279725/Commission-response-to-OrionE28099s-November-2021-letter-21-December-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HLinks>
    <vt:vector baseType="variant" size="18">
      <vt:variant>
        <vt:i4>6881368</vt:i4>
      </vt:variant>
      <vt:variant>
        <vt:i4>0</vt:i4>
      </vt:variant>
      <vt:variant>
        <vt:i4>0</vt:i4>
      </vt:variant>
      <vt:variant>
        <vt:i4>5</vt:i4>
      </vt:variant>
      <vt:variant>
        <vt:lpwstr>mailto:infrastructure.regulation@comcom.govt.nz</vt:lpwstr>
      </vt:variant>
      <vt:variant>
        <vt:lpwstr/>
      </vt:variant>
      <vt:variant>
        <vt:i4>5308536</vt:i4>
      </vt:variant>
      <vt:variant>
        <vt:i4>0</vt:i4>
      </vt:variant>
      <vt:variant>
        <vt:i4>0</vt:i4>
      </vt:variant>
      <vt:variant>
        <vt:i4>5</vt:i4>
      </vt:variant>
      <vt:variant>
        <vt:lpwstr>https://comcom.govt.nz/__data/assets/pdf_file/0032/279725/Commission-response-to-OrionE28099s-November-2021-letter-21-December-2021.pdf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mailto:Josh.Riley@comcom.govt.nz</vt:lpwstr>
      </vt:variant>
      <vt:variant>
        <vt:lpwstr/>
      </vt:variant>
    </vt:vector>
  </ap:HLinks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1899-12-31T11:00:00.0000000Z</lastPrinted>
  <dcterms:created xsi:type="dcterms:W3CDTF">1899-12-31T11:00:00.0000000Z</dcterms:created>
  <dcterms:modified xsi:type="dcterms:W3CDTF">1899-12-31T11:00:00.0000000Z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