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38" w:rsidRDefault="00B45B38" w:rsidP="00B45B38">
      <w:pPr>
        <w:pStyle w:val="zFileRef"/>
      </w:pPr>
      <w:bookmarkStart w:id="0" w:name="_Toc336992993"/>
      <w:bookmarkStart w:id="1" w:name="_Toc337564650"/>
      <w:bookmarkStart w:id="2" w:name="_Toc338178478"/>
      <w:bookmarkStart w:id="3" w:name="_Toc338178592"/>
      <w:bookmarkStart w:id="4" w:name="_Toc338178605"/>
      <w:bookmarkStart w:id="5" w:name="_Toc338763690"/>
      <w:bookmarkStart w:id="6" w:name="_Toc338786153"/>
      <w:r>
        <w:t xml:space="preserve">Project no. </w:t>
      </w:r>
      <w:r w:rsidR="00012A73">
        <w:t>14.11</w:t>
      </w:r>
      <w:r w:rsidR="00632B58">
        <w:t>/</w:t>
      </w:r>
      <w:r w:rsidR="00B37548">
        <w:t>13720</w:t>
      </w:r>
    </w:p>
    <w:p w:rsidR="00B45B38" w:rsidRDefault="00B45B38" w:rsidP="00B45B38"/>
    <w:p w:rsidR="00B45B38" w:rsidRPr="00B45B38" w:rsidRDefault="00B45B38" w:rsidP="00B45B38">
      <w:pPr>
        <w:pStyle w:val="zFileRef"/>
      </w:pPr>
      <w:r w:rsidRPr="00B45B38">
        <w:rPr>
          <w:rStyle w:val="Emphasis-Bold"/>
        </w:rPr>
        <w:t>Public</w:t>
      </w:r>
      <w:r w:rsidRPr="00432A68">
        <w:rPr>
          <w:rStyle w:val="Emphasis-Bold"/>
        </w:rPr>
        <w:t xml:space="preserve"> version</w:t>
      </w:r>
    </w:p>
    <w:p w:rsidR="00B45B38" w:rsidRPr="00641432" w:rsidRDefault="00B45B38" w:rsidP="00B45B38"/>
    <w:p w:rsidR="00B45B38" w:rsidRPr="00641432" w:rsidRDefault="00B45B38" w:rsidP="00B45B38"/>
    <w:p w:rsidR="00B45B38" w:rsidRPr="00641432" w:rsidRDefault="00B45B38" w:rsidP="00B45B38"/>
    <w:p w:rsidR="00B45B38" w:rsidRDefault="00B45B38" w:rsidP="00B45B38"/>
    <w:p w:rsidR="00B45B38" w:rsidRDefault="00B45B38" w:rsidP="00B45B38"/>
    <w:p w:rsidR="00B45B38" w:rsidRDefault="00B45B38" w:rsidP="00B45B38"/>
    <w:p w:rsidR="00B45B38" w:rsidRPr="00641432" w:rsidRDefault="00B45B38" w:rsidP="00B45B38"/>
    <w:p w:rsidR="00B45B38" w:rsidRPr="00EB32FC" w:rsidRDefault="00473DF8" w:rsidP="00B45B38">
      <w:pPr>
        <w:pStyle w:val="Title"/>
      </w:pPr>
      <w:r>
        <w:t xml:space="preserve">Revised Draft </w:t>
      </w:r>
      <w:r w:rsidR="00B37548">
        <w:t>Transpower</w:t>
      </w:r>
      <w:r w:rsidR="00632B58">
        <w:t xml:space="preserve"> </w:t>
      </w:r>
      <w:r w:rsidR="0055600F">
        <w:t xml:space="preserve">New Zealand Limited </w:t>
      </w:r>
      <w:r w:rsidR="00B37548">
        <w:t>Information Disclosure Determination</w:t>
      </w:r>
      <w:r w:rsidR="00D8219C">
        <w:t xml:space="preserve"> 201</w:t>
      </w:r>
      <w:r w:rsidR="005664A2">
        <w:t>4</w:t>
      </w:r>
    </w:p>
    <w:p w:rsidR="00B45B38" w:rsidRPr="00641432" w:rsidRDefault="005664A2" w:rsidP="00432A68">
      <w:pPr>
        <w:pStyle w:val="Title"/>
      </w:pPr>
      <w:r>
        <w:t>2014</w:t>
      </w:r>
      <w:r w:rsidR="0006210D">
        <w:t xml:space="preserve"> </w:t>
      </w:r>
      <w:r w:rsidR="001D2C55">
        <w:t xml:space="preserve">NZCC </w:t>
      </w:r>
      <w:r w:rsidR="00632B58">
        <w:t>XX</w:t>
      </w:r>
    </w:p>
    <w:p w:rsidR="00B45B38" w:rsidRDefault="00B45B38" w:rsidP="00B45B38"/>
    <w:p w:rsidR="00D30817" w:rsidRDefault="00D30817" w:rsidP="00B45B38"/>
    <w:p w:rsidR="00D30817" w:rsidRDefault="00D30817" w:rsidP="00B45B38"/>
    <w:p w:rsidR="00D30817" w:rsidRDefault="00D30817" w:rsidP="00B45B38"/>
    <w:p w:rsidR="00D30817" w:rsidRPr="00641432" w:rsidRDefault="00D30817" w:rsidP="00B45B38"/>
    <w:p w:rsidR="00B45B38" w:rsidRDefault="00B45B38" w:rsidP="00B45B38"/>
    <w:p w:rsidR="00B45B38" w:rsidRDefault="00B45B38" w:rsidP="00B45B38"/>
    <w:p w:rsidR="004555A3" w:rsidRDefault="004555A3" w:rsidP="00B45B38"/>
    <w:p w:rsidR="004555A3" w:rsidRPr="00FB4C30" w:rsidRDefault="004555A3" w:rsidP="00B45B38">
      <w:pPr>
        <w:rPr>
          <w:rStyle w:val="Emphasis-Remove"/>
        </w:rPr>
      </w:pPr>
      <w:r w:rsidRPr="00FB4C30">
        <w:rPr>
          <w:rStyle w:val="Emphasis-Bold"/>
        </w:rPr>
        <w:t>The Commission:</w:t>
      </w:r>
      <w:r w:rsidRPr="00FB4C30">
        <w:rPr>
          <w:rStyle w:val="Emphasis-Bold"/>
        </w:rPr>
        <w:tab/>
      </w:r>
      <w:r w:rsidRPr="00FB4C30">
        <w:rPr>
          <w:rStyle w:val="Emphasis-Bold"/>
        </w:rPr>
        <w:tab/>
      </w:r>
      <w:r w:rsidRPr="00FB4C30">
        <w:rPr>
          <w:rStyle w:val="Emphasis-Remove"/>
        </w:rPr>
        <w:t>S Begg</w:t>
      </w:r>
    </w:p>
    <w:p w:rsidR="004555A3" w:rsidRPr="00FB4C30" w:rsidRDefault="004555A3" w:rsidP="00B45B38">
      <w:pPr>
        <w:rPr>
          <w:rStyle w:val="Emphasis-Remove"/>
        </w:rPr>
      </w:pPr>
      <w:r w:rsidRPr="00FB4C30">
        <w:rPr>
          <w:rStyle w:val="Emphasis-Remove"/>
        </w:rPr>
        <w:tab/>
      </w:r>
      <w:r w:rsidRPr="00FB4C30">
        <w:rPr>
          <w:rStyle w:val="Emphasis-Remove"/>
        </w:rPr>
        <w:tab/>
      </w:r>
      <w:r w:rsidRPr="00FB4C30">
        <w:rPr>
          <w:rStyle w:val="Emphasis-Remove"/>
        </w:rPr>
        <w:tab/>
      </w:r>
      <w:r w:rsidRPr="00FB4C30">
        <w:rPr>
          <w:rStyle w:val="Emphasis-Remove"/>
        </w:rPr>
        <w:tab/>
        <w:t>P Duignan</w:t>
      </w:r>
    </w:p>
    <w:p w:rsidR="004555A3" w:rsidRPr="00FB4C30" w:rsidRDefault="004555A3" w:rsidP="00B45B38">
      <w:r w:rsidRPr="00FB4C30">
        <w:rPr>
          <w:rStyle w:val="Emphasis-Remove"/>
        </w:rPr>
        <w:tab/>
      </w:r>
      <w:r w:rsidRPr="00FB4C30">
        <w:rPr>
          <w:rStyle w:val="Emphasis-Remove"/>
        </w:rPr>
        <w:tab/>
      </w:r>
      <w:r w:rsidRPr="00FB4C30">
        <w:rPr>
          <w:rStyle w:val="Emphasis-Remove"/>
        </w:rPr>
        <w:tab/>
      </w:r>
      <w:r w:rsidRPr="00FB4C30">
        <w:rPr>
          <w:rStyle w:val="Emphasis-Remove"/>
        </w:rPr>
        <w:tab/>
      </w:r>
      <w:r w:rsidR="003B3A31" w:rsidRPr="00FB4C30">
        <w:rPr>
          <w:rStyle w:val="Emphasis-Remove"/>
        </w:rPr>
        <w:t xml:space="preserve">Dr </w:t>
      </w:r>
      <w:r w:rsidR="00D74BA2" w:rsidRPr="00FB4C30">
        <w:rPr>
          <w:rStyle w:val="Emphasis-Remove"/>
        </w:rPr>
        <w:t>S Gale</w:t>
      </w:r>
    </w:p>
    <w:p w:rsidR="004555A3" w:rsidRPr="00FB4C30" w:rsidRDefault="004555A3" w:rsidP="00B45B38"/>
    <w:p w:rsidR="00E97E53" w:rsidRPr="00FB4C30" w:rsidRDefault="00E97E53" w:rsidP="00E97E53">
      <w:pPr>
        <w:autoSpaceDE w:val="0"/>
        <w:autoSpaceDN w:val="0"/>
        <w:adjustRightInd w:val="0"/>
        <w:rPr>
          <w:rFonts w:cs="Calibri"/>
          <w:color w:val="000000"/>
        </w:rPr>
      </w:pPr>
    </w:p>
    <w:p w:rsidR="00E97E53" w:rsidRPr="00FB4C30" w:rsidRDefault="00E97E53" w:rsidP="00E97E53">
      <w:r w:rsidRPr="00FB4C30">
        <w:rPr>
          <w:rFonts w:cs="Calibri"/>
          <w:b/>
          <w:bCs/>
          <w:color w:val="000000"/>
        </w:rPr>
        <w:t>Summary of the determination</w:t>
      </w:r>
      <w:r w:rsidRPr="00FB4C30">
        <w:rPr>
          <w:rFonts w:cs="Calibri"/>
          <w:color w:val="000000"/>
        </w:rPr>
        <w:t>: Pursuant to Part 4 of the Commerce Act 1986, the Commerce Commission has determined information disclosure requirements that apply to Transpower New Zealand Limited.</w:t>
      </w:r>
    </w:p>
    <w:p w:rsidR="00E97E53" w:rsidRPr="00FB4C30" w:rsidRDefault="00E97E53" w:rsidP="00B45B38"/>
    <w:p w:rsidR="000F5804" w:rsidRPr="00FB4C30" w:rsidRDefault="000F5804" w:rsidP="00B45B38"/>
    <w:p w:rsidR="00B63089" w:rsidRPr="00FB4C30" w:rsidRDefault="00B63089" w:rsidP="008E36EB">
      <w:pPr>
        <w:pStyle w:val="BodyText"/>
      </w:pPr>
      <w:r w:rsidRPr="00FB4C30">
        <w:rPr>
          <w:rStyle w:val="Emphasis-Bold"/>
        </w:rPr>
        <w:t>Date</w:t>
      </w:r>
      <w:r w:rsidR="004555A3" w:rsidRPr="00FB4C30">
        <w:rPr>
          <w:rStyle w:val="Emphasis-Bold"/>
        </w:rPr>
        <w:t xml:space="preserve"> of determination</w:t>
      </w:r>
      <w:r w:rsidRPr="00FB4C30">
        <w:rPr>
          <w:rStyle w:val="Emphasis-Bold"/>
        </w:rPr>
        <w:t>:</w:t>
      </w:r>
      <w:r w:rsidRPr="00FB4C30">
        <w:tab/>
      </w:r>
      <w:r w:rsidR="005E60E5">
        <w:t>28 February 2014</w:t>
      </w:r>
    </w:p>
    <w:p w:rsidR="00882572" w:rsidRPr="00FB4C30" w:rsidRDefault="00FC5B7F" w:rsidP="00882572">
      <w:pPr>
        <w:pStyle w:val="Box-Highlight"/>
        <w:pBdr>
          <w:left w:val="single" w:sz="4" w:space="31" w:color="auto"/>
        </w:pBdr>
      </w:pPr>
      <w:r w:rsidRPr="00FB4C30">
        <w:t>Regulation Branch, Commerce Commission</w:t>
      </w:r>
    </w:p>
    <w:p w:rsidR="00882572" w:rsidRPr="00FB4C30" w:rsidRDefault="00FC5B7F" w:rsidP="00882572">
      <w:pPr>
        <w:pStyle w:val="Box-Highlight"/>
        <w:pBdr>
          <w:left w:val="single" w:sz="4" w:space="31" w:color="auto"/>
        </w:pBdr>
      </w:pPr>
      <w:r w:rsidRPr="00FB4C30">
        <w:t>Wellington, NEW ZEALAND</w:t>
      </w:r>
    </w:p>
    <w:p w:rsidR="00882572" w:rsidRPr="00FB4C30" w:rsidRDefault="005E60E5" w:rsidP="00882572">
      <w:pPr>
        <w:pStyle w:val="Box-Highlight"/>
        <w:pBdr>
          <w:left w:val="single" w:sz="4" w:space="31" w:color="auto"/>
        </w:pBdr>
      </w:pPr>
      <w:r>
        <w:t>28 February 2014</w:t>
      </w:r>
    </w:p>
    <w:p w:rsidR="00D8219C" w:rsidRPr="00FB4C30" w:rsidRDefault="00D8219C" w:rsidP="00EA0AD5"/>
    <w:p w:rsidR="00173468" w:rsidRPr="00FB4C30" w:rsidRDefault="004D08B7" w:rsidP="00173468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1843"/>
        <w:gridCol w:w="4589"/>
      </w:tblGrid>
      <w:tr w:rsidR="00173468" w:rsidRPr="00FB4C30" w:rsidTr="00D04D86">
        <w:trPr>
          <w:cantSplit/>
          <w:trHeight w:val="240"/>
          <w:jc w:val="center"/>
        </w:trPr>
        <w:tc>
          <w:tcPr>
            <w:tcW w:w="865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82572" w:rsidRPr="00FB4C30" w:rsidRDefault="00882572" w:rsidP="00D04D86">
            <w:pPr>
              <w:pStyle w:val="Tabletext"/>
              <w:ind w:left="57" w:right="57"/>
              <w:rPr>
                <w:rStyle w:val="Emphasis-Bold"/>
                <w:sz w:val="24"/>
              </w:rPr>
            </w:pPr>
            <w:r w:rsidRPr="00FB4C30">
              <w:rPr>
                <w:rStyle w:val="Emphasis-Bold"/>
                <w:sz w:val="24"/>
              </w:rPr>
              <w:t xml:space="preserve">Determination version history </w:t>
            </w:r>
          </w:p>
        </w:tc>
      </w:tr>
      <w:tr w:rsidR="00227913" w:rsidRPr="00FB4C30" w:rsidTr="00D04D86">
        <w:trPr>
          <w:cantSplit/>
          <w:trHeight w:val="240"/>
          <w:jc w:val="center"/>
        </w:trPr>
        <w:tc>
          <w:tcPr>
            <w:tcW w:w="8658" w:type="dxa"/>
            <w:gridSpan w:val="3"/>
            <w:shd w:val="clear" w:color="auto" w:fill="FFFFFF"/>
          </w:tcPr>
          <w:p w:rsidR="00227913" w:rsidRPr="00FB4C30" w:rsidRDefault="00227913" w:rsidP="00B37548">
            <w:pPr>
              <w:pStyle w:val="BodyText"/>
              <w:spacing w:before="60"/>
              <w:ind w:left="57" w:right="57"/>
              <w:rPr>
                <w:rStyle w:val="Emphasis-Bold"/>
                <w:b w:val="0"/>
              </w:rPr>
            </w:pPr>
            <w:r w:rsidRPr="00FB4C30">
              <w:rPr>
                <w:rStyle w:val="Emphasis-Bold"/>
                <w:b w:val="0"/>
              </w:rPr>
              <w:t xml:space="preserve">This determination </w:t>
            </w:r>
            <w:r w:rsidR="00B37548" w:rsidRPr="00FB4C30">
              <w:rPr>
                <w:rStyle w:val="Emphasis-Bold"/>
                <w:b w:val="0"/>
              </w:rPr>
              <w:t>supersedes</w:t>
            </w:r>
            <w:r w:rsidRPr="00FB4C30">
              <w:rPr>
                <w:rStyle w:val="Emphasis-Bold"/>
                <w:b w:val="0"/>
              </w:rPr>
              <w:t xml:space="preserve"> the </w:t>
            </w:r>
            <w:r w:rsidRPr="00FB4C30">
              <w:rPr>
                <w:rStyle w:val="Emphasis-Bold"/>
                <w:b w:val="0"/>
                <w:i/>
              </w:rPr>
              <w:t xml:space="preserve">Electricity </w:t>
            </w:r>
            <w:r w:rsidR="00B37548" w:rsidRPr="00FB4C30">
              <w:rPr>
                <w:rStyle w:val="Emphasis-Bold"/>
                <w:b w:val="0"/>
                <w:i/>
              </w:rPr>
              <w:t>Information Disclosure Requirements</w:t>
            </w:r>
            <w:r w:rsidRPr="00FB4C30">
              <w:rPr>
                <w:rStyle w:val="Emphasis-Bold"/>
                <w:b w:val="0"/>
                <w:i/>
              </w:rPr>
              <w:t xml:space="preserve"> </w:t>
            </w:r>
            <w:r w:rsidR="00D74BA2" w:rsidRPr="00FB4C30">
              <w:rPr>
                <w:rStyle w:val="Emphasis-Bold"/>
                <w:b w:val="0"/>
                <w:i/>
              </w:rPr>
              <w:t xml:space="preserve">2004 </w:t>
            </w:r>
            <w:r w:rsidR="00D74BA2" w:rsidRPr="00FB4C30">
              <w:rPr>
                <w:rStyle w:val="Emphasis-Bold"/>
                <w:b w:val="0"/>
              </w:rPr>
              <w:t>as</w:t>
            </w:r>
            <w:r w:rsidRPr="00FB4C30">
              <w:rPr>
                <w:rStyle w:val="Emphasis-Bold"/>
                <w:b w:val="0"/>
              </w:rPr>
              <w:t xml:space="preserve"> it applies to </w:t>
            </w:r>
            <w:r w:rsidR="00B37548" w:rsidRPr="00FB4C30">
              <w:rPr>
                <w:rStyle w:val="Emphasis-Bold"/>
                <w:b w:val="0"/>
              </w:rPr>
              <w:t>Transpower</w:t>
            </w:r>
            <w:r w:rsidRPr="00FB4C30">
              <w:rPr>
                <w:rStyle w:val="Emphasis-Bold"/>
                <w:b w:val="0"/>
              </w:rPr>
              <w:t xml:space="preserve"> New Zealand Limited.</w:t>
            </w:r>
          </w:p>
        </w:tc>
      </w:tr>
      <w:tr w:rsidR="00173468" w:rsidRPr="00FB4C30" w:rsidTr="00D04D86">
        <w:trPr>
          <w:cantSplit/>
          <w:trHeight w:val="240"/>
          <w:jc w:val="center"/>
        </w:trPr>
        <w:tc>
          <w:tcPr>
            <w:tcW w:w="2226" w:type="dxa"/>
            <w:shd w:val="clear" w:color="auto" w:fill="D9D9D9"/>
          </w:tcPr>
          <w:p w:rsidR="00882572" w:rsidRPr="00FB4C30" w:rsidRDefault="00882572" w:rsidP="00D04D86">
            <w:pPr>
              <w:pStyle w:val="Tabletext"/>
              <w:ind w:left="57" w:right="57"/>
              <w:rPr>
                <w:rStyle w:val="Emphasis-Bold"/>
                <w:sz w:val="24"/>
              </w:rPr>
            </w:pPr>
            <w:r w:rsidRPr="00FB4C30">
              <w:rPr>
                <w:rStyle w:val="Emphasis-Bold"/>
                <w:sz w:val="24"/>
              </w:rPr>
              <w:t xml:space="preserve">Determination date </w:t>
            </w:r>
          </w:p>
        </w:tc>
        <w:tc>
          <w:tcPr>
            <w:tcW w:w="1843" w:type="dxa"/>
            <w:shd w:val="clear" w:color="auto" w:fill="D9D9D9"/>
          </w:tcPr>
          <w:p w:rsidR="00882572" w:rsidRPr="00FB4C30" w:rsidRDefault="00882572" w:rsidP="00D04D86">
            <w:pPr>
              <w:pStyle w:val="Tabletext"/>
              <w:ind w:left="57" w:right="57"/>
              <w:rPr>
                <w:rStyle w:val="Emphasis-Bold"/>
                <w:sz w:val="24"/>
              </w:rPr>
            </w:pPr>
            <w:r w:rsidRPr="00FB4C30">
              <w:rPr>
                <w:rStyle w:val="Emphasis-Bold"/>
                <w:sz w:val="24"/>
              </w:rPr>
              <w:t xml:space="preserve">Decision number </w:t>
            </w:r>
          </w:p>
        </w:tc>
        <w:tc>
          <w:tcPr>
            <w:tcW w:w="4589" w:type="dxa"/>
            <w:shd w:val="clear" w:color="auto" w:fill="D9D9D9"/>
          </w:tcPr>
          <w:p w:rsidR="00882572" w:rsidRPr="00FB4C30" w:rsidRDefault="00882572" w:rsidP="00D04D86">
            <w:pPr>
              <w:pStyle w:val="Tabletext"/>
              <w:ind w:left="57" w:right="57"/>
              <w:rPr>
                <w:rStyle w:val="Emphasis-Bold"/>
                <w:sz w:val="24"/>
              </w:rPr>
            </w:pPr>
            <w:r w:rsidRPr="00FB4C30">
              <w:rPr>
                <w:rStyle w:val="Emphasis-Bold"/>
                <w:sz w:val="24"/>
              </w:rPr>
              <w:t xml:space="preserve">Determination name </w:t>
            </w:r>
          </w:p>
        </w:tc>
      </w:tr>
      <w:tr w:rsidR="00173468" w:rsidRPr="00FB4C30" w:rsidTr="00D04D86">
        <w:trPr>
          <w:cantSplit/>
          <w:trHeight w:val="532"/>
          <w:jc w:val="center"/>
        </w:trPr>
        <w:tc>
          <w:tcPr>
            <w:tcW w:w="2226" w:type="dxa"/>
            <w:shd w:val="clear" w:color="auto" w:fill="auto"/>
          </w:tcPr>
          <w:p w:rsidR="00882572" w:rsidRPr="00FB4C30" w:rsidRDefault="005E60E5" w:rsidP="00BD68BF">
            <w:pPr>
              <w:pStyle w:val="Tabletext"/>
              <w:ind w:left="57" w:right="57"/>
              <w:rPr>
                <w:rStyle w:val="Tabletext-12point"/>
              </w:rPr>
            </w:pPr>
            <w:r>
              <w:rPr>
                <w:sz w:val="24"/>
              </w:rPr>
              <w:t>28 February 2014</w:t>
            </w:r>
            <w:bookmarkStart w:id="7" w:name="_GoBack"/>
            <w:bookmarkEnd w:id="7"/>
          </w:p>
        </w:tc>
        <w:tc>
          <w:tcPr>
            <w:tcW w:w="1843" w:type="dxa"/>
            <w:shd w:val="clear" w:color="auto" w:fill="auto"/>
          </w:tcPr>
          <w:p w:rsidR="00882572" w:rsidRPr="00FB4C30" w:rsidRDefault="00AC1250" w:rsidP="00D04D86">
            <w:pPr>
              <w:pStyle w:val="Tabletext"/>
              <w:ind w:left="57" w:right="57"/>
              <w:rPr>
                <w:rStyle w:val="Tabletext-12point"/>
              </w:rPr>
            </w:pPr>
            <w:r w:rsidRPr="00FB4C30">
              <w:rPr>
                <w:rStyle w:val="Tabletext-12point"/>
              </w:rPr>
              <w:t>[</w:t>
            </w:r>
            <w:r w:rsidR="005664A2" w:rsidRPr="00FB4C30">
              <w:rPr>
                <w:rStyle w:val="Tabletext-12point"/>
              </w:rPr>
              <w:t>2014</w:t>
            </w:r>
            <w:r w:rsidRPr="00FB4C30">
              <w:rPr>
                <w:rStyle w:val="Tabletext-12point"/>
              </w:rPr>
              <w:t>]</w:t>
            </w:r>
            <w:r w:rsidR="00632B58" w:rsidRPr="00FB4C30">
              <w:rPr>
                <w:rStyle w:val="Tabletext-12point"/>
              </w:rPr>
              <w:t xml:space="preserve"> NZCC XX</w:t>
            </w:r>
          </w:p>
        </w:tc>
        <w:tc>
          <w:tcPr>
            <w:tcW w:w="4589" w:type="dxa"/>
            <w:shd w:val="clear" w:color="auto" w:fill="auto"/>
          </w:tcPr>
          <w:p w:rsidR="00882572" w:rsidRPr="00FB4C30" w:rsidRDefault="00B37548" w:rsidP="00B37548">
            <w:pPr>
              <w:pStyle w:val="Tabletext"/>
              <w:ind w:left="57" w:right="57"/>
              <w:rPr>
                <w:rStyle w:val="Tabletext-12point"/>
              </w:rPr>
            </w:pPr>
            <w:r w:rsidRPr="00FB4C30">
              <w:rPr>
                <w:rStyle w:val="Tabletext-12point"/>
              </w:rPr>
              <w:t>Transpower</w:t>
            </w:r>
            <w:r w:rsidR="00632B58" w:rsidRPr="00FB4C30">
              <w:rPr>
                <w:rStyle w:val="Tabletext-12point"/>
              </w:rPr>
              <w:t xml:space="preserve"> </w:t>
            </w:r>
            <w:r w:rsidR="00180B02" w:rsidRPr="00FB4C30">
              <w:rPr>
                <w:rStyle w:val="Tabletext-12point"/>
              </w:rPr>
              <w:t xml:space="preserve">New Zealand </w:t>
            </w:r>
            <w:r w:rsidR="00BD68BF">
              <w:rPr>
                <w:rStyle w:val="Tabletext-12point"/>
              </w:rPr>
              <w:t xml:space="preserve">Limited </w:t>
            </w:r>
            <w:r w:rsidRPr="00FB4C30">
              <w:rPr>
                <w:rStyle w:val="Tabletext-12point"/>
              </w:rPr>
              <w:t>Informati</w:t>
            </w:r>
            <w:r w:rsidR="00FD3D94">
              <w:rPr>
                <w:rStyle w:val="Tabletext-12point"/>
              </w:rPr>
              <w:t>on D</w:t>
            </w:r>
            <w:r w:rsidR="005664A2" w:rsidRPr="00FB4C30">
              <w:rPr>
                <w:rStyle w:val="Tabletext-12point"/>
              </w:rPr>
              <w:t>isclosure Determination 2014</w:t>
            </w:r>
          </w:p>
        </w:tc>
      </w:tr>
    </w:tbl>
    <w:p w:rsidR="00A6419A" w:rsidRPr="00FB4C30" w:rsidRDefault="00173468" w:rsidP="00A6419A">
      <w:pPr>
        <w:pStyle w:val="zContents"/>
        <w:rPr>
          <w:sz w:val="24"/>
        </w:rPr>
      </w:pPr>
      <w:r w:rsidRPr="00FB4C30">
        <w:rPr>
          <w:sz w:val="24"/>
        </w:rPr>
        <w:t xml:space="preserve"> </w:t>
      </w:r>
      <w:r w:rsidRPr="00FB4C30">
        <w:rPr>
          <w:sz w:val="24"/>
        </w:rPr>
        <w:br w:type="page"/>
      </w:r>
      <w:r w:rsidR="00B63089" w:rsidRPr="00FB4C30">
        <w:rPr>
          <w:sz w:val="24"/>
        </w:rPr>
        <w:lastRenderedPageBreak/>
        <w:t>Contents</w:t>
      </w:r>
    </w:p>
    <w:p w:rsidR="00BD68BF" w:rsidRPr="00BD68BF" w:rsidRDefault="00BD68BF" w:rsidP="00927F27">
      <w:pPr>
        <w:pStyle w:val="TOC1"/>
      </w:pPr>
      <w:r>
        <w:t>Title</w:t>
      </w:r>
      <w:r>
        <w:tab/>
      </w:r>
      <w:r>
        <w:tab/>
        <w:t>5</w:t>
      </w:r>
    </w:p>
    <w:p w:rsidR="00432240" w:rsidRDefault="00E8239A">
      <w:pPr>
        <w:pStyle w:val="TOC1"/>
        <w:rPr>
          <w:rFonts w:asciiTheme="minorHAnsi" w:eastAsiaTheme="minorEastAsia" w:hAnsiTheme="minorHAnsi" w:cstheme="minorBidi"/>
          <w:b w:val="0"/>
          <w:lang w:eastAsia="en-NZ"/>
        </w:rPr>
      </w:pPr>
      <w:r w:rsidRPr="00614E73">
        <w:rPr>
          <w:sz w:val="24"/>
          <w:szCs w:val="24"/>
        </w:rPr>
        <w:fldChar w:fldCharType="begin"/>
      </w:r>
      <w:r w:rsidR="009D0870" w:rsidRPr="00614E73">
        <w:rPr>
          <w:sz w:val="24"/>
          <w:szCs w:val="24"/>
        </w:rPr>
        <w:instrText xml:space="preserve"> TOC \o "1-1" \h \z \t "Heading 0: Unnumbered,1" </w:instrText>
      </w:r>
      <w:r w:rsidRPr="00614E73">
        <w:rPr>
          <w:sz w:val="24"/>
          <w:szCs w:val="24"/>
        </w:rPr>
        <w:fldChar w:fldCharType="separate"/>
      </w:r>
      <w:hyperlink w:anchor="_Toc379540108" w:history="1">
        <w:r w:rsidR="00432240" w:rsidRPr="004B17AE">
          <w:rPr>
            <w:rStyle w:val="Hyperlink"/>
          </w:rPr>
          <w:t>Commencement</w:t>
        </w:r>
        <w:r w:rsidR="00432240">
          <w:rPr>
            <w:webHidden/>
          </w:rPr>
          <w:tab/>
        </w:r>
        <w:r w:rsidR="00432240">
          <w:rPr>
            <w:webHidden/>
          </w:rPr>
          <w:fldChar w:fldCharType="begin"/>
        </w:r>
        <w:r w:rsidR="00432240">
          <w:rPr>
            <w:webHidden/>
          </w:rPr>
          <w:instrText xml:space="preserve"> PAGEREF _Toc379540108 \h </w:instrText>
        </w:r>
        <w:r w:rsidR="00432240">
          <w:rPr>
            <w:webHidden/>
          </w:rPr>
        </w:r>
        <w:r w:rsidR="00432240">
          <w:rPr>
            <w:webHidden/>
          </w:rPr>
          <w:fldChar w:fldCharType="separate"/>
        </w:r>
        <w:r w:rsidR="00432240">
          <w:rPr>
            <w:webHidden/>
          </w:rPr>
          <w:t>4</w:t>
        </w:r>
        <w:r w:rsidR="00432240">
          <w:rPr>
            <w:webHidden/>
          </w:rPr>
          <w:fldChar w:fldCharType="end"/>
        </w:r>
      </w:hyperlink>
    </w:p>
    <w:p w:rsidR="00432240" w:rsidRDefault="00432240">
      <w:pPr>
        <w:pStyle w:val="TOC1"/>
        <w:rPr>
          <w:rFonts w:asciiTheme="minorHAnsi" w:eastAsiaTheme="minorEastAsia" w:hAnsiTheme="minorHAnsi" w:cstheme="minorBidi"/>
          <w:b w:val="0"/>
          <w:lang w:eastAsia="en-NZ"/>
        </w:rPr>
      </w:pPr>
      <w:hyperlink w:anchor="_Toc379540109" w:history="1">
        <w:r w:rsidRPr="004B17AE">
          <w:rPr>
            <w:rStyle w:val="Hyperlink"/>
          </w:rPr>
          <w:t>Application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_Toc379540109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32240" w:rsidRDefault="00432240">
      <w:pPr>
        <w:pStyle w:val="TOC1"/>
        <w:rPr>
          <w:rFonts w:asciiTheme="minorHAnsi" w:eastAsiaTheme="minorEastAsia" w:hAnsiTheme="minorHAnsi" w:cstheme="minorBidi"/>
          <w:b w:val="0"/>
          <w:lang w:eastAsia="en-NZ"/>
        </w:rPr>
      </w:pPr>
      <w:hyperlink w:anchor="_Toc379540110" w:history="1">
        <w:r w:rsidRPr="004B17AE">
          <w:rPr>
            <w:rStyle w:val="Hyperlink"/>
          </w:rPr>
          <w:t>Interpretation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_Toc379540110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32240" w:rsidRDefault="00432240">
      <w:pPr>
        <w:pStyle w:val="TOC1"/>
        <w:rPr>
          <w:rFonts w:asciiTheme="minorHAnsi" w:eastAsiaTheme="minorEastAsia" w:hAnsiTheme="minorHAnsi" w:cstheme="minorBidi"/>
          <w:b w:val="0"/>
          <w:lang w:eastAsia="en-NZ"/>
        </w:rPr>
      </w:pPr>
      <w:hyperlink w:anchor="_Toc379540111" w:history="1">
        <w:r w:rsidRPr="004B17AE">
          <w:rPr>
            <w:rStyle w:val="Hyperlink"/>
          </w:rPr>
          <w:t>Information Disclosure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_Toc379540111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32240" w:rsidRDefault="00432240">
      <w:pPr>
        <w:pStyle w:val="TOC1"/>
        <w:rPr>
          <w:rFonts w:asciiTheme="minorHAnsi" w:eastAsiaTheme="minorEastAsia" w:hAnsiTheme="minorHAnsi" w:cstheme="minorBidi"/>
          <w:b w:val="0"/>
          <w:lang w:eastAsia="en-NZ"/>
        </w:rPr>
      </w:pPr>
      <w:hyperlink w:anchor="_Toc379540112" w:history="1">
        <w:r w:rsidRPr="004B17AE">
          <w:rPr>
            <w:rStyle w:val="Hyperlink"/>
          </w:rPr>
          <w:t>Applicable Input Methodologies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_Toc379540112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32240" w:rsidRDefault="00432240">
      <w:pPr>
        <w:pStyle w:val="TOC1"/>
        <w:rPr>
          <w:rFonts w:asciiTheme="minorHAnsi" w:eastAsiaTheme="minorEastAsia" w:hAnsiTheme="minorHAnsi" w:cstheme="minorBidi"/>
          <w:b w:val="0"/>
          <w:lang w:eastAsia="en-NZ"/>
        </w:rPr>
      </w:pPr>
      <w:hyperlink w:anchor="_Toc379540113" w:history="1">
        <w:r w:rsidRPr="004B17AE">
          <w:rPr>
            <w:rStyle w:val="Hyperlink"/>
          </w:rPr>
          <w:t>Transmission Lines Services Financial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_Toc379540113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32240" w:rsidRDefault="00432240">
      <w:pPr>
        <w:pStyle w:val="TOC1"/>
        <w:rPr>
          <w:rFonts w:asciiTheme="minorHAnsi" w:eastAsiaTheme="minorEastAsia" w:hAnsiTheme="minorHAnsi" w:cstheme="minorBidi"/>
          <w:b w:val="0"/>
          <w:lang w:eastAsia="en-NZ"/>
        </w:rPr>
      </w:pPr>
      <w:hyperlink w:anchor="_Toc379540114" w:history="1">
        <w:r w:rsidRPr="004B17AE">
          <w:rPr>
            <w:rStyle w:val="Hyperlink"/>
          </w:rPr>
          <w:t>Transmission Lines Services Grid Management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_Toc379540114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432240" w:rsidRDefault="00432240">
      <w:pPr>
        <w:pStyle w:val="TOC1"/>
        <w:rPr>
          <w:rFonts w:asciiTheme="minorHAnsi" w:eastAsiaTheme="minorEastAsia" w:hAnsiTheme="minorHAnsi" w:cstheme="minorBidi"/>
          <w:b w:val="0"/>
          <w:lang w:eastAsia="en-NZ"/>
        </w:rPr>
      </w:pPr>
      <w:hyperlink w:anchor="_Toc379540115" w:history="1">
        <w:r w:rsidRPr="004B17AE">
          <w:rPr>
            <w:rStyle w:val="Hyperlink"/>
          </w:rPr>
          <w:t>System Operator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_Toc379540115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32240" w:rsidRDefault="00432240">
      <w:pPr>
        <w:pStyle w:val="TOC1"/>
        <w:rPr>
          <w:rFonts w:asciiTheme="minorHAnsi" w:eastAsiaTheme="minorEastAsia" w:hAnsiTheme="minorHAnsi" w:cstheme="minorBidi"/>
          <w:b w:val="0"/>
          <w:lang w:eastAsia="en-NZ"/>
        </w:rPr>
      </w:pPr>
      <w:hyperlink w:anchor="_Toc379540116" w:history="1">
        <w:r w:rsidRPr="004B17AE">
          <w:rPr>
            <w:rStyle w:val="Hyperlink"/>
          </w:rPr>
          <w:t>Audit and Certification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_Toc379540116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432240" w:rsidRDefault="00432240">
      <w:pPr>
        <w:pStyle w:val="TOC1"/>
        <w:rPr>
          <w:rFonts w:asciiTheme="minorHAnsi" w:eastAsiaTheme="minorEastAsia" w:hAnsiTheme="minorHAnsi" w:cstheme="minorBidi"/>
          <w:b w:val="0"/>
          <w:lang w:eastAsia="en-NZ"/>
        </w:rPr>
      </w:pPr>
      <w:hyperlink w:anchor="_Toc379540117" w:history="1">
        <w:r w:rsidRPr="004B17AE">
          <w:rPr>
            <w:rStyle w:val="Hyperlink"/>
          </w:rPr>
          <w:t>Related Party Transactions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_Toc379540117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432240" w:rsidRDefault="00432240">
      <w:pPr>
        <w:pStyle w:val="TOC1"/>
        <w:rPr>
          <w:rFonts w:asciiTheme="minorHAnsi" w:eastAsiaTheme="minorEastAsia" w:hAnsiTheme="minorHAnsi" w:cstheme="minorBidi"/>
          <w:b w:val="0"/>
          <w:lang w:eastAsia="en-NZ"/>
        </w:rPr>
      </w:pPr>
      <w:hyperlink w:anchor="_Toc379540118" w:history="1">
        <w:r w:rsidRPr="004B17AE">
          <w:rPr>
            <w:rStyle w:val="Hyperlink"/>
          </w:rPr>
          <w:t>Retention and Continuing Disclosures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_Toc379540118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432240" w:rsidRDefault="00432240">
      <w:pPr>
        <w:pStyle w:val="TOC1"/>
        <w:rPr>
          <w:rFonts w:asciiTheme="minorHAnsi" w:eastAsiaTheme="minorEastAsia" w:hAnsiTheme="minorHAnsi" w:cstheme="minorBidi"/>
          <w:b w:val="0"/>
          <w:lang w:eastAsia="en-NZ"/>
        </w:rPr>
      </w:pPr>
      <w:hyperlink w:anchor="_Toc379540119" w:history="1">
        <w:r w:rsidRPr="004B17AE">
          <w:rPr>
            <w:rStyle w:val="Hyperlink"/>
          </w:rPr>
          <w:t>Exemptions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_Toc379540119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432240" w:rsidRDefault="00432240">
      <w:pPr>
        <w:pStyle w:val="TOC1"/>
        <w:rPr>
          <w:rFonts w:asciiTheme="minorHAnsi" w:eastAsiaTheme="minorEastAsia" w:hAnsiTheme="minorHAnsi" w:cstheme="minorBidi"/>
          <w:b w:val="0"/>
          <w:lang w:eastAsia="en-NZ"/>
        </w:rPr>
      </w:pPr>
      <w:hyperlink w:anchor="_Toc379540120" w:history="1">
        <w:r w:rsidRPr="004B17AE">
          <w:rPr>
            <w:rStyle w:val="Hyperlink"/>
          </w:rPr>
          <w:t>Form of Disclosure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_Toc379540120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187962" w:rsidRPr="00614E73" w:rsidRDefault="00E8239A" w:rsidP="00CF3658">
      <w:pPr>
        <w:spacing w:after="120"/>
        <w:rPr>
          <w:lang w:eastAsia="en-GB"/>
        </w:rPr>
        <w:sectPr w:rsidR="00187962" w:rsidRPr="00614E73" w:rsidSect="00E539BA">
          <w:headerReference w:type="default" r:id="rId9"/>
          <w:headerReference w:type="first" r:id="rId10"/>
          <w:pgSz w:w="11907" w:h="16840" w:code="9"/>
          <w:pgMar w:top="1440" w:right="1440" w:bottom="1440" w:left="1440" w:header="567" w:footer="567" w:gutter="0"/>
          <w:cols w:space="708"/>
          <w:titlePg/>
          <w:docGrid w:linePitch="360"/>
        </w:sectPr>
      </w:pPr>
      <w:r w:rsidRPr="00614E73">
        <w:rPr>
          <w:caps/>
          <w:lang w:eastAsia="en-GB"/>
        </w:rPr>
        <w:fldChar w:fldCharType="end"/>
      </w:r>
    </w:p>
    <w:p w:rsidR="00614E73" w:rsidRPr="00830324" w:rsidRDefault="001C1DA2" w:rsidP="00927F27">
      <w:pPr>
        <w:pStyle w:val="TOC1"/>
        <w:rPr>
          <w:lang w:eastAsia="en-NZ"/>
        </w:rPr>
      </w:pPr>
      <w:r w:rsidRPr="00830324">
        <w:t>Schedule</w:t>
      </w:r>
      <w:r w:rsidR="00830324" w:rsidRPr="00830324">
        <w:t>s</w:t>
      </w:r>
      <w:r w:rsidRPr="00830324">
        <w:t xml:space="preserve"> </w:t>
      </w:r>
      <w:r w:rsidR="006F428F">
        <w:t>F1 – SO1</w:t>
      </w:r>
      <w:r w:rsidR="00830324" w:rsidRPr="00830324">
        <w:t xml:space="preserve"> </w:t>
      </w:r>
      <w:r w:rsidR="00830324" w:rsidRPr="00830324">
        <w:tab/>
        <w:t>1</w:t>
      </w:r>
      <w:r w:rsidR="00432240">
        <w:t>7</w:t>
      </w:r>
      <w:r w:rsidR="00884286" w:rsidRPr="00830324">
        <w:tab/>
      </w:r>
      <w:r w:rsidR="008E4DF4" w:rsidRPr="00830324">
        <w:tab/>
      </w:r>
      <w:r w:rsidR="00C726FB" w:rsidRPr="00830324">
        <w:tab/>
      </w:r>
    </w:p>
    <w:p w:rsidR="00830324" w:rsidRPr="00927F27" w:rsidRDefault="00927F27" w:rsidP="00927F27">
      <w:pPr>
        <w:pStyle w:val="TOC1"/>
        <w:rPr>
          <w:lang w:eastAsia="en-NZ"/>
        </w:rPr>
      </w:pPr>
      <w:hyperlink w:anchor="_Toc369014259" w:history="1">
        <w:r w:rsidR="00830324" w:rsidRPr="00927F27">
          <w:rPr>
            <w:rStyle w:val="Hyperlink"/>
            <w:color w:val="auto"/>
            <w:u w:val="none"/>
          </w:rPr>
          <w:t>Schedule Cert1</w:t>
        </w:r>
        <w:r w:rsidR="00830324" w:rsidRPr="00927F27">
          <w:rPr>
            <w:webHidden/>
          </w:rPr>
          <w:tab/>
        </w:r>
        <w:r w:rsidR="00830324" w:rsidRPr="00927F27">
          <w:rPr>
            <w:webHidden/>
          </w:rPr>
          <w:fldChar w:fldCharType="begin"/>
        </w:r>
        <w:r w:rsidR="00830324" w:rsidRPr="00927F27">
          <w:rPr>
            <w:webHidden/>
          </w:rPr>
          <w:instrText xml:space="preserve"> PAGEREF _Toc369014259 \h </w:instrText>
        </w:r>
        <w:r w:rsidR="00830324" w:rsidRPr="00927F27">
          <w:rPr>
            <w:webHidden/>
          </w:rPr>
          <w:fldChar w:fldCharType="separate"/>
        </w:r>
        <w:r w:rsidR="00561C46" w:rsidRPr="00927F27">
          <w:rPr>
            <w:bCs/>
            <w:webHidden/>
            <w:lang w:val="en-US"/>
          </w:rPr>
          <w:t>.</w:t>
        </w:r>
        <w:r w:rsidR="00830324" w:rsidRPr="00927F27">
          <w:rPr>
            <w:webHidden/>
          </w:rPr>
          <w:fldChar w:fldCharType="end"/>
        </w:r>
      </w:hyperlink>
      <w:r w:rsidRPr="00927F27">
        <w:t>1</w:t>
      </w:r>
      <w:r w:rsidR="00432240">
        <w:t>8</w:t>
      </w:r>
    </w:p>
    <w:p w:rsidR="00CF3658" w:rsidRDefault="00CF3658" w:rsidP="00CF3658">
      <w:pPr>
        <w:pStyle w:val="UnnumberedL1"/>
        <w:spacing w:after="120"/>
        <w:rPr>
          <w:b/>
        </w:rPr>
      </w:pPr>
    </w:p>
    <w:p w:rsidR="00CF3658" w:rsidRDefault="00CF3658" w:rsidP="00CF3658">
      <w:pPr>
        <w:pStyle w:val="UnnumberedL1"/>
        <w:spacing w:after="120"/>
        <w:rPr>
          <w:b/>
        </w:rPr>
      </w:pPr>
    </w:p>
    <w:p w:rsidR="00CF3658" w:rsidRDefault="00CF3658" w:rsidP="00CF3658">
      <w:pPr>
        <w:pStyle w:val="UnnumberedL1"/>
        <w:spacing w:after="120"/>
        <w:rPr>
          <w:b/>
        </w:rPr>
      </w:pPr>
    </w:p>
    <w:p w:rsidR="00CF3658" w:rsidRDefault="00CF3658" w:rsidP="00CF3658">
      <w:pPr>
        <w:pStyle w:val="UnnumberedL1"/>
        <w:spacing w:after="120"/>
        <w:rPr>
          <w:b/>
        </w:rPr>
      </w:pPr>
    </w:p>
    <w:p w:rsidR="00CF3658" w:rsidRDefault="00CF3658" w:rsidP="00CF3658">
      <w:pPr>
        <w:pStyle w:val="UnnumberedL1"/>
        <w:spacing w:after="120"/>
        <w:rPr>
          <w:b/>
        </w:rPr>
      </w:pPr>
    </w:p>
    <w:p w:rsidR="00CF3658" w:rsidRDefault="00CF3658" w:rsidP="00CF3658">
      <w:pPr>
        <w:pStyle w:val="UnnumberedL1"/>
        <w:spacing w:after="120"/>
        <w:rPr>
          <w:b/>
        </w:rPr>
      </w:pPr>
    </w:p>
    <w:p w:rsidR="00CF3658" w:rsidRDefault="00CF3658" w:rsidP="00CF3658">
      <w:pPr>
        <w:pStyle w:val="UnnumberedL1"/>
        <w:spacing w:after="120"/>
        <w:rPr>
          <w:b/>
        </w:rPr>
      </w:pPr>
    </w:p>
    <w:p w:rsidR="00CF3658" w:rsidRDefault="00CF3658" w:rsidP="00CF3658">
      <w:pPr>
        <w:pStyle w:val="UnnumberedL1"/>
        <w:spacing w:after="120"/>
        <w:rPr>
          <w:b/>
        </w:rPr>
      </w:pPr>
    </w:p>
    <w:p w:rsidR="00CF3658" w:rsidRDefault="00CF3658" w:rsidP="00CF3658">
      <w:pPr>
        <w:pStyle w:val="UnnumberedL1"/>
        <w:spacing w:after="120"/>
        <w:rPr>
          <w:b/>
        </w:rPr>
      </w:pPr>
    </w:p>
    <w:p w:rsidR="00CF3658" w:rsidRDefault="00CF3658" w:rsidP="00CF3658">
      <w:pPr>
        <w:pStyle w:val="UnnumberedL1"/>
        <w:spacing w:after="120"/>
        <w:rPr>
          <w:b/>
        </w:rPr>
      </w:pPr>
    </w:p>
    <w:p w:rsidR="00CF3658" w:rsidRDefault="00CF3658" w:rsidP="00CF3658">
      <w:pPr>
        <w:pStyle w:val="UnnumberedL1"/>
        <w:spacing w:after="120"/>
        <w:rPr>
          <w:b/>
        </w:rPr>
      </w:pPr>
    </w:p>
    <w:p w:rsidR="00CF3658" w:rsidRDefault="00CF3658" w:rsidP="00166C2E">
      <w:pPr>
        <w:pStyle w:val="UnnumberedL1"/>
        <w:rPr>
          <w:b/>
        </w:rPr>
      </w:pPr>
    </w:p>
    <w:p w:rsidR="00B85497" w:rsidRPr="008E3848" w:rsidRDefault="00CF3658" w:rsidP="00166C2E">
      <w:pPr>
        <w:pStyle w:val="UnnumberedL1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0817" w:rsidRPr="008177A0">
        <w:br w:type="page"/>
      </w:r>
      <w:r w:rsidR="00B85497" w:rsidRPr="008E3848">
        <w:t xml:space="preserve">Pursuant to Part 4 of the Commerce </w:t>
      </w:r>
      <w:r w:rsidR="00C1226C" w:rsidRPr="008E3848">
        <w:t>Act</w:t>
      </w:r>
      <w:r w:rsidR="00B85497" w:rsidRPr="008E3848">
        <w:t xml:space="preserve"> 1986, the Commerce Commission makes the following </w:t>
      </w:r>
      <w:r w:rsidR="0032280B" w:rsidRPr="008E3848">
        <w:t>determination</w:t>
      </w:r>
      <w:r w:rsidR="00B85497" w:rsidRPr="008E3848">
        <w:t>:</w:t>
      </w:r>
    </w:p>
    <w:p w:rsidR="00B85497" w:rsidRPr="00C257FB" w:rsidRDefault="00B85497" w:rsidP="00C257FB">
      <w:pPr>
        <w:pStyle w:val="Heading2"/>
      </w:pPr>
      <w:bookmarkStart w:id="8" w:name="_Toc333389672"/>
      <w:bookmarkStart w:id="9" w:name="_Toc340491878"/>
      <w:bookmarkStart w:id="10" w:name="_Toc369013994"/>
      <w:r w:rsidRPr="00C257FB">
        <w:t>Title</w:t>
      </w:r>
      <w:bookmarkEnd w:id="8"/>
      <w:bookmarkEnd w:id="9"/>
      <w:bookmarkEnd w:id="10"/>
    </w:p>
    <w:p w:rsidR="00B85497" w:rsidRPr="008E3848" w:rsidRDefault="00F10831" w:rsidP="00F10831">
      <w:pPr>
        <w:pStyle w:val="Para1"/>
        <w:numPr>
          <w:ilvl w:val="0"/>
          <w:numId w:val="0"/>
        </w:numPr>
        <w:ind w:left="709" w:hanging="709"/>
      </w:pPr>
      <w:r w:rsidRPr="008E3848">
        <w:t>1.</w:t>
      </w:r>
      <w:r w:rsidRPr="008E3848">
        <w:tab/>
      </w:r>
      <w:r w:rsidR="00B85497" w:rsidRPr="008E3848">
        <w:t xml:space="preserve">This </w:t>
      </w:r>
      <w:r w:rsidR="0032280B" w:rsidRPr="008E3848">
        <w:t>determination</w:t>
      </w:r>
      <w:r w:rsidR="00B85497" w:rsidRPr="008E3848">
        <w:t xml:space="preserve"> is the </w:t>
      </w:r>
      <w:r w:rsidR="00B37548" w:rsidRPr="008E3848">
        <w:t>Transpower</w:t>
      </w:r>
      <w:r w:rsidR="00227913" w:rsidRPr="008E3848">
        <w:t xml:space="preserve"> New Zealand </w:t>
      </w:r>
      <w:r w:rsidR="00B37548" w:rsidRPr="008E3848">
        <w:t>Information Disclosure</w:t>
      </w:r>
      <w:r w:rsidR="00B85497" w:rsidRPr="008E3848">
        <w:t xml:space="preserve"> </w:t>
      </w:r>
      <w:r w:rsidR="00401DA7" w:rsidRPr="008E3848">
        <w:t>Determination</w:t>
      </w:r>
      <w:r w:rsidR="00B85497" w:rsidRPr="008E3848">
        <w:t xml:space="preserve"> 201</w:t>
      </w:r>
      <w:r w:rsidR="00A62BF2" w:rsidRPr="008E3848">
        <w:t>4</w:t>
      </w:r>
      <w:r w:rsidR="00B85497" w:rsidRPr="008E3848">
        <w:t>.</w:t>
      </w:r>
    </w:p>
    <w:p w:rsidR="00B85497" w:rsidRPr="008E3848" w:rsidRDefault="00B85497" w:rsidP="00F10831">
      <w:pPr>
        <w:pStyle w:val="Heading0Chapter"/>
        <w:numPr>
          <w:ilvl w:val="0"/>
          <w:numId w:val="0"/>
        </w:numPr>
        <w:ind w:left="709" w:hanging="709"/>
        <w:rPr>
          <w:rFonts w:ascii="Calibri" w:hAnsi="Calibri"/>
        </w:rPr>
      </w:pPr>
      <w:bookmarkStart w:id="11" w:name="_Toc333389673"/>
      <w:bookmarkStart w:id="12" w:name="_Toc340491879"/>
      <w:bookmarkStart w:id="13" w:name="_Toc379540108"/>
      <w:r w:rsidRPr="008E3848">
        <w:rPr>
          <w:rFonts w:ascii="Calibri" w:hAnsi="Calibri"/>
        </w:rPr>
        <w:t>Commencement</w:t>
      </w:r>
      <w:bookmarkEnd w:id="11"/>
      <w:bookmarkEnd w:id="12"/>
      <w:bookmarkEnd w:id="13"/>
    </w:p>
    <w:p w:rsidR="00465218" w:rsidRPr="008E3848" w:rsidRDefault="00465218" w:rsidP="00F55E99">
      <w:pPr>
        <w:pStyle w:val="Para1"/>
        <w:numPr>
          <w:ilvl w:val="0"/>
          <w:numId w:val="21"/>
        </w:numPr>
        <w:ind w:hanging="720"/>
      </w:pPr>
      <w:bookmarkStart w:id="14" w:name="_Toc333389674"/>
      <w:bookmarkStart w:id="15" w:name="_Toc340491880"/>
      <w:r w:rsidRPr="008E3848">
        <w:t xml:space="preserve">This </w:t>
      </w:r>
      <w:r w:rsidR="0032280B" w:rsidRPr="008E3848">
        <w:t>determination</w:t>
      </w:r>
      <w:r w:rsidR="00632B58" w:rsidRPr="008E3848">
        <w:t xml:space="preserve"> takes effect on </w:t>
      </w:r>
      <w:r w:rsidR="00867DBD" w:rsidRPr="008E3848">
        <w:t>1 July 2014</w:t>
      </w:r>
      <w:r w:rsidRPr="008E3848">
        <w:t>.</w:t>
      </w:r>
    </w:p>
    <w:p w:rsidR="00B85497" w:rsidRPr="008E3848" w:rsidRDefault="00B85497" w:rsidP="00F10831">
      <w:pPr>
        <w:pStyle w:val="Heading0Chapter"/>
        <w:numPr>
          <w:ilvl w:val="0"/>
          <w:numId w:val="0"/>
        </w:numPr>
        <w:ind w:left="709" w:hanging="709"/>
        <w:rPr>
          <w:rFonts w:ascii="Calibri" w:hAnsi="Calibri"/>
        </w:rPr>
      </w:pPr>
      <w:bookmarkStart w:id="16" w:name="_Toc379540109"/>
      <w:r w:rsidRPr="008E3848">
        <w:rPr>
          <w:rFonts w:ascii="Calibri" w:hAnsi="Calibri"/>
        </w:rPr>
        <w:t>Application</w:t>
      </w:r>
      <w:bookmarkEnd w:id="14"/>
      <w:bookmarkEnd w:id="15"/>
      <w:bookmarkEnd w:id="16"/>
    </w:p>
    <w:p w:rsidR="00465218" w:rsidRPr="008E3848" w:rsidRDefault="00465218" w:rsidP="00F55E99">
      <w:pPr>
        <w:pStyle w:val="Para1"/>
        <w:numPr>
          <w:ilvl w:val="0"/>
          <w:numId w:val="21"/>
        </w:numPr>
        <w:ind w:hanging="720"/>
      </w:pPr>
      <w:bookmarkStart w:id="17" w:name="_Toc332792398"/>
      <w:bookmarkStart w:id="18" w:name="_Toc332792439"/>
      <w:bookmarkStart w:id="19" w:name="_Toc332792592"/>
      <w:bookmarkStart w:id="20" w:name="_Toc332793151"/>
      <w:bookmarkStart w:id="21" w:name="_Toc332793515"/>
      <w:bookmarkStart w:id="22" w:name="_Toc332810239"/>
      <w:bookmarkStart w:id="23" w:name="_Toc332874821"/>
      <w:bookmarkStart w:id="24" w:name="_Toc333389675"/>
      <w:bookmarkStart w:id="25" w:name="_Toc340491881"/>
      <w:bookmarkEnd w:id="17"/>
      <w:bookmarkEnd w:id="18"/>
      <w:bookmarkEnd w:id="19"/>
      <w:bookmarkEnd w:id="20"/>
      <w:bookmarkEnd w:id="21"/>
      <w:bookmarkEnd w:id="22"/>
      <w:bookmarkEnd w:id="23"/>
      <w:r w:rsidRPr="008E3848">
        <w:t xml:space="preserve">This </w:t>
      </w:r>
      <w:r w:rsidR="0032280B" w:rsidRPr="008E3848">
        <w:t>determination</w:t>
      </w:r>
      <w:r w:rsidRPr="008E3848">
        <w:t xml:space="preserve"> </w:t>
      </w:r>
      <w:r w:rsidR="00F726F7" w:rsidRPr="008E3848">
        <w:t xml:space="preserve">applies </w:t>
      </w:r>
      <w:r w:rsidR="00B37548" w:rsidRPr="008E3848">
        <w:t xml:space="preserve">to </w:t>
      </w:r>
      <w:r w:rsidR="00B37548" w:rsidRPr="008E3848">
        <w:rPr>
          <w:b/>
        </w:rPr>
        <w:t>Transpower</w:t>
      </w:r>
      <w:r w:rsidR="00B37548" w:rsidRPr="008E3848">
        <w:t xml:space="preserve"> </w:t>
      </w:r>
      <w:r w:rsidR="00C93CE6">
        <w:t xml:space="preserve">in </w:t>
      </w:r>
      <w:r w:rsidR="00F17650">
        <w:rPr>
          <w:rStyle w:val="Emphasis-Remove"/>
        </w:rPr>
        <w:t xml:space="preserve">relation to </w:t>
      </w:r>
      <w:r w:rsidR="00F726F7" w:rsidRPr="008E3848">
        <w:rPr>
          <w:rStyle w:val="Emphasis-Remove"/>
        </w:rPr>
        <w:t>the suppl</w:t>
      </w:r>
      <w:r w:rsidR="00F17650">
        <w:rPr>
          <w:rStyle w:val="Emphasis-Remove"/>
        </w:rPr>
        <w:t>y</w:t>
      </w:r>
      <w:r w:rsidR="00F726F7" w:rsidRPr="008E3848">
        <w:rPr>
          <w:rStyle w:val="Emphasis-Remove"/>
        </w:rPr>
        <w:t xml:space="preserve"> of </w:t>
      </w:r>
      <w:r w:rsidR="004854CB" w:rsidRPr="008E3848">
        <w:rPr>
          <w:rStyle w:val="Emphasis-Remove"/>
          <w:b/>
        </w:rPr>
        <w:t>electricity</w:t>
      </w:r>
      <w:r w:rsidR="00DE24EE" w:rsidRPr="008E3848">
        <w:rPr>
          <w:rStyle w:val="Emphasis-Remove"/>
          <w:b/>
        </w:rPr>
        <w:t xml:space="preserve"> </w:t>
      </w:r>
      <w:r w:rsidR="00726E58" w:rsidRPr="008E3848">
        <w:rPr>
          <w:rStyle w:val="Emphasis-Remove"/>
          <w:b/>
        </w:rPr>
        <w:t>lines services</w:t>
      </w:r>
      <w:r w:rsidRPr="008E3848">
        <w:t>.</w:t>
      </w:r>
    </w:p>
    <w:p w:rsidR="00B85497" w:rsidRPr="008E3848" w:rsidRDefault="00B85497" w:rsidP="00F10831">
      <w:pPr>
        <w:pStyle w:val="Heading0Chapter"/>
        <w:numPr>
          <w:ilvl w:val="0"/>
          <w:numId w:val="0"/>
        </w:numPr>
        <w:rPr>
          <w:rFonts w:ascii="Calibri" w:hAnsi="Calibri"/>
        </w:rPr>
      </w:pPr>
      <w:bookmarkStart w:id="26" w:name="_Toc379540110"/>
      <w:r w:rsidRPr="008E3848">
        <w:rPr>
          <w:rFonts w:ascii="Calibri" w:hAnsi="Calibri"/>
        </w:rPr>
        <w:t>Interpretation</w:t>
      </w:r>
      <w:bookmarkEnd w:id="24"/>
      <w:bookmarkEnd w:id="25"/>
      <w:bookmarkEnd w:id="26"/>
    </w:p>
    <w:p w:rsidR="003B3A31" w:rsidRPr="008E3848" w:rsidRDefault="001B7596" w:rsidP="00F55E99">
      <w:pPr>
        <w:pStyle w:val="Para1"/>
        <w:numPr>
          <w:ilvl w:val="0"/>
          <w:numId w:val="21"/>
        </w:numPr>
        <w:ind w:hanging="720"/>
      </w:pPr>
      <w:r w:rsidRPr="008E3848">
        <w:t>Unless the context otherwise requires—</w:t>
      </w:r>
    </w:p>
    <w:p w:rsidR="00A41D99" w:rsidRPr="0047704D" w:rsidRDefault="00A41D99" w:rsidP="00FF29AB">
      <w:pPr>
        <w:pStyle w:val="Para2"/>
        <w:tabs>
          <w:tab w:val="clear" w:pos="1843"/>
          <w:tab w:val="num" w:pos="1560"/>
        </w:tabs>
        <w:ind w:left="1560" w:hanging="851"/>
        <w:rPr>
          <w:rStyle w:val="Emphasis-Remove"/>
        </w:rPr>
      </w:pPr>
      <w:r w:rsidRPr="0047704D">
        <w:rPr>
          <w:rStyle w:val="Emphasis-Remove"/>
        </w:rPr>
        <w:t xml:space="preserve">words appearing in this determination in bold type </w:t>
      </w:r>
      <w:r w:rsidR="00D155FF" w:rsidRPr="0047704D">
        <w:rPr>
          <w:rStyle w:val="Emphasis-Remove"/>
        </w:rPr>
        <w:t xml:space="preserve">(except for headings) </w:t>
      </w:r>
      <w:r w:rsidRPr="0047704D">
        <w:rPr>
          <w:rStyle w:val="Emphasis-Remove"/>
        </w:rPr>
        <w:t>are defined terms and bear the mea</w:t>
      </w:r>
      <w:r w:rsidR="00827FB7" w:rsidRPr="0047704D">
        <w:rPr>
          <w:rStyle w:val="Emphasis-Remove"/>
        </w:rPr>
        <w:t>ning given in clause 6</w:t>
      </w:r>
      <w:r w:rsidRPr="0047704D">
        <w:rPr>
          <w:rStyle w:val="Emphasis-Remove"/>
        </w:rPr>
        <w:t>;</w:t>
      </w:r>
    </w:p>
    <w:p w:rsidR="00F10831" w:rsidRPr="0047704D" w:rsidRDefault="00F10831" w:rsidP="00FF29AB">
      <w:pPr>
        <w:pStyle w:val="Para2"/>
        <w:tabs>
          <w:tab w:val="clear" w:pos="1843"/>
          <w:tab w:val="num" w:pos="1560"/>
        </w:tabs>
        <w:ind w:left="1560" w:hanging="851"/>
        <w:rPr>
          <w:rStyle w:val="Emphasis-Remove"/>
        </w:rPr>
      </w:pPr>
      <w:r w:rsidRPr="0047704D">
        <w:t xml:space="preserve">terms used </w:t>
      </w:r>
      <w:r w:rsidRPr="0047704D">
        <w:rPr>
          <w:rStyle w:val="Emphasis-Remove"/>
        </w:rPr>
        <w:t xml:space="preserve">in the main body of this determination that are defined in the </w:t>
      </w:r>
      <w:r w:rsidRPr="007C48CD">
        <w:rPr>
          <w:rStyle w:val="Emphasis-Remove"/>
          <w:b/>
        </w:rPr>
        <w:t xml:space="preserve">Transpower </w:t>
      </w:r>
      <w:r w:rsidR="0077725F" w:rsidRPr="007C48CD">
        <w:rPr>
          <w:rStyle w:val="Emphasis-Remove"/>
          <w:b/>
        </w:rPr>
        <w:t>IM d</w:t>
      </w:r>
      <w:r w:rsidRPr="007C48CD">
        <w:rPr>
          <w:rStyle w:val="Emphasis-Remove"/>
          <w:b/>
        </w:rPr>
        <w:t>eterminations</w:t>
      </w:r>
      <w:r w:rsidRPr="0047704D">
        <w:rPr>
          <w:rStyle w:val="Emphasis-Remove"/>
        </w:rPr>
        <w:t xml:space="preserve"> but not in this determination have the same meaning  </w:t>
      </w:r>
      <w:r w:rsidR="00F17650">
        <w:rPr>
          <w:rStyle w:val="Emphasis-Remove"/>
        </w:rPr>
        <w:t xml:space="preserve">given </w:t>
      </w:r>
      <w:r w:rsidRPr="0047704D">
        <w:rPr>
          <w:rStyle w:val="Emphasis-Remove"/>
        </w:rPr>
        <w:t xml:space="preserve">in the </w:t>
      </w:r>
      <w:r w:rsidR="0077725F" w:rsidRPr="007C48CD">
        <w:rPr>
          <w:rStyle w:val="Emphasis-Remove"/>
          <w:b/>
        </w:rPr>
        <w:t>Transpower IM d</w:t>
      </w:r>
      <w:r w:rsidRPr="007C48CD">
        <w:rPr>
          <w:rStyle w:val="Emphasis-Remove"/>
          <w:b/>
        </w:rPr>
        <w:t>eterminations</w:t>
      </w:r>
      <w:r w:rsidRPr="0047704D">
        <w:rPr>
          <w:rStyle w:val="Emphasis-Remove"/>
        </w:rPr>
        <w:t>;</w:t>
      </w:r>
    </w:p>
    <w:p w:rsidR="008135B9" w:rsidRPr="0047704D" w:rsidRDefault="00F10831" w:rsidP="00FF29AB">
      <w:pPr>
        <w:pStyle w:val="Para2"/>
        <w:tabs>
          <w:tab w:val="clear" w:pos="1843"/>
          <w:tab w:val="num" w:pos="1560"/>
        </w:tabs>
        <w:ind w:left="1560" w:hanging="851"/>
      </w:pPr>
      <w:r w:rsidRPr="0047704D">
        <w:t xml:space="preserve">terms used in </w:t>
      </w:r>
      <w:r w:rsidRPr="0047704D">
        <w:rPr>
          <w:rStyle w:val="Emphasis-Remove"/>
        </w:rPr>
        <w:t>this determination</w:t>
      </w:r>
      <w:r w:rsidR="00184B9A" w:rsidRPr="0047704D">
        <w:rPr>
          <w:rStyle w:val="Emphasis-Remove"/>
        </w:rPr>
        <w:t xml:space="preserve"> </w:t>
      </w:r>
      <w:r w:rsidR="008135B9" w:rsidRPr="0047704D">
        <w:rPr>
          <w:rStyle w:val="Emphasis-Remove"/>
        </w:rPr>
        <w:t xml:space="preserve">that </w:t>
      </w:r>
      <w:r w:rsidRPr="0047704D">
        <w:rPr>
          <w:rStyle w:val="Emphasis-Remove"/>
        </w:rPr>
        <w:t xml:space="preserve">are defined in the </w:t>
      </w:r>
      <w:r w:rsidRPr="007C48CD">
        <w:rPr>
          <w:rStyle w:val="Emphasis-Remove"/>
          <w:b/>
        </w:rPr>
        <w:t>Act</w:t>
      </w:r>
      <w:r w:rsidR="00184B9A" w:rsidRPr="0047704D">
        <w:rPr>
          <w:rStyle w:val="Emphasis-Remove"/>
        </w:rPr>
        <w:t>,</w:t>
      </w:r>
      <w:r w:rsidRPr="0047704D">
        <w:rPr>
          <w:rStyle w:val="Emphasis-Remove"/>
        </w:rPr>
        <w:t xml:space="preserve"> but not in this determination or in the </w:t>
      </w:r>
      <w:r w:rsidR="0077725F" w:rsidRPr="007C48CD">
        <w:rPr>
          <w:rStyle w:val="Emphasis-Remove"/>
          <w:b/>
        </w:rPr>
        <w:t>Transpower IM d</w:t>
      </w:r>
      <w:r w:rsidRPr="007C48CD">
        <w:rPr>
          <w:rStyle w:val="Emphasis-Remove"/>
          <w:b/>
        </w:rPr>
        <w:t>eterminations</w:t>
      </w:r>
      <w:r w:rsidRPr="0047704D">
        <w:rPr>
          <w:rStyle w:val="Emphasis-Remove"/>
        </w:rPr>
        <w:t xml:space="preserve"> have the same meaning</w:t>
      </w:r>
      <w:r w:rsidR="009E3CFB">
        <w:rPr>
          <w:rStyle w:val="Emphasis-Remove"/>
        </w:rPr>
        <w:t xml:space="preserve"> given</w:t>
      </w:r>
      <w:r w:rsidRPr="0047704D">
        <w:rPr>
          <w:rStyle w:val="Emphasis-Remove"/>
        </w:rPr>
        <w:t xml:space="preserve"> in the </w:t>
      </w:r>
      <w:r w:rsidRPr="007C48CD">
        <w:rPr>
          <w:rStyle w:val="Emphasis-Remove"/>
          <w:b/>
        </w:rPr>
        <w:t>Act</w:t>
      </w:r>
      <w:r w:rsidRPr="0047704D">
        <w:rPr>
          <w:rStyle w:val="Emphasis-Remove"/>
        </w:rPr>
        <w:t>;</w:t>
      </w:r>
    </w:p>
    <w:p w:rsidR="00FF29AB" w:rsidRDefault="008135B9" w:rsidP="00FF29AB">
      <w:pPr>
        <w:pStyle w:val="Para2"/>
        <w:tabs>
          <w:tab w:val="clear" w:pos="1843"/>
          <w:tab w:val="num" w:pos="1560"/>
        </w:tabs>
        <w:ind w:left="1560" w:hanging="851"/>
      </w:pPr>
      <w:r w:rsidRPr="0047704D">
        <w:t xml:space="preserve">financial items must be measured and disclosed in accordance with </w:t>
      </w:r>
      <w:r w:rsidRPr="005562CF">
        <w:rPr>
          <w:b/>
        </w:rPr>
        <w:t>GAAP</w:t>
      </w:r>
      <w:r w:rsidRPr="0047704D">
        <w:t xml:space="preserve">, unless otherwise required by the </w:t>
      </w:r>
      <w:r w:rsidR="0077725F" w:rsidRPr="007C48CD">
        <w:rPr>
          <w:b/>
        </w:rPr>
        <w:t>IM d</w:t>
      </w:r>
      <w:r w:rsidRPr="007C48CD">
        <w:rPr>
          <w:b/>
        </w:rPr>
        <w:t>etermination</w:t>
      </w:r>
      <w:r w:rsidR="00956BB3" w:rsidRPr="007C48CD">
        <w:rPr>
          <w:b/>
        </w:rPr>
        <w:t>s</w:t>
      </w:r>
      <w:r w:rsidRPr="0047704D">
        <w:t xml:space="preserve"> </w:t>
      </w:r>
      <w:r w:rsidR="009208D5" w:rsidRPr="0047704D">
        <w:t>or this d</w:t>
      </w:r>
      <w:r w:rsidRPr="0047704D">
        <w:t>etermination;</w:t>
      </w:r>
    </w:p>
    <w:p w:rsidR="00F24016" w:rsidRPr="0047704D" w:rsidRDefault="00F24016" w:rsidP="00F24016">
      <w:pPr>
        <w:pStyle w:val="Para2"/>
        <w:numPr>
          <w:ilvl w:val="0"/>
          <w:numId w:val="0"/>
        </w:numPr>
        <w:ind w:left="1560" w:hanging="851"/>
        <w:rPr>
          <w:rStyle w:val="Emphasis-Remove"/>
        </w:rPr>
      </w:pPr>
      <w:r>
        <w:t>(e)</w:t>
      </w:r>
      <w:r>
        <w:tab/>
      </w:r>
      <w:proofErr w:type="gramStart"/>
      <w:r w:rsidR="00FF29AB" w:rsidRPr="0047704D">
        <w:t>non-financial</w:t>
      </w:r>
      <w:proofErr w:type="gramEnd"/>
      <w:r w:rsidR="006716CA">
        <w:rPr>
          <w:rStyle w:val="Emphasis-Remove"/>
        </w:rPr>
        <w:t xml:space="preserve"> </w:t>
      </w:r>
      <w:r w:rsidR="00FF29AB" w:rsidRPr="0047704D">
        <w:t>items must be measured and disclosed in accordance with standard industry practice unless otherwise required in this determination</w:t>
      </w:r>
      <w:r w:rsidR="00FF29AB">
        <w:t>;</w:t>
      </w:r>
    </w:p>
    <w:p w:rsidR="008135B9" w:rsidRPr="0047704D" w:rsidRDefault="00063773" w:rsidP="00B61934">
      <w:pPr>
        <w:pStyle w:val="Para2"/>
        <w:numPr>
          <w:ilvl w:val="2"/>
          <w:numId w:val="26"/>
        </w:numPr>
        <w:tabs>
          <w:tab w:val="clear" w:pos="1843"/>
          <w:tab w:val="num" w:pos="1560"/>
        </w:tabs>
        <w:ind w:left="1560" w:hanging="851"/>
        <w:rPr>
          <w:rStyle w:val="Emphasis-Remove"/>
        </w:rPr>
      </w:pPr>
      <w:r w:rsidRPr="0047704D">
        <w:rPr>
          <w:rStyle w:val="Emphasis-Remove"/>
        </w:rPr>
        <w:t>an obligation to do something is deemed to include an obligation to cause that thing to be done;</w:t>
      </w:r>
      <w:r w:rsidR="009208D5" w:rsidRPr="0047704D">
        <w:rPr>
          <w:rStyle w:val="Emphasis-Remove"/>
        </w:rPr>
        <w:t xml:space="preserve"> and</w:t>
      </w:r>
    </w:p>
    <w:p w:rsidR="001B7596" w:rsidRPr="0047704D" w:rsidRDefault="001B7596" w:rsidP="00FF29AB">
      <w:pPr>
        <w:pStyle w:val="Para2"/>
        <w:tabs>
          <w:tab w:val="clear" w:pos="1843"/>
          <w:tab w:val="num" w:pos="1560"/>
        </w:tabs>
        <w:ind w:hanging="1134"/>
      </w:pPr>
      <w:proofErr w:type="gramStart"/>
      <w:r w:rsidRPr="0047704D">
        <w:t>a</w:t>
      </w:r>
      <w:proofErr w:type="gramEnd"/>
      <w:r w:rsidRPr="0047704D">
        <w:t xml:space="preserve"> word which denotes the singular also de</w:t>
      </w:r>
      <w:r w:rsidR="009208D5" w:rsidRPr="0047704D">
        <w:t>notes the plural and vice versa.</w:t>
      </w:r>
    </w:p>
    <w:p w:rsidR="00184B9A" w:rsidRPr="008E3848" w:rsidRDefault="008135B9" w:rsidP="00F55E99">
      <w:pPr>
        <w:pStyle w:val="Para2"/>
        <w:numPr>
          <w:ilvl w:val="0"/>
          <w:numId w:val="21"/>
        </w:numPr>
        <w:ind w:hanging="720"/>
      </w:pPr>
      <w:bookmarkStart w:id="27" w:name="_Toc333389676"/>
      <w:bookmarkStart w:id="28" w:name="_Toc340491882"/>
      <w:r w:rsidRPr="008E3848">
        <w:t>I</w:t>
      </w:r>
      <w:r w:rsidR="007D004C" w:rsidRPr="008E3848">
        <w:t>f there is any inconsistency between the main body of this determination and any schedule to this determination, the main body of this determination prevails.</w:t>
      </w:r>
    </w:p>
    <w:p w:rsidR="00343876" w:rsidRPr="008E3848" w:rsidRDefault="00343876" w:rsidP="00F55E99">
      <w:pPr>
        <w:pStyle w:val="Para2"/>
        <w:numPr>
          <w:ilvl w:val="0"/>
          <w:numId w:val="21"/>
        </w:numPr>
        <w:ind w:hanging="720"/>
      </w:pPr>
      <w:r w:rsidRPr="008E3848">
        <w:t xml:space="preserve">In this </w:t>
      </w:r>
      <w:r w:rsidR="0032280B" w:rsidRPr="008E3848">
        <w:t>determination</w:t>
      </w:r>
      <w:r w:rsidRPr="008E3848">
        <w:t>—</w:t>
      </w:r>
      <w:r w:rsidR="001033FC" w:rsidRPr="008E3848">
        <w:t xml:space="preserve"> </w:t>
      </w:r>
    </w:p>
    <w:p w:rsidR="007D004C" w:rsidRPr="008E3848" w:rsidRDefault="00205FF5" w:rsidP="008135B9">
      <w:pPr>
        <w:pStyle w:val="Para1"/>
        <w:numPr>
          <w:ilvl w:val="0"/>
          <w:numId w:val="0"/>
        </w:numPr>
        <w:ind w:left="1418" w:hanging="709"/>
      </w:pPr>
      <w:r w:rsidRPr="008E3848">
        <w:rPr>
          <w:b/>
        </w:rPr>
        <w:t xml:space="preserve">Act </w:t>
      </w:r>
      <w:r w:rsidRPr="008E3848">
        <w:t>means the Commerce Act 1986</w:t>
      </w:r>
    </w:p>
    <w:p w:rsidR="006B040E" w:rsidRDefault="00184B9A" w:rsidP="00594B1A">
      <w:pPr>
        <w:pStyle w:val="Para1"/>
        <w:numPr>
          <w:ilvl w:val="0"/>
          <w:numId w:val="0"/>
        </w:numPr>
        <w:ind w:left="709"/>
      </w:pPr>
      <w:proofErr w:type="gramStart"/>
      <w:r>
        <w:rPr>
          <w:b/>
        </w:rPr>
        <w:t>au</w:t>
      </w:r>
      <w:r w:rsidR="006B040E" w:rsidRPr="008177A0">
        <w:rPr>
          <w:b/>
        </w:rPr>
        <w:t>dited</w:t>
      </w:r>
      <w:proofErr w:type="gramEnd"/>
      <w:r w:rsidR="006B040E" w:rsidRPr="008177A0">
        <w:rPr>
          <w:b/>
        </w:rPr>
        <w:t xml:space="preserve"> disclosure information </w:t>
      </w:r>
      <w:r w:rsidR="00594B1A">
        <w:t>means the information Transpower is required to publicly disclose</w:t>
      </w:r>
    </w:p>
    <w:p w:rsidR="006832EF" w:rsidRPr="006832EF" w:rsidRDefault="006832EF" w:rsidP="006832EF">
      <w:pPr>
        <w:pStyle w:val="Para1"/>
        <w:numPr>
          <w:ilvl w:val="0"/>
          <w:numId w:val="0"/>
        </w:numPr>
        <w:ind w:left="709"/>
      </w:pPr>
      <w:r w:rsidRPr="008177A0">
        <w:rPr>
          <w:b/>
        </w:rPr>
        <w:t xml:space="preserve">Capex IM </w:t>
      </w:r>
      <w:r w:rsidRPr="008177A0">
        <w:t xml:space="preserve">means the </w:t>
      </w:r>
      <w:r w:rsidR="00561C46">
        <w:t xml:space="preserve">Re </w:t>
      </w:r>
      <w:r w:rsidRPr="008177A0">
        <w:t xml:space="preserve">Transpower Capital Expenditure Input </w:t>
      </w:r>
      <w:r w:rsidR="00561C46">
        <w:t xml:space="preserve">Methodology Determination [2012] NZCC 2 </w:t>
      </w:r>
    </w:p>
    <w:p w:rsidR="00205FF5" w:rsidRPr="008E3848" w:rsidRDefault="00184B9A" w:rsidP="008135B9">
      <w:pPr>
        <w:pStyle w:val="Para1"/>
        <w:numPr>
          <w:ilvl w:val="0"/>
          <w:numId w:val="0"/>
        </w:numPr>
        <w:ind w:left="709"/>
      </w:pPr>
      <w:proofErr w:type="gramStart"/>
      <w:r w:rsidRPr="008E3848">
        <w:rPr>
          <w:b/>
        </w:rPr>
        <w:t>c</w:t>
      </w:r>
      <w:r w:rsidR="00205FF5" w:rsidRPr="008E3848">
        <w:rPr>
          <w:b/>
        </w:rPr>
        <w:t>ommencement</w:t>
      </w:r>
      <w:proofErr w:type="gramEnd"/>
      <w:r w:rsidR="00205FF5" w:rsidRPr="008E3848">
        <w:rPr>
          <w:b/>
        </w:rPr>
        <w:t xml:space="preserve"> date </w:t>
      </w:r>
      <w:r w:rsidR="00205FF5" w:rsidRPr="008E3848">
        <w:t xml:space="preserve">means </w:t>
      </w:r>
      <w:r w:rsidR="00B575DB" w:rsidRPr="008E3848">
        <w:t>01 July 2014</w:t>
      </w:r>
    </w:p>
    <w:p w:rsidR="00205FF5" w:rsidRPr="008E3848" w:rsidRDefault="00205FF5" w:rsidP="007D004C">
      <w:pPr>
        <w:pStyle w:val="Para1"/>
        <w:numPr>
          <w:ilvl w:val="0"/>
          <w:numId w:val="0"/>
        </w:numPr>
        <w:ind w:left="709"/>
      </w:pPr>
      <w:r w:rsidRPr="008E3848">
        <w:rPr>
          <w:b/>
        </w:rPr>
        <w:t xml:space="preserve">Commission </w:t>
      </w:r>
      <w:r w:rsidRPr="008E3848">
        <w:t>means the Commerce Commission</w:t>
      </w:r>
    </w:p>
    <w:p w:rsidR="006F0ABA" w:rsidRPr="008E3848" w:rsidRDefault="006F0ABA" w:rsidP="007D004C">
      <w:pPr>
        <w:pStyle w:val="Para1"/>
        <w:numPr>
          <w:ilvl w:val="0"/>
          <w:numId w:val="0"/>
        </w:numPr>
        <w:ind w:left="709"/>
      </w:pPr>
      <w:proofErr w:type="gramStart"/>
      <w:r w:rsidRPr="008E3848">
        <w:rPr>
          <w:b/>
        </w:rPr>
        <w:t>commissioned</w:t>
      </w:r>
      <w:proofErr w:type="gramEnd"/>
      <w:r w:rsidRPr="008E3848">
        <w:rPr>
          <w:b/>
        </w:rPr>
        <w:t xml:space="preserve"> </w:t>
      </w:r>
      <w:r>
        <w:t xml:space="preserve">has the meaning </w:t>
      </w:r>
      <w:r w:rsidR="000A1C73">
        <w:t xml:space="preserve">given </w:t>
      </w:r>
      <w:r>
        <w:t xml:space="preserve">in the </w:t>
      </w:r>
      <w:r w:rsidR="00FF0390">
        <w:rPr>
          <w:b/>
        </w:rPr>
        <w:t xml:space="preserve">Transpower IMs </w:t>
      </w:r>
      <w:r>
        <w:rPr>
          <w:b/>
        </w:rPr>
        <w:t>determination</w:t>
      </w:r>
      <w:r w:rsidRPr="008E3848">
        <w:t xml:space="preserve"> </w:t>
      </w:r>
    </w:p>
    <w:p w:rsidR="00205FF5" w:rsidRPr="008E3848" w:rsidRDefault="00184B9A" w:rsidP="007D004C">
      <w:pPr>
        <w:pStyle w:val="Para1"/>
        <w:numPr>
          <w:ilvl w:val="0"/>
          <w:numId w:val="0"/>
        </w:numPr>
        <w:ind w:left="709"/>
      </w:pPr>
      <w:proofErr w:type="gramStart"/>
      <w:r w:rsidRPr="008E3848">
        <w:rPr>
          <w:b/>
        </w:rPr>
        <w:t>d</w:t>
      </w:r>
      <w:r w:rsidR="00205FF5" w:rsidRPr="008E3848">
        <w:rPr>
          <w:b/>
        </w:rPr>
        <w:t>irector</w:t>
      </w:r>
      <w:proofErr w:type="gramEnd"/>
      <w:r w:rsidR="00205FF5" w:rsidRPr="008E3848">
        <w:rPr>
          <w:b/>
        </w:rPr>
        <w:t xml:space="preserve"> </w:t>
      </w:r>
      <w:r w:rsidR="00205FF5" w:rsidRPr="008E3848">
        <w:t xml:space="preserve">has the meaning </w:t>
      </w:r>
      <w:r w:rsidR="000A1C73">
        <w:t xml:space="preserve">given </w:t>
      </w:r>
      <w:r w:rsidR="00205FF5" w:rsidRPr="008E3848">
        <w:t>in the</w:t>
      </w:r>
      <w:r w:rsidR="00B575DB" w:rsidRPr="008E3848">
        <w:t xml:space="preserve"> </w:t>
      </w:r>
      <w:r w:rsidR="00FF0390">
        <w:rPr>
          <w:b/>
        </w:rPr>
        <w:t>Transpower IMs d</w:t>
      </w:r>
      <w:r w:rsidR="00B575DB" w:rsidRPr="008E3848">
        <w:rPr>
          <w:b/>
        </w:rPr>
        <w:t>etermination</w:t>
      </w:r>
    </w:p>
    <w:p w:rsidR="002B21F6" w:rsidRDefault="00184B9A" w:rsidP="00B575DB">
      <w:pPr>
        <w:pStyle w:val="Default"/>
        <w:ind w:left="709"/>
        <w:rPr>
          <w:rFonts w:ascii="Calibri" w:hAnsi="Calibri" w:cs="Calibri"/>
          <w:lang w:val="en-NZ" w:eastAsia="en-NZ"/>
        </w:rPr>
      </w:pPr>
      <w:proofErr w:type="gramStart"/>
      <w:r w:rsidRPr="008E3848">
        <w:rPr>
          <w:rFonts w:ascii="Calibri" w:hAnsi="Calibri"/>
          <w:b/>
        </w:rPr>
        <w:t>d</w:t>
      </w:r>
      <w:r w:rsidR="00B575DB" w:rsidRPr="008E3848">
        <w:rPr>
          <w:rFonts w:ascii="Calibri" w:hAnsi="Calibri"/>
          <w:b/>
        </w:rPr>
        <w:t>isclosure</w:t>
      </w:r>
      <w:proofErr w:type="gramEnd"/>
      <w:r w:rsidR="00B575DB" w:rsidRPr="008E3848">
        <w:rPr>
          <w:rFonts w:ascii="Calibri" w:hAnsi="Calibri"/>
          <w:b/>
        </w:rPr>
        <w:t xml:space="preserve"> year </w:t>
      </w:r>
      <w:r w:rsidR="00B575DB" w:rsidRPr="008177A0">
        <w:rPr>
          <w:rFonts w:ascii="Calibri" w:hAnsi="Calibri" w:cs="Calibri"/>
          <w:lang w:val="en-NZ" w:eastAsia="en-NZ"/>
        </w:rPr>
        <w:t xml:space="preserve">means </w:t>
      </w:r>
      <w:r w:rsidR="00680BFA" w:rsidRPr="008177A0">
        <w:rPr>
          <w:rFonts w:ascii="Calibri" w:hAnsi="Calibri" w:cs="Calibri"/>
          <w:lang w:val="en-NZ" w:eastAsia="en-NZ"/>
        </w:rPr>
        <w:t>the 12 month period ending on 30 June</w:t>
      </w:r>
      <w:r w:rsidR="00B575DB" w:rsidRPr="008177A0">
        <w:rPr>
          <w:rFonts w:ascii="Calibri" w:hAnsi="Calibri" w:cs="Calibri"/>
          <w:lang w:val="en-NZ" w:eastAsia="en-NZ"/>
        </w:rPr>
        <w:t xml:space="preserve"> of the year the disclosure relates to</w:t>
      </w:r>
    </w:p>
    <w:p w:rsidR="003B4624" w:rsidRDefault="003B4624" w:rsidP="00B575DB">
      <w:pPr>
        <w:pStyle w:val="Default"/>
        <w:ind w:left="709"/>
        <w:rPr>
          <w:rFonts w:ascii="Calibri" w:hAnsi="Calibri" w:cs="Calibri"/>
          <w:lang w:val="en-NZ" w:eastAsia="en-NZ"/>
        </w:rPr>
      </w:pPr>
    </w:p>
    <w:p w:rsidR="003B4624" w:rsidRDefault="003B4624" w:rsidP="00B575DB">
      <w:pPr>
        <w:pStyle w:val="Default"/>
        <w:ind w:left="709"/>
        <w:rPr>
          <w:rFonts w:ascii="Calibri" w:hAnsi="Calibri" w:cs="Calibri"/>
          <w:lang w:val="en-NZ" w:eastAsia="en-NZ"/>
        </w:rPr>
      </w:pPr>
      <w:r w:rsidRPr="003B4624">
        <w:rPr>
          <w:rFonts w:ascii="Calibri" w:hAnsi="Calibri" w:cs="Calibri"/>
          <w:b/>
          <w:lang w:val="en-NZ" w:eastAsia="en-NZ"/>
        </w:rPr>
        <w:t>Electricity Industry Participation Code</w:t>
      </w:r>
      <w:r>
        <w:rPr>
          <w:rFonts w:ascii="Calibri" w:hAnsi="Calibri" w:cs="Calibri"/>
          <w:lang w:val="en-NZ" w:eastAsia="en-NZ"/>
        </w:rPr>
        <w:t xml:space="preserve"> means </w:t>
      </w:r>
      <w:r w:rsidR="00940CF8">
        <w:rPr>
          <w:rFonts w:ascii="Calibri" w:hAnsi="Calibri" w:cs="Calibri"/>
          <w:lang w:val="en-NZ" w:eastAsia="en-NZ"/>
        </w:rPr>
        <w:t xml:space="preserve">the Code made </w:t>
      </w:r>
      <w:r w:rsidR="00C93CE6">
        <w:rPr>
          <w:rFonts w:ascii="Calibri" w:hAnsi="Calibri" w:cs="Calibri"/>
          <w:lang w:val="en-NZ" w:eastAsia="en-NZ"/>
        </w:rPr>
        <w:t xml:space="preserve">by the Electricity Authority </w:t>
      </w:r>
      <w:r w:rsidR="00940CF8">
        <w:rPr>
          <w:rFonts w:ascii="Calibri" w:hAnsi="Calibri" w:cs="Calibri"/>
          <w:lang w:val="en-NZ" w:eastAsia="en-NZ"/>
        </w:rPr>
        <w:t xml:space="preserve">under </w:t>
      </w:r>
      <w:r w:rsidR="00C93CE6">
        <w:rPr>
          <w:rFonts w:ascii="Calibri" w:hAnsi="Calibri" w:cs="Calibri"/>
          <w:lang w:val="en-NZ" w:eastAsia="en-NZ"/>
        </w:rPr>
        <w:t xml:space="preserve">section 36 of the Electricity Industry Act 2010 </w:t>
      </w:r>
    </w:p>
    <w:p w:rsidR="002B21F6" w:rsidRDefault="002B21F6" w:rsidP="00B575DB">
      <w:pPr>
        <w:pStyle w:val="Default"/>
        <w:ind w:left="709"/>
        <w:rPr>
          <w:rFonts w:ascii="Calibri" w:hAnsi="Calibri" w:cs="Calibri"/>
          <w:lang w:val="en-NZ" w:eastAsia="en-NZ"/>
        </w:rPr>
      </w:pPr>
    </w:p>
    <w:p w:rsidR="00B575DB" w:rsidRPr="002B21F6" w:rsidRDefault="002B21F6" w:rsidP="00B575DB">
      <w:pPr>
        <w:pStyle w:val="Default"/>
        <w:ind w:left="709"/>
        <w:rPr>
          <w:rFonts w:ascii="Calibri" w:hAnsi="Calibri" w:cs="Calibri"/>
          <w:b/>
          <w:lang w:val="en-NZ" w:eastAsia="en-NZ"/>
        </w:rPr>
      </w:pPr>
      <w:proofErr w:type="gramStart"/>
      <w:r w:rsidRPr="002B21F6">
        <w:rPr>
          <w:rFonts w:ascii="Calibri" w:hAnsi="Calibri" w:cs="Calibri"/>
          <w:b/>
          <w:lang w:val="en-NZ" w:eastAsia="en-NZ"/>
        </w:rPr>
        <w:t>electricity</w:t>
      </w:r>
      <w:proofErr w:type="gramEnd"/>
      <w:r w:rsidRPr="002B21F6">
        <w:rPr>
          <w:rFonts w:ascii="Calibri" w:hAnsi="Calibri" w:cs="Calibri"/>
          <w:b/>
          <w:lang w:val="en-NZ" w:eastAsia="en-NZ"/>
        </w:rPr>
        <w:t xml:space="preserve"> lines services</w:t>
      </w:r>
      <w:r w:rsidR="00B575DB" w:rsidRPr="002B21F6">
        <w:rPr>
          <w:rFonts w:ascii="Calibri" w:hAnsi="Calibri" w:cs="Calibri"/>
          <w:lang w:val="en-NZ" w:eastAsia="en-NZ"/>
        </w:rPr>
        <w:t xml:space="preserve"> </w:t>
      </w:r>
      <w:r w:rsidRPr="008E3848">
        <w:rPr>
          <w:rFonts w:ascii="Calibri" w:hAnsi="Calibri"/>
        </w:rPr>
        <w:t xml:space="preserve">has the meaning </w:t>
      </w:r>
      <w:r w:rsidR="00B24E8D">
        <w:rPr>
          <w:rFonts w:ascii="Calibri" w:hAnsi="Calibri"/>
        </w:rPr>
        <w:t xml:space="preserve">given </w:t>
      </w:r>
      <w:r w:rsidRPr="008E3848">
        <w:rPr>
          <w:rFonts w:ascii="Calibri" w:hAnsi="Calibri"/>
        </w:rPr>
        <w:t>in s</w:t>
      </w:r>
      <w:r w:rsidR="005923ED">
        <w:rPr>
          <w:rFonts w:ascii="Calibri" w:hAnsi="Calibri"/>
        </w:rPr>
        <w:t>ection</w:t>
      </w:r>
      <w:r w:rsidRPr="008E3848">
        <w:rPr>
          <w:rFonts w:ascii="Calibri" w:hAnsi="Calibri"/>
        </w:rPr>
        <w:t xml:space="preserve"> 54</w:t>
      </w:r>
      <w:r w:rsidR="00B24E8D">
        <w:rPr>
          <w:rFonts w:ascii="Calibri" w:hAnsi="Calibri"/>
        </w:rPr>
        <w:t>C</w:t>
      </w:r>
      <w:r w:rsidRPr="008E3848">
        <w:rPr>
          <w:rFonts w:ascii="Calibri" w:hAnsi="Calibri"/>
        </w:rPr>
        <w:t xml:space="preserve"> of the </w:t>
      </w:r>
      <w:r w:rsidRPr="008E3848">
        <w:rPr>
          <w:rFonts w:ascii="Calibri" w:hAnsi="Calibri"/>
          <w:b/>
        </w:rPr>
        <w:t>Act</w:t>
      </w:r>
    </w:p>
    <w:p w:rsidR="00B575DB" w:rsidRPr="008177A0" w:rsidRDefault="00B575DB" w:rsidP="00B575DB">
      <w:pPr>
        <w:pStyle w:val="Default"/>
        <w:ind w:left="709"/>
        <w:rPr>
          <w:rFonts w:ascii="Calibri" w:hAnsi="Calibri" w:cs="Calibri"/>
          <w:lang w:val="en-NZ" w:eastAsia="en-NZ"/>
        </w:rPr>
      </w:pPr>
    </w:p>
    <w:p w:rsidR="00B64457" w:rsidRPr="008177A0" w:rsidRDefault="00B64457" w:rsidP="007D004C">
      <w:pPr>
        <w:pStyle w:val="Para1"/>
        <w:numPr>
          <w:ilvl w:val="0"/>
          <w:numId w:val="0"/>
        </w:numPr>
        <w:ind w:left="709"/>
        <w:rPr>
          <w:b/>
        </w:rPr>
      </w:pPr>
      <w:r w:rsidRPr="008E3848">
        <w:rPr>
          <w:b/>
        </w:rPr>
        <w:t xml:space="preserve">GAAP </w:t>
      </w:r>
      <w:r w:rsidR="005B189A" w:rsidRPr="008E3848">
        <w:t xml:space="preserve">has the meaning </w:t>
      </w:r>
      <w:r w:rsidR="00C93CE6">
        <w:t xml:space="preserve">given </w:t>
      </w:r>
      <w:r w:rsidRPr="008E3848">
        <w:t xml:space="preserve">in the </w:t>
      </w:r>
      <w:r w:rsidRPr="008177A0">
        <w:rPr>
          <w:b/>
        </w:rPr>
        <w:t>Transpower IM determination</w:t>
      </w:r>
    </w:p>
    <w:p w:rsidR="006832EF" w:rsidRPr="006832EF" w:rsidRDefault="002615A8" w:rsidP="006832EF">
      <w:pPr>
        <w:pStyle w:val="Para1"/>
        <w:numPr>
          <w:ilvl w:val="0"/>
          <w:numId w:val="0"/>
        </w:numPr>
        <w:ind w:left="709"/>
      </w:pPr>
      <w:r>
        <w:rPr>
          <w:b/>
        </w:rPr>
        <w:t>IM</w:t>
      </w:r>
      <w:r w:rsidR="003C707C">
        <w:rPr>
          <w:b/>
        </w:rPr>
        <w:t>s</w:t>
      </w:r>
      <w:r w:rsidR="006832EF">
        <w:rPr>
          <w:b/>
        </w:rPr>
        <w:t xml:space="preserve"> </w:t>
      </w:r>
      <w:r w:rsidR="006832EF" w:rsidRPr="008177A0">
        <w:t xml:space="preserve">means the </w:t>
      </w:r>
      <w:r w:rsidR="003C707C" w:rsidRPr="00FF0390">
        <w:rPr>
          <w:b/>
        </w:rPr>
        <w:t xml:space="preserve">Transpower </w:t>
      </w:r>
      <w:r w:rsidR="006832EF">
        <w:rPr>
          <w:b/>
        </w:rPr>
        <w:t>IM</w:t>
      </w:r>
      <w:r w:rsidR="00FF0390">
        <w:rPr>
          <w:b/>
        </w:rPr>
        <w:t>s</w:t>
      </w:r>
      <w:r w:rsidR="006832EF" w:rsidRPr="008177A0">
        <w:rPr>
          <w:b/>
        </w:rPr>
        <w:t xml:space="preserve"> </w:t>
      </w:r>
      <w:r w:rsidR="006832EF" w:rsidRPr="008177A0">
        <w:t xml:space="preserve">and the </w:t>
      </w:r>
      <w:r w:rsidR="006832EF" w:rsidRPr="006832EF">
        <w:rPr>
          <w:b/>
        </w:rPr>
        <w:t xml:space="preserve">Capex </w:t>
      </w:r>
      <w:r w:rsidR="006832EF" w:rsidRPr="008177A0">
        <w:rPr>
          <w:b/>
        </w:rPr>
        <w:t xml:space="preserve">IM </w:t>
      </w:r>
      <w:r w:rsidR="006832EF" w:rsidRPr="008177A0">
        <w:t>taken together</w:t>
      </w:r>
    </w:p>
    <w:p w:rsidR="00B64457" w:rsidRPr="008177A0" w:rsidRDefault="00184B9A" w:rsidP="00B64457">
      <w:pPr>
        <w:pStyle w:val="Default"/>
        <w:ind w:firstLine="709"/>
        <w:rPr>
          <w:rFonts w:ascii="Calibri" w:hAnsi="Calibri" w:cs="Calibri"/>
          <w:lang w:val="en-NZ" w:eastAsia="en-NZ"/>
        </w:rPr>
      </w:pPr>
      <w:proofErr w:type="gramStart"/>
      <w:r w:rsidRPr="008E3848">
        <w:rPr>
          <w:rFonts w:ascii="Calibri" w:hAnsi="Calibri"/>
          <w:b/>
        </w:rPr>
        <w:t>i</w:t>
      </w:r>
      <w:r w:rsidR="00B64457" w:rsidRPr="008E3848">
        <w:rPr>
          <w:rFonts w:ascii="Calibri" w:hAnsi="Calibri"/>
          <w:b/>
        </w:rPr>
        <w:t>ndependent</w:t>
      </w:r>
      <w:proofErr w:type="gramEnd"/>
      <w:r w:rsidR="00B64457" w:rsidRPr="008E3848">
        <w:rPr>
          <w:rFonts w:ascii="Calibri" w:hAnsi="Calibri"/>
          <w:b/>
        </w:rPr>
        <w:t xml:space="preserve"> auditor </w:t>
      </w:r>
      <w:r w:rsidR="00B64457" w:rsidRPr="008177A0">
        <w:rPr>
          <w:rFonts w:ascii="Calibri" w:hAnsi="Calibri" w:cs="Calibri"/>
          <w:lang w:val="en-NZ" w:eastAsia="en-NZ"/>
        </w:rPr>
        <w:t>means a person who-</w:t>
      </w:r>
    </w:p>
    <w:p w:rsidR="00B64457" w:rsidRPr="008177A0" w:rsidRDefault="00B64457" w:rsidP="00B64457">
      <w:pPr>
        <w:pStyle w:val="Default"/>
        <w:ind w:firstLine="709"/>
        <w:rPr>
          <w:rFonts w:ascii="Calibri" w:hAnsi="Calibri" w:cs="Calibri"/>
          <w:lang w:val="en-NZ" w:eastAsia="en-NZ"/>
        </w:rPr>
      </w:pPr>
    </w:p>
    <w:p w:rsidR="00B64457" w:rsidRPr="008177A0" w:rsidRDefault="008135B9" w:rsidP="00F55E99">
      <w:pPr>
        <w:pStyle w:val="Para2"/>
        <w:numPr>
          <w:ilvl w:val="0"/>
          <w:numId w:val="22"/>
        </w:numPr>
        <w:ind w:left="1560" w:hanging="851"/>
      </w:pPr>
      <w:r w:rsidRPr="008177A0">
        <w:t xml:space="preserve">  </w:t>
      </w:r>
      <w:r w:rsidR="003174B3">
        <w:t xml:space="preserve"> </w:t>
      </w:r>
      <w:r w:rsidR="00B64457" w:rsidRPr="008177A0">
        <w:t>is qualified for appointment as auditor of a compa</w:t>
      </w:r>
      <w:r w:rsidR="0077725F">
        <w:t>ny under the Companies Act 1993;</w:t>
      </w:r>
    </w:p>
    <w:p w:rsidR="008135B9" w:rsidRPr="008177A0" w:rsidRDefault="008135B9" w:rsidP="00F55E99">
      <w:pPr>
        <w:pStyle w:val="Para2"/>
        <w:numPr>
          <w:ilvl w:val="0"/>
          <w:numId w:val="22"/>
        </w:numPr>
        <w:ind w:left="1560" w:hanging="851"/>
      </w:pPr>
      <w:r w:rsidRPr="008177A0">
        <w:rPr>
          <w:rFonts w:cs="Calibri"/>
          <w:color w:val="000000"/>
        </w:rPr>
        <w:t xml:space="preserve">  has no rel</w:t>
      </w:r>
      <w:r w:rsidR="00956BB3" w:rsidRPr="008177A0">
        <w:rPr>
          <w:rFonts w:cs="Calibri"/>
          <w:color w:val="000000"/>
        </w:rPr>
        <w:t xml:space="preserve">ationship with, or interest in </w:t>
      </w:r>
      <w:r w:rsidRPr="008177A0">
        <w:rPr>
          <w:rFonts w:cs="Calibri"/>
          <w:b/>
          <w:color w:val="000000"/>
        </w:rPr>
        <w:t xml:space="preserve">Transpower </w:t>
      </w:r>
      <w:r w:rsidRPr="008177A0">
        <w:rPr>
          <w:rFonts w:cs="Calibri"/>
          <w:color w:val="000000"/>
        </w:rPr>
        <w:t>that is likely to involve a conflict of interest;</w:t>
      </w:r>
    </w:p>
    <w:p w:rsidR="008135B9" w:rsidRPr="008177A0" w:rsidRDefault="008135B9" w:rsidP="00F55E99">
      <w:pPr>
        <w:pStyle w:val="Para2"/>
        <w:numPr>
          <w:ilvl w:val="0"/>
          <w:numId w:val="22"/>
        </w:numPr>
        <w:ind w:left="1560" w:hanging="851"/>
      </w:pPr>
      <w:r w:rsidRPr="008177A0">
        <w:rPr>
          <w:rFonts w:cs="Calibri"/>
          <w:color w:val="000000"/>
        </w:rPr>
        <w:t xml:space="preserve">   has not assisted with the compilation of the </w:t>
      </w:r>
      <w:r w:rsidRPr="003174B3">
        <w:rPr>
          <w:rFonts w:cs="Calibri"/>
          <w:b/>
          <w:color w:val="000000"/>
        </w:rPr>
        <w:t>information</w:t>
      </w:r>
      <w:r w:rsidRPr="008177A0">
        <w:rPr>
          <w:rFonts w:cs="Calibri"/>
          <w:color w:val="000000"/>
        </w:rPr>
        <w:t xml:space="preserve"> or provided advice or opinions (other than in relation to audit reports) on the methodologies or processes used in compiling the </w:t>
      </w:r>
      <w:r w:rsidRPr="003174B3">
        <w:rPr>
          <w:rFonts w:cs="Calibri"/>
          <w:b/>
          <w:color w:val="000000"/>
        </w:rPr>
        <w:t>information</w:t>
      </w:r>
      <w:r w:rsidRPr="008177A0">
        <w:rPr>
          <w:rFonts w:cs="Calibri"/>
          <w:color w:val="000000"/>
        </w:rPr>
        <w:t>; and</w:t>
      </w:r>
    </w:p>
    <w:p w:rsidR="00B64457" w:rsidRPr="008177A0" w:rsidRDefault="008135B9" w:rsidP="00F55E99">
      <w:pPr>
        <w:pStyle w:val="Para2"/>
        <w:numPr>
          <w:ilvl w:val="0"/>
          <w:numId w:val="22"/>
        </w:numPr>
        <w:ind w:left="1560" w:hanging="851"/>
      </w:pPr>
      <w:r w:rsidRPr="008177A0">
        <w:rPr>
          <w:rFonts w:cs="Calibri"/>
          <w:color w:val="000000"/>
        </w:rPr>
        <w:t xml:space="preserve">   </w:t>
      </w:r>
      <w:proofErr w:type="gramStart"/>
      <w:r w:rsidR="00B64457" w:rsidRPr="008177A0">
        <w:rPr>
          <w:rFonts w:cs="Calibri"/>
          <w:color w:val="000000"/>
        </w:rPr>
        <w:t>is</w:t>
      </w:r>
      <w:proofErr w:type="gramEnd"/>
      <w:r w:rsidR="00B64457" w:rsidRPr="008177A0">
        <w:rPr>
          <w:rFonts w:cs="Calibri"/>
          <w:color w:val="000000"/>
        </w:rPr>
        <w:t xml:space="preserve"> not associated with nor directed by any person who has provided any such assistance, advice, or opinion</w:t>
      </w:r>
      <w:r w:rsidR="002B2F2F" w:rsidRPr="008177A0">
        <w:rPr>
          <w:rFonts w:cs="Calibri"/>
          <w:color w:val="000000"/>
        </w:rPr>
        <w:t>.</w:t>
      </w:r>
      <w:r w:rsidR="00B64457" w:rsidRPr="008177A0">
        <w:rPr>
          <w:rFonts w:cs="Calibri"/>
          <w:color w:val="000000"/>
        </w:rPr>
        <w:t xml:space="preserve"> </w:t>
      </w:r>
    </w:p>
    <w:p w:rsidR="003174B3" w:rsidRPr="003174B3" w:rsidRDefault="0052467C" w:rsidP="003174B3">
      <w:pPr>
        <w:pStyle w:val="Default"/>
        <w:ind w:left="709"/>
        <w:rPr>
          <w:rFonts w:ascii="Calibri" w:hAnsi="Calibri" w:cs="Calibri"/>
          <w:bCs/>
          <w:lang w:val="en-NZ" w:eastAsia="en-NZ"/>
        </w:rPr>
      </w:pPr>
      <w:proofErr w:type="gramStart"/>
      <w:r>
        <w:rPr>
          <w:rFonts w:ascii="Calibri" w:hAnsi="Calibri" w:cs="Calibri"/>
          <w:b/>
          <w:bCs/>
          <w:lang w:val="en-NZ" w:eastAsia="en-NZ"/>
        </w:rPr>
        <w:t>i</w:t>
      </w:r>
      <w:r w:rsidR="003174B3">
        <w:rPr>
          <w:rFonts w:ascii="Calibri" w:hAnsi="Calibri" w:cs="Calibri"/>
          <w:b/>
          <w:bCs/>
          <w:lang w:val="en-NZ" w:eastAsia="en-NZ"/>
        </w:rPr>
        <w:t>nformation</w:t>
      </w:r>
      <w:proofErr w:type="gramEnd"/>
      <w:r w:rsidR="003174B3">
        <w:rPr>
          <w:rFonts w:ascii="Calibri" w:hAnsi="Calibri" w:cs="Calibri"/>
          <w:bCs/>
          <w:lang w:val="en-NZ" w:eastAsia="en-NZ"/>
        </w:rPr>
        <w:t xml:space="preserve"> means the information required to be </w:t>
      </w:r>
      <w:r w:rsidR="003174B3" w:rsidRPr="003174B3">
        <w:rPr>
          <w:rFonts w:ascii="Calibri" w:hAnsi="Calibri" w:cs="Calibri"/>
          <w:b/>
          <w:bCs/>
          <w:lang w:val="en-NZ" w:eastAsia="en-NZ"/>
        </w:rPr>
        <w:t>publicly disclosed</w:t>
      </w:r>
      <w:r w:rsidR="003174B3">
        <w:rPr>
          <w:rFonts w:ascii="Calibri" w:hAnsi="Calibri" w:cs="Calibri"/>
          <w:b/>
          <w:bCs/>
          <w:lang w:val="en-NZ" w:eastAsia="en-NZ"/>
        </w:rPr>
        <w:t xml:space="preserve"> </w:t>
      </w:r>
      <w:r w:rsidR="003174B3">
        <w:rPr>
          <w:rFonts w:ascii="Calibri" w:hAnsi="Calibri" w:cs="Calibri"/>
          <w:bCs/>
          <w:lang w:val="en-NZ" w:eastAsia="en-NZ"/>
        </w:rPr>
        <w:t xml:space="preserve">under this determination </w:t>
      </w:r>
    </w:p>
    <w:p w:rsidR="003174B3" w:rsidRPr="003174B3" w:rsidRDefault="003174B3" w:rsidP="00607FBC">
      <w:pPr>
        <w:pStyle w:val="Default"/>
        <w:ind w:firstLine="709"/>
        <w:rPr>
          <w:rFonts w:ascii="Calibri" w:hAnsi="Calibri" w:cs="Calibri"/>
          <w:bCs/>
          <w:lang w:val="en-NZ" w:eastAsia="en-NZ"/>
        </w:rPr>
      </w:pPr>
    </w:p>
    <w:p w:rsidR="00F10831" w:rsidRPr="008177A0" w:rsidRDefault="00184B9A" w:rsidP="00607FBC">
      <w:pPr>
        <w:pStyle w:val="Default"/>
        <w:ind w:firstLine="709"/>
        <w:rPr>
          <w:rFonts w:ascii="Calibri" w:hAnsi="Calibri" w:cs="Calibri"/>
          <w:lang w:val="en-NZ" w:eastAsia="en-NZ"/>
        </w:rPr>
      </w:pPr>
      <w:proofErr w:type="gramStart"/>
      <w:r>
        <w:rPr>
          <w:rFonts w:ascii="Calibri" w:hAnsi="Calibri" w:cs="Calibri"/>
          <w:b/>
          <w:bCs/>
          <w:lang w:val="en-NZ" w:eastAsia="en-NZ"/>
        </w:rPr>
        <w:t>p</w:t>
      </w:r>
      <w:r w:rsidR="00F10831" w:rsidRPr="008177A0">
        <w:rPr>
          <w:rFonts w:ascii="Calibri" w:hAnsi="Calibri" w:cs="Calibri"/>
          <w:b/>
          <w:bCs/>
          <w:lang w:val="en-NZ" w:eastAsia="en-NZ"/>
        </w:rPr>
        <w:t>ublicly</w:t>
      </w:r>
      <w:proofErr w:type="gramEnd"/>
      <w:r w:rsidR="00F10831" w:rsidRPr="008177A0">
        <w:rPr>
          <w:rFonts w:ascii="Calibri" w:hAnsi="Calibri" w:cs="Calibri"/>
          <w:b/>
          <w:bCs/>
          <w:lang w:val="en-NZ" w:eastAsia="en-NZ"/>
        </w:rPr>
        <w:t xml:space="preserve"> disclose </w:t>
      </w:r>
      <w:r w:rsidR="00F10831" w:rsidRPr="008177A0">
        <w:rPr>
          <w:rFonts w:ascii="Calibri" w:hAnsi="Calibri" w:cs="Calibri"/>
          <w:lang w:val="en-NZ" w:eastAsia="en-NZ"/>
        </w:rPr>
        <w:t xml:space="preserve">in relation to any </w:t>
      </w:r>
      <w:r w:rsidR="00F10831" w:rsidRPr="0064355F">
        <w:rPr>
          <w:rFonts w:ascii="Calibri" w:hAnsi="Calibri" w:cs="Calibri"/>
          <w:b/>
          <w:lang w:val="en-NZ" w:eastAsia="en-NZ"/>
        </w:rPr>
        <w:t>information</w:t>
      </w:r>
      <w:r w:rsidR="00F10831" w:rsidRPr="008177A0">
        <w:rPr>
          <w:rFonts w:ascii="Calibri" w:hAnsi="Calibri" w:cs="Calibri"/>
          <w:lang w:val="en-NZ" w:eastAsia="en-NZ"/>
        </w:rPr>
        <w:t>, means to-</w:t>
      </w:r>
    </w:p>
    <w:p w:rsidR="00F10831" w:rsidRPr="008177A0" w:rsidRDefault="00F10831" w:rsidP="00F10831">
      <w:pPr>
        <w:pStyle w:val="Default"/>
        <w:rPr>
          <w:rFonts w:ascii="Calibri" w:hAnsi="Calibri" w:cs="Calibri"/>
          <w:lang w:val="en-NZ" w:eastAsia="en-NZ"/>
        </w:rPr>
      </w:pPr>
      <w:r w:rsidRPr="008177A0">
        <w:rPr>
          <w:rFonts w:ascii="Calibri" w:hAnsi="Calibri" w:cs="Calibri"/>
          <w:lang w:val="en-NZ" w:eastAsia="en-NZ"/>
        </w:rPr>
        <w:t xml:space="preserve"> </w:t>
      </w:r>
    </w:p>
    <w:p w:rsidR="00C221EF" w:rsidRPr="008177A0" w:rsidRDefault="008135B9" w:rsidP="00C221EF">
      <w:pPr>
        <w:pStyle w:val="Para3"/>
        <w:numPr>
          <w:ilvl w:val="0"/>
          <w:numId w:val="0"/>
        </w:numPr>
        <w:ind w:left="1559" w:hanging="850"/>
      </w:pPr>
      <w:r w:rsidRPr="008177A0">
        <w:t>(a)</w:t>
      </w:r>
      <w:r w:rsidRPr="008177A0">
        <w:tab/>
      </w:r>
      <w:proofErr w:type="gramStart"/>
      <w:r w:rsidR="00F10831" w:rsidRPr="008177A0">
        <w:t>disclose</w:t>
      </w:r>
      <w:proofErr w:type="gramEnd"/>
      <w:r w:rsidR="00F10831" w:rsidRPr="008177A0">
        <w:t xml:space="preserve"> the </w:t>
      </w:r>
      <w:r w:rsidR="00F10831" w:rsidRPr="0064355F">
        <w:rPr>
          <w:b/>
        </w:rPr>
        <w:t>information</w:t>
      </w:r>
      <w:r w:rsidR="00F10831" w:rsidRPr="008177A0">
        <w:t xml:space="preserve"> to th</w:t>
      </w:r>
      <w:r w:rsidR="00594B1A">
        <w:t>e public on the i</w:t>
      </w:r>
      <w:r w:rsidR="00956BB3" w:rsidRPr="008177A0">
        <w:t xml:space="preserve">nternet at </w:t>
      </w:r>
      <w:r w:rsidR="00956BB3" w:rsidRPr="008177A0">
        <w:rPr>
          <w:b/>
        </w:rPr>
        <w:t>Transpower’s</w:t>
      </w:r>
      <w:r w:rsidR="00956BB3" w:rsidRPr="008177A0">
        <w:t xml:space="preserve"> </w:t>
      </w:r>
      <w:r w:rsidR="00F10831" w:rsidRPr="008177A0">
        <w:t>usual publicly accessible website;</w:t>
      </w:r>
    </w:p>
    <w:p w:rsidR="00C221EF" w:rsidRPr="008177A0" w:rsidRDefault="00C221EF" w:rsidP="00F55E99">
      <w:pPr>
        <w:pStyle w:val="Para3"/>
        <w:numPr>
          <w:ilvl w:val="0"/>
          <w:numId w:val="23"/>
        </w:numPr>
        <w:ind w:left="1560" w:hanging="851"/>
      </w:pPr>
      <w:r w:rsidRPr="008177A0">
        <w:rPr>
          <w:rFonts w:cs="Calibri"/>
          <w:color w:val="000000"/>
        </w:rPr>
        <w:t xml:space="preserve">  </w:t>
      </w:r>
      <w:r w:rsidR="00F10831" w:rsidRPr="008177A0">
        <w:rPr>
          <w:rFonts w:cs="Calibri"/>
          <w:color w:val="000000"/>
        </w:rPr>
        <w:t xml:space="preserve">make copies of the </w:t>
      </w:r>
      <w:r w:rsidR="00F10831" w:rsidRPr="0064355F">
        <w:rPr>
          <w:rFonts w:cs="Calibri"/>
          <w:b/>
          <w:color w:val="000000"/>
        </w:rPr>
        <w:t>information</w:t>
      </w:r>
      <w:r w:rsidR="00F10831" w:rsidRPr="008177A0">
        <w:rPr>
          <w:rFonts w:cs="Calibri"/>
          <w:color w:val="000000"/>
        </w:rPr>
        <w:t xml:space="preserve"> available for </w:t>
      </w:r>
      <w:r w:rsidR="003174B3">
        <w:rPr>
          <w:rFonts w:cs="Calibri"/>
          <w:color w:val="000000"/>
        </w:rPr>
        <w:t xml:space="preserve">inspection by any person during </w:t>
      </w:r>
      <w:r w:rsidR="00F10831" w:rsidRPr="008177A0">
        <w:rPr>
          <w:rFonts w:cs="Calibri"/>
          <w:color w:val="000000"/>
        </w:rPr>
        <w:t>ordinary office hours,</w:t>
      </w:r>
      <w:r w:rsidR="00867209" w:rsidRPr="008177A0">
        <w:rPr>
          <w:rFonts w:cs="Calibri"/>
          <w:color w:val="000000"/>
        </w:rPr>
        <w:t xml:space="preserve"> at the principal office of </w:t>
      </w:r>
      <w:r w:rsidR="00867209" w:rsidRPr="008177A0">
        <w:rPr>
          <w:rFonts w:cs="Calibri"/>
          <w:b/>
          <w:color w:val="000000"/>
        </w:rPr>
        <w:t>Transpower</w:t>
      </w:r>
      <w:r w:rsidRPr="008177A0">
        <w:rPr>
          <w:rFonts w:cs="Calibri"/>
          <w:color w:val="000000"/>
        </w:rPr>
        <w:t>;</w:t>
      </w:r>
      <w:r w:rsidR="00C93CE6">
        <w:rPr>
          <w:rFonts w:cs="Calibri"/>
          <w:color w:val="000000"/>
        </w:rPr>
        <w:t xml:space="preserve"> and</w:t>
      </w:r>
    </w:p>
    <w:p w:rsidR="00C221EF" w:rsidRPr="008177A0" w:rsidRDefault="00C221EF" w:rsidP="00F55E99">
      <w:pPr>
        <w:pStyle w:val="Para3"/>
        <w:numPr>
          <w:ilvl w:val="0"/>
          <w:numId w:val="23"/>
        </w:numPr>
        <w:ind w:left="1560" w:hanging="851"/>
      </w:pPr>
      <w:r w:rsidRPr="008177A0">
        <w:rPr>
          <w:rFonts w:cs="Calibri"/>
          <w:color w:val="000000"/>
        </w:rPr>
        <w:t xml:space="preserve">  </w:t>
      </w:r>
      <w:r w:rsidR="003174B3">
        <w:rPr>
          <w:rFonts w:cs="Calibri"/>
          <w:color w:val="000000"/>
        </w:rPr>
        <w:t xml:space="preserve"> </w:t>
      </w:r>
      <w:r w:rsidR="00F10831" w:rsidRPr="008177A0">
        <w:rPr>
          <w:rFonts w:cs="Calibri"/>
          <w:color w:val="000000"/>
        </w:rPr>
        <w:t xml:space="preserve">within 10 working days of being requested to do so by any person, provide that person with a copy of the </w:t>
      </w:r>
      <w:r w:rsidR="00F10831" w:rsidRPr="0064355F">
        <w:rPr>
          <w:rFonts w:cs="Calibri"/>
          <w:b/>
          <w:color w:val="000000"/>
        </w:rPr>
        <w:t>information</w:t>
      </w:r>
      <w:r w:rsidR="00F10831" w:rsidRPr="008177A0">
        <w:rPr>
          <w:rFonts w:cs="Calibri"/>
          <w:color w:val="000000"/>
        </w:rPr>
        <w:t>, either by post or for collection (during ordinary office hours) from that principal office, whichever the person prefers; and</w:t>
      </w:r>
    </w:p>
    <w:p w:rsidR="00944B16" w:rsidRPr="00944B16" w:rsidRDefault="00944B16" w:rsidP="00205FF5">
      <w:pPr>
        <w:pStyle w:val="Para1"/>
        <w:numPr>
          <w:ilvl w:val="0"/>
          <w:numId w:val="0"/>
        </w:numPr>
        <w:ind w:left="709"/>
      </w:pPr>
      <w:proofErr w:type="gramStart"/>
      <w:r>
        <w:rPr>
          <w:b/>
        </w:rPr>
        <w:t>related</w:t>
      </w:r>
      <w:proofErr w:type="gramEnd"/>
      <w:r>
        <w:rPr>
          <w:b/>
        </w:rPr>
        <w:t xml:space="preserve"> party </w:t>
      </w:r>
      <w:r>
        <w:t xml:space="preserve">has the meaning </w:t>
      </w:r>
      <w:r w:rsidR="00157429">
        <w:t xml:space="preserve">given </w:t>
      </w:r>
      <w:r>
        <w:t xml:space="preserve">in the </w:t>
      </w:r>
      <w:r>
        <w:rPr>
          <w:b/>
        </w:rPr>
        <w:t>Transpower IM determination</w:t>
      </w:r>
      <w:r>
        <w:t xml:space="preserve"> </w:t>
      </w:r>
    </w:p>
    <w:p w:rsidR="0077725F" w:rsidRDefault="00184B9A" w:rsidP="00205FF5">
      <w:pPr>
        <w:pStyle w:val="Para1"/>
        <w:numPr>
          <w:ilvl w:val="0"/>
          <w:numId w:val="0"/>
        </w:numPr>
        <w:ind w:left="709"/>
        <w:rPr>
          <w:b/>
        </w:rPr>
      </w:pPr>
      <w:proofErr w:type="gramStart"/>
      <w:r>
        <w:rPr>
          <w:b/>
        </w:rPr>
        <w:t>s</w:t>
      </w:r>
      <w:r w:rsidR="0077725F">
        <w:rPr>
          <w:b/>
        </w:rPr>
        <w:t>ystem</w:t>
      </w:r>
      <w:proofErr w:type="gramEnd"/>
      <w:r w:rsidR="0077725F">
        <w:rPr>
          <w:b/>
        </w:rPr>
        <w:t xml:space="preserve"> operator services </w:t>
      </w:r>
      <w:r w:rsidR="00B33BE3">
        <w:rPr>
          <w:rStyle w:val="BodyTextChar"/>
        </w:rPr>
        <w:t xml:space="preserve">means the real-time co-ordination of the electricity system  </w:t>
      </w:r>
      <w:r w:rsidR="00E16317">
        <w:rPr>
          <w:rStyle w:val="BodyTextChar"/>
        </w:rPr>
        <w:t xml:space="preserve"> </w:t>
      </w:r>
    </w:p>
    <w:p w:rsidR="001F4302" w:rsidRPr="003C707C" w:rsidRDefault="00184B9A" w:rsidP="003C707C">
      <w:pPr>
        <w:pStyle w:val="Para1"/>
        <w:numPr>
          <w:ilvl w:val="0"/>
          <w:numId w:val="0"/>
        </w:numPr>
        <w:ind w:left="709"/>
      </w:pPr>
      <w:proofErr w:type="gramStart"/>
      <w:r>
        <w:rPr>
          <w:b/>
        </w:rPr>
        <w:t>t</w:t>
      </w:r>
      <w:r w:rsidR="001F4302" w:rsidRPr="008177A0">
        <w:rPr>
          <w:b/>
        </w:rPr>
        <w:t>ransmission</w:t>
      </w:r>
      <w:proofErr w:type="gramEnd"/>
      <w:r w:rsidR="001F4302" w:rsidRPr="008177A0">
        <w:rPr>
          <w:b/>
        </w:rPr>
        <w:t xml:space="preserve"> lines services </w:t>
      </w:r>
      <w:r w:rsidR="00FB549F">
        <w:t xml:space="preserve">are </w:t>
      </w:r>
      <w:r w:rsidR="001D7192">
        <w:t xml:space="preserve">all </w:t>
      </w:r>
      <w:r w:rsidR="00FB549F" w:rsidRPr="00625754">
        <w:rPr>
          <w:b/>
        </w:rPr>
        <w:t>electricity lines services</w:t>
      </w:r>
      <w:r w:rsidR="00FB549F">
        <w:t xml:space="preserve"> supplied by</w:t>
      </w:r>
      <w:r w:rsidR="007C6A3D">
        <w:t xml:space="preserve"> </w:t>
      </w:r>
      <w:r w:rsidR="0084135E" w:rsidRPr="00625754">
        <w:rPr>
          <w:b/>
        </w:rPr>
        <w:t>Transpower</w:t>
      </w:r>
      <w:r w:rsidR="00FB549F">
        <w:t xml:space="preserve"> </w:t>
      </w:r>
      <w:r w:rsidR="001D7192">
        <w:t>excluding</w:t>
      </w:r>
      <w:r w:rsidR="00FB549F">
        <w:t xml:space="preserve"> </w:t>
      </w:r>
      <w:r w:rsidR="00FB549F" w:rsidRPr="00625754">
        <w:rPr>
          <w:b/>
        </w:rPr>
        <w:t>system operator services</w:t>
      </w:r>
    </w:p>
    <w:p w:rsidR="003B4624" w:rsidRPr="003B4624" w:rsidRDefault="003B4624" w:rsidP="00205FF5">
      <w:pPr>
        <w:pStyle w:val="Para1"/>
        <w:numPr>
          <w:ilvl w:val="0"/>
          <w:numId w:val="0"/>
        </w:numPr>
        <w:ind w:left="709"/>
      </w:pPr>
      <w:r>
        <w:rPr>
          <w:b/>
        </w:rPr>
        <w:t xml:space="preserve">Transmission Pricing Methodology </w:t>
      </w:r>
      <w:r>
        <w:t xml:space="preserve">has the meaning set out in </w:t>
      </w:r>
      <w:r w:rsidRPr="003B4624">
        <w:rPr>
          <w:b/>
        </w:rPr>
        <w:t>the Electricity Industry Participation Code</w:t>
      </w:r>
      <w:r>
        <w:t xml:space="preserve"> </w:t>
      </w:r>
      <w:r w:rsidR="00516E56">
        <w:t>or its successor code</w:t>
      </w:r>
    </w:p>
    <w:p w:rsidR="00450149" w:rsidRDefault="00450149" w:rsidP="00205FF5">
      <w:pPr>
        <w:pStyle w:val="Para1"/>
        <w:numPr>
          <w:ilvl w:val="0"/>
          <w:numId w:val="0"/>
        </w:numPr>
        <w:ind w:left="709"/>
        <w:rPr>
          <w:b/>
        </w:rPr>
      </w:pPr>
      <w:r>
        <w:rPr>
          <w:b/>
        </w:rPr>
        <w:t xml:space="preserve">Transpower </w:t>
      </w:r>
      <w:r>
        <w:t xml:space="preserve">has the meaning </w:t>
      </w:r>
      <w:r w:rsidR="004A4028">
        <w:t xml:space="preserve">given </w:t>
      </w:r>
      <w:r>
        <w:t>in s</w:t>
      </w:r>
      <w:r w:rsidR="00B4542F">
        <w:t>ection</w:t>
      </w:r>
      <w:r>
        <w:t xml:space="preserve"> 54B of the </w:t>
      </w:r>
      <w:r>
        <w:rPr>
          <w:b/>
        </w:rPr>
        <w:t>Act</w:t>
      </w:r>
    </w:p>
    <w:p w:rsidR="003C707C" w:rsidRPr="008177A0" w:rsidRDefault="003C707C" w:rsidP="003C707C">
      <w:pPr>
        <w:pStyle w:val="Para1"/>
        <w:numPr>
          <w:ilvl w:val="0"/>
          <w:numId w:val="0"/>
        </w:numPr>
        <w:ind w:left="709"/>
      </w:pPr>
      <w:r>
        <w:rPr>
          <w:b/>
        </w:rPr>
        <w:t xml:space="preserve">Transpower </w:t>
      </w:r>
      <w:r w:rsidRPr="008177A0">
        <w:rPr>
          <w:b/>
        </w:rPr>
        <w:t>IM</w:t>
      </w:r>
      <w:r w:rsidR="00FF0390">
        <w:rPr>
          <w:b/>
        </w:rPr>
        <w:t>s</w:t>
      </w:r>
      <w:r w:rsidRPr="008177A0">
        <w:rPr>
          <w:b/>
        </w:rPr>
        <w:t xml:space="preserve"> </w:t>
      </w:r>
      <w:r w:rsidRPr="008177A0">
        <w:t xml:space="preserve">means </w:t>
      </w:r>
      <w:r w:rsidR="00FF0390">
        <w:t xml:space="preserve">the Transpower Input Methodologies </w:t>
      </w:r>
      <w:r w:rsidRPr="008177A0">
        <w:t xml:space="preserve">Determination </w:t>
      </w:r>
      <w:r w:rsidR="00FF0390">
        <w:t>[</w:t>
      </w:r>
      <w:r w:rsidRPr="008177A0">
        <w:t>2012</w:t>
      </w:r>
      <w:r w:rsidR="00FF0390">
        <w:t xml:space="preserve">] NZCC 17 </w:t>
      </w:r>
    </w:p>
    <w:p w:rsidR="00B85497" w:rsidRPr="008E3848" w:rsidRDefault="00867DBD" w:rsidP="000F0B1C">
      <w:pPr>
        <w:pStyle w:val="Heading0Chapter"/>
        <w:numPr>
          <w:ilvl w:val="0"/>
          <w:numId w:val="0"/>
        </w:numPr>
        <w:ind w:left="720" w:hanging="720"/>
        <w:rPr>
          <w:rFonts w:ascii="Calibri" w:hAnsi="Calibri"/>
        </w:rPr>
      </w:pPr>
      <w:bookmarkStart w:id="29" w:name="_Toc379540111"/>
      <w:bookmarkEnd w:id="27"/>
      <w:bookmarkEnd w:id="28"/>
      <w:r w:rsidRPr="008E3848">
        <w:rPr>
          <w:rFonts w:ascii="Calibri" w:hAnsi="Calibri"/>
        </w:rPr>
        <w:t>Information Disclosure</w:t>
      </w:r>
      <w:bookmarkEnd w:id="29"/>
    </w:p>
    <w:p w:rsidR="0002428A" w:rsidRPr="008E3848" w:rsidRDefault="007F799C" w:rsidP="00F55E99">
      <w:pPr>
        <w:pStyle w:val="Para1"/>
        <w:numPr>
          <w:ilvl w:val="0"/>
          <w:numId w:val="21"/>
        </w:numPr>
        <w:ind w:hanging="720"/>
      </w:pPr>
      <w:bookmarkStart w:id="30" w:name="_Toc333389677"/>
      <w:bookmarkStart w:id="31" w:name="_Toc340491883"/>
      <w:r>
        <w:t>Subject to clause 19</w:t>
      </w:r>
      <w:r w:rsidR="00450149" w:rsidRPr="008E3848">
        <w:t xml:space="preserve"> </w:t>
      </w:r>
      <w:r w:rsidR="00867DBD" w:rsidRPr="008E3848">
        <w:rPr>
          <w:b/>
        </w:rPr>
        <w:t>Transpower</w:t>
      </w:r>
      <w:r w:rsidR="002060A8" w:rsidRPr="008E3848">
        <w:t xml:space="preserve"> must comply with the </w:t>
      </w:r>
      <w:r w:rsidR="00ED5D69" w:rsidRPr="005405F6">
        <w:rPr>
          <w:b/>
        </w:rPr>
        <w:t>information</w:t>
      </w:r>
      <w:r w:rsidR="00ED5D69" w:rsidRPr="005405F6">
        <w:t xml:space="preserve"> d</w:t>
      </w:r>
      <w:r w:rsidR="00867DBD" w:rsidRPr="005405F6">
        <w:t>isclosure</w:t>
      </w:r>
      <w:r w:rsidR="00867DBD" w:rsidRPr="008E3848">
        <w:t xml:space="preserve"> requirements</w:t>
      </w:r>
      <w:r w:rsidR="00ED5D69" w:rsidRPr="008E3848">
        <w:t xml:space="preserve"> set out in this determination. </w:t>
      </w:r>
    </w:p>
    <w:p w:rsidR="00B85497" w:rsidRPr="008E3848" w:rsidRDefault="00B85497" w:rsidP="000F0B1C">
      <w:pPr>
        <w:pStyle w:val="Heading0Chapter"/>
        <w:numPr>
          <w:ilvl w:val="0"/>
          <w:numId w:val="0"/>
        </w:numPr>
        <w:rPr>
          <w:rFonts w:ascii="Calibri" w:hAnsi="Calibri"/>
        </w:rPr>
      </w:pPr>
      <w:bookmarkStart w:id="32" w:name="_Toc379540112"/>
      <w:r w:rsidRPr="008E3848">
        <w:rPr>
          <w:rFonts w:ascii="Calibri" w:hAnsi="Calibri"/>
        </w:rPr>
        <w:t xml:space="preserve">Applicable </w:t>
      </w:r>
      <w:r w:rsidR="00401DA7" w:rsidRPr="008E3848">
        <w:rPr>
          <w:rFonts w:ascii="Calibri" w:hAnsi="Calibri"/>
        </w:rPr>
        <w:t xml:space="preserve">Input </w:t>
      </w:r>
      <w:bookmarkEnd w:id="30"/>
      <w:bookmarkEnd w:id="31"/>
      <w:r w:rsidR="00401DA7" w:rsidRPr="008E3848">
        <w:rPr>
          <w:rFonts w:ascii="Calibri" w:hAnsi="Calibri"/>
        </w:rPr>
        <w:t>Methodologies</w:t>
      </w:r>
      <w:bookmarkEnd w:id="32"/>
      <w:r w:rsidR="00401DA7" w:rsidRPr="008E3848">
        <w:rPr>
          <w:rFonts w:ascii="Calibri" w:hAnsi="Calibri"/>
        </w:rPr>
        <w:t xml:space="preserve"> </w:t>
      </w:r>
    </w:p>
    <w:p w:rsidR="00772471" w:rsidRPr="008E3848" w:rsidRDefault="00340AEA" w:rsidP="00F55E99">
      <w:pPr>
        <w:pStyle w:val="Para1"/>
        <w:numPr>
          <w:ilvl w:val="0"/>
          <w:numId w:val="21"/>
        </w:numPr>
        <w:ind w:hanging="720"/>
      </w:pPr>
      <w:bookmarkStart w:id="33" w:name="_Toc332792402"/>
      <w:bookmarkStart w:id="34" w:name="_Toc332792443"/>
      <w:bookmarkStart w:id="35" w:name="_Toc332792596"/>
      <w:bookmarkStart w:id="36" w:name="_Toc332793155"/>
      <w:bookmarkStart w:id="37" w:name="_Toc332793519"/>
      <w:bookmarkStart w:id="38" w:name="_Toc332810243"/>
      <w:bookmarkStart w:id="39" w:name="_Toc332874825"/>
      <w:bookmarkStart w:id="40" w:name="_Toc333389678"/>
      <w:bookmarkStart w:id="41" w:name="_Toc340491884"/>
      <w:bookmarkEnd w:id="33"/>
      <w:bookmarkEnd w:id="34"/>
      <w:bookmarkEnd w:id="35"/>
      <w:bookmarkEnd w:id="36"/>
      <w:bookmarkEnd w:id="37"/>
      <w:bookmarkEnd w:id="38"/>
      <w:bookmarkEnd w:id="39"/>
      <w:r w:rsidRPr="008E3848">
        <w:rPr>
          <w:b/>
        </w:rPr>
        <w:t>Transpower</w:t>
      </w:r>
      <w:r w:rsidRPr="008E3848">
        <w:t xml:space="preserve"> must apply </w:t>
      </w:r>
      <w:r w:rsidR="007435CB" w:rsidRPr="008E3848">
        <w:t xml:space="preserve">the </w:t>
      </w:r>
      <w:r w:rsidRPr="008E3848">
        <w:t>requirements set out in the following sub</w:t>
      </w:r>
      <w:r w:rsidR="00867209" w:rsidRPr="008E3848">
        <w:t xml:space="preserve">parts of </w:t>
      </w:r>
      <w:r w:rsidR="006C7262" w:rsidRPr="006C7262">
        <w:t>the</w:t>
      </w:r>
      <w:r w:rsidR="006C7262">
        <w:rPr>
          <w:b/>
        </w:rPr>
        <w:t xml:space="preserve"> </w:t>
      </w:r>
      <w:r w:rsidR="003C707C">
        <w:rPr>
          <w:b/>
        </w:rPr>
        <w:t xml:space="preserve">IMs </w:t>
      </w:r>
      <w:r w:rsidR="00867209" w:rsidRPr="008E3848">
        <w:t>where</w:t>
      </w:r>
      <w:r w:rsidRPr="008E3848">
        <w:t xml:space="preserve"> applicable when complying with this determination:</w:t>
      </w:r>
      <w:r w:rsidR="00772471" w:rsidRPr="008E3848">
        <w:t xml:space="preserve"> </w:t>
      </w:r>
    </w:p>
    <w:p w:rsidR="0002428A" w:rsidRDefault="003875E4" w:rsidP="003875E4">
      <w:pPr>
        <w:pStyle w:val="Para2"/>
        <w:numPr>
          <w:ilvl w:val="0"/>
          <w:numId w:val="0"/>
        </w:numPr>
        <w:ind w:firstLine="709"/>
      </w:pPr>
      <w:r>
        <w:t>8.1</w:t>
      </w:r>
      <w:r>
        <w:tab/>
      </w:r>
      <w:r w:rsidR="00340AEA" w:rsidRPr="0047704D">
        <w:t xml:space="preserve">Subpart 1 of </w:t>
      </w:r>
      <w:r w:rsidR="00D67214">
        <w:t>P</w:t>
      </w:r>
      <w:r w:rsidR="00340AEA" w:rsidRPr="0047704D">
        <w:t>art</w:t>
      </w:r>
      <w:r w:rsidR="00D67214">
        <w:t xml:space="preserve"> 2 </w:t>
      </w:r>
      <w:r w:rsidR="007C7124">
        <w:t xml:space="preserve">of the </w:t>
      </w:r>
      <w:r w:rsidR="007C7124">
        <w:rPr>
          <w:b/>
        </w:rPr>
        <w:t xml:space="preserve">Transpower IM </w:t>
      </w:r>
      <w:r w:rsidR="00D67214">
        <w:t>– C</w:t>
      </w:r>
      <w:r w:rsidR="00340AEA" w:rsidRPr="0047704D">
        <w:t xml:space="preserve">ost </w:t>
      </w:r>
      <w:r w:rsidR="001D7192">
        <w:t>a</w:t>
      </w:r>
      <w:r w:rsidR="00340AEA" w:rsidRPr="0047704D">
        <w:t>llocation</w:t>
      </w:r>
      <w:r w:rsidR="00B4542F">
        <w:t>;</w:t>
      </w:r>
    </w:p>
    <w:p w:rsidR="00340AEA" w:rsidRDefault="003875E4" w:rsidP="003875E4">
      <w:pPr>
        <w:pStyle w:val="Para2"/>
        <w:numPr>
          <w:ilvl w:val="0"/>
          <w:numId w:val="0"/>
        </w:numPr>
        <w:ind w:firstLine="709"/>
      </w:pPr>
      <w:r>
        <w:t>8.2</w:t>
      </w:r>
      <w:r>
        <w:tab/>
      </w:r>
      <w:r w:rsidR="00D67214">
        <w:t xml:space="preserve">Subpart 2 of Part 2 </w:t>
      </w:r>
      <w:r w:rsidR="007C7124">
        <w:t xml:space="preserve">of the </w:t>
      </w:r>
      <w:r w:rsidR="007C7124">
        <w:rPr>
          <w:b/>
        </w:rPr>
        <w:t xml:space="preserve">Transpower IM </w:t>
      </w:r>
      <w:r w:rsidR="00D67214">
        <w:t xml:space="preserve">– Asset </w:t>
      </w:r>
      <w:r w:rsidR="001D7192">
        <w:t>v</w:t>
      </w:r>
      <w:r w:rsidR="00340AEA" w:rsidRPr="0047704D">
        <w:t>aluation</w:t>
      </w:r>
      <w:r w:rsidR="00B4542F">
        <w:t>;</w:t>
      </w:r>
    </w:p>
    <w:p w:rsidR="00340AEA" w:rsidRDefault="003875E4" w:rsidP="003875E4">
      <w:pPr>
        <w:pStyle w:val="Para2"/>
        <w:numPr>
          <w:ilvl w:val="0"/>
          <w:numId w:val="0"/>
        </w:numPr>
        <w:ind w:firstLine="709"/>
      </w:pPr>
      <w:r>
        <w:t>8.3</w:t>
      </w:r>
      <w:r>
        <w:tab/>
      </w:r>
      <w:r w:rsidR="00D67214">
        <w:t xml:space="preserve">Subpart 3 of Part 2 </w:t>
      </w:r>
      <w:r w:rsidR="007C7124">
        <w:t xml:space="preserve">of the </w:t>
      </w:r>
      <w:r w:rsidR="007C7124">
        <w:rPr>
          <w:b/>
        </w:rPr>
        <w:t xml:space="preserve">Transpower IM </w:t>
      </w:r>
      <w:r w:rsidR="001D7192">
        <w:t>– Treatment of t</w:t>
      </w:r>
      <w:r w:rsidR="00340AEA" w:rsidRPr="0047704D">
        <w:t>axation</w:t>
      </w:r>
      <w:r w:rsidR="00B4542F">
        <w:t xml:space="preserve">; </w:t>
      </w:r>
    </w:p>
    <w:p w:rsidR="008379F7" w:rsidRDefault="003875E4" w:rsidP="003875E4">
      <w:pPr>
        <w:pStyle w:val="Para2"/>
        <w:numPr>
          <w:ilvl w:val="0"/>
          <w:numId w:val="0"/>
        </w:numPr>
        <w:ind w:firstLine="709"/>
      </w:pPr>
      <w:r>
        <w:t>8.4</w:t>
      </w:r>
      <w:r>
        <w:tab/>
      </w:r>
      <w:r w:rsidR="00D67214">
        <w:t xml:space="preserve">Subpart 4 of Part 2 </w:t>
      </w:r>
      <w:r w:rsidR="007C7124">
        <w:t xml:space="preserve">of the </w:t>
      </w:r>
      <w:r w:rsidR="007C7124">
        <w:rPr>
          <w:b/>
        </w:rPr>
        <w:t xml:space="preserve">Transpower IM </w:t>
      </w:r>
      <w:r w:rsidR="001D7192">
        <w:t>– Cost of c</w:t>
      </w:r>
      <w:r w:rsidR="008379F7" w:rsidRPr="0047704D">
        <w:t>apital</w:t>
      </w:r>
      <w:r w:rsidR="007C7124">
        <w:t>;</w:t>
      </w:r>
    </w:p>
    <w:p w:rsidR="007C7124" w:rsidRDefault="007C7124" w:rsidP="003875E4">
      <w:pPr>
        <w:pStyle w:val="Para2"/>
        <w:numPr>
          <w:ilvl w:val="0"/>
          <w:numId w:val="0"/>
        </w:numPr>
        <w:ind w:firstLine="709"/>
      </w:pPr>
      <w:r>
        <w:t>8.5</w:t>
      </w:r>
      <w:r>
        <w:tab/>
        <w:t xml:space="preserve">Subpart 2 of Part 3 of the </w:t>
      </w:r>
      <w:r>
        <w:rPr>
          <w:b/>
          <w:bCs/>
        </w:rPr>
        <w:t>Capex IM</w:t>
      </w:r>
      <w:r>
        <w:t xml:space="preserve"> – Base capex</w:t>
      </w:r>
    </w:p>
    <w:p w:rsidR="007C7124" w:rsidRDefault="007C7124" w:rsidP="003875E4">
      <w:pPr>
        <w:pStyle w:val="Para2"/>
        <w:numPr>
          <w:ilvl w:val="0"/>
          <w:numId w:val="0"/>
        </w:numPr>
        <w:ind w:firstLine="709"/>
      </w:pPr>
      <w:r>
        <w:t>8.6</w:t>
      </w:r>
      <w:r>
        <w:tab/>
        <w:t xml:space="preserve">Subpart 3 of Part 3 of the </w:t>
      </w:r>
      <w:r>
        <w:rPr>
          <w:b/>
          <w:bCs/>
        </w:rPr>
        <w:t>Capex IM</w:t>
      </w:r>
      <w:r>
        <w:t xml:space="preserve"> – Major </w:t>
      </w:r>
      <w:proofErr w:type="gramStart"/>
      <w:r>
        <w:t>capex</w:t>
      </w:r>
      <w:proofErr w:type="gramEnd"/>
      <w:r>
        <w:t xml:space="preserve"> projects</w:t>
      </w:r>
    </w:p>
    <w:p w:rsidR="000E66F9" w:rsidRPr="008E3848" w:rsidRDefault="00145AD7" w:rsidP="000A3735">
      <w:pPr>
        <w:pStyle w:val="Heading0Chapter"/>
        <w:numPr>
          <w:ilvl w:val="0"/>
          <w:numId w:val="0"/>
        </w:numPr>
        <w:rPr>
          <w:rFonts w:ascii="Calibri" w:hAnsi="Calibri"/>
        </w:rPr>
      </w:pPr>
      <w:bookmarkStart w:id="42" w:name="_Toc379540113"/>
      <w:bookmarkEnd w:id="40"/>
      <w:bookmarkEnd w:id="41"/>
      <w:r>
        <w:rPr>
          <w:rFonts w:ascii="Calibri" w:hAnsi="Calibri"/>
        </w:rPr>
        <w:t>Transmission Lines Services</w:t>
      </w:r>
      <w:r w:rsidR="001D7192">
        <w:rPr>
          <w:rFonts w:ascii="Calibri" w:hAnsi="Calibri"/>
        </w:rPr>
        <w:t xml:space="preserve"> -</w:t>
      </w:r>
      <w:r>
        <w:rPr>
          <w:rFonts w:ascii="Calibri" w:hAnsi="Calibri"/>
        </w:rPr>
        <w:t xml:space="preserve"> </w:t>
      </w:r>
      <w:r w:rsidR="000E66F9" w:rsidRPr="008E3848">
        <w:rPr>
          <w:rFonts w:ascii="Calibri" w:hAnsi="Calibri"/>
        </w:rPr>
        <w:t xml:space="preserve">Financial </w:t>
      </w:r>
      <w:r w:rsidR="000E66F9" w:rsidRPr="0064355F">
        <w:rPr>
          <w:rFonts w:ascii="Calibri" w:hAnsi="Calibri"/>
        </w:rPr>
        <w:t>Information</w:t>
      </w:r>
      <w:bookmarkEnd w:id="42"/>
      <w:r w:rsidR="003F1C71">
        <w:rPr>
          <w:rFonts w:ascii="Calibri" w:hAnsi="Calibri"/>
        </w:rPr>
        <w:t xml:space="preserve"> </w:t>
      </w:r>
    </w:p>
    <w:p w:rsidR="00DC13E8" w:rsidRDefault="00DC13E8" w:rsidP="00DC13E8">
      <w:pPr>
        <w:pStyle w:val="Para2"/>
        <w:numPr>
          <w:ilvl w:val="0"/>
          <w:numId w:val="21"/>
        </w:numPr>
        <w:ind w:hanging="720"/>
      </w:pPr>
      <w:r w:rsidRPr="008177A0">
        <w:rPr>
          <w:b/>
        </w:rPr>
        <w:t>Transpower</w:t>
      </w:r>
      <w:r w:rsidRPr="008177A0">
        <w:t xml:space="preserve"> must </w:t>
      </w:r>
      <w:r w:rsidRPr="008177A0">
        <w:rPr>
          <w:b/>
        </w:rPr>
        <w:t>publicly disclose</w:t>
      </w:r>
      <w:r>
        <w:rPr>
          <w:b/>
        </w:rPr>
        <w:t>,</w:t>
      </w:r>
      <w:r w:rsidRPr="008177A0">
        <w:t xml:space="preserve"> </w:t>
      </w:r>
      <w:r w:rsidRPr="008E3848">
        <w:t xml:space="preserve">by the Friday of the third complete week of October </w:t>
      </w:r>
      <w:r w:rsidR="00145AD7">
        <w:t xml:space="preserve">after </w:t>
      </w:r>
      <w:r w:rsidRPr="008E3848">
        <w:t xml:space="preserve">the end of each </w:t>
      </w:r>
      <w:r w:rsidRPr="008E3848">
        <w:rPr>
          <w:b/>
        </w:rPr>
        <w:t>disclosure year</w:t>
      </w:r>
      <w:r>
        <w:t>,</w:t>
      </w:r>
      <w:r w:rsidRPr="008E3848">
        <w:t xml:space="preserve"> the </w:t>
      </w:r>
      <w:r w:rsidR="00145AD7">
        <w:t xml:space="preserve">following </w:t>
      </w:r>
      <w:r w:rsidRPr="0064355F">
        <w:rPr>
          <w:b/>
        </w:rPr>
        <w:t>information</w:t>
      </w:r>
      <w:r w:rsidRPr="008E3848">
        <w:t xml:space="preserve"> relating to </w:t>
      </w:r>
      <w:r w:rsidRPr="008E3848">
        <w:rPr>
          <w:b/>
        </w:rPr>
        <w:t>transmission lines services</w:t>
      </w:r>
      <w:r w:rsidRPr="008E3848">
        <w:t xml:space="preserve"> </w:t>
      </w:r>
      <w:r w:rsidRPr="007C6A3D">
        <w:t xml:space="preserve">for that </w:t>
      </w:r>
      <w:r w:rsidRPr="007C6A3D">
        <w:rPr>
          <w:b/>
        </w:rPr>
        <w:t>disclosure year</w:t>
      </w:r>
      <w:r w:rsidRPr="007C6A3D">
        <w:t>:</w:t>
      </w:r>
    </w:p>
    <w:p w:rsidR="00FF0390" w:rsidRDefault="00DC13E8" w:rsidP="00FF0390">
      <w:pPr>
        <w:pStyle w:val="Para2"/>
        <w:numPr>
          <w:ilvl w:val="0"/>
          <w:numId w:val="0"/>
        </w:numPr>
        <w:ind w:left="1418" w:hanging="698"/>
      </w:pPr>
      <w:r>
        <w:t xml:space="preserve">9.1 </w:t>
      </w:r>
      <w:r>
        <w:tab/>
      </w:r>
      <w:r w:rsidR="004C5E35">
        <w:t xml:space="preserve">Vanilla </w:t>
      </w:r>
      <w:r w:rsidR="001D7192">
        <w:t>return on i</w:t>
      </w:r>
      <w:r>
        <w:t xml:space="preserve">nvestment </w:t>
      </w:r>
      <w:r w:rsidR="00FF0390">
        <w:t xml:space="preserve">solved </w:t>
      </w:r>
      <w:r w:rsidR="006670FE">
        <w:t>in accordance with the</w:t>
      </w:r>
      <w:r>
        <w:t xml:space="preserve"> </w:t>
      </w:r>
      <w:r w:rsidR="004C5E35">
        <w:t xml:space="preserve">following </w:t>
      </w:r>
      <w:r>
        <w:t>formula:</w:t>
      </w:r>
    </w:p>
    <w:p w:rsidR="00DC13E8" w:rsidRDefault="006670FE" w:rsidP="00DC13E8">
      <w:pPr>
        <w:pStyle w:val="Para2"/>
        <w:numPr>
          <w:ilvl w:val="0"/>
          <w:numId w:val="0"/>
        </w:numPr>
        <w:ind w:left="720"/>
        <w:rPr>
          <w:noProof/>
          <w:lang w:eastAsia="en-NZ"/>
        </w:rPr>
      </w:pPr>
      <w:r>
        <w:rPr>
          <w:noProof/>
          <w:lang w:eastAsia="en-NZ"/>
        </w:rPr>
        <w:t xml:space="preserve">   </w:t>
      </w:r>
      <w:r w:rsidR="00A422D2">
        <w:rPr>
          <w:noProof/>
          <w:lang w:eastAsia="en-N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94.35pt;height:267.05pt;visibility:visible;mso-wrap-style:square">
            <v:imagedata r:id="rId11" o:title="" croptop="24974f" cropbottom="8074f" cropleft="19108f" cropright="16552f"/>
          </v:shape>
        </w:pict>
      </w:r>
    </w:p>
    <w:p w:rsidR="004C5E35" w:rsidRDefault="004C5E35" w:rsidP="00DC13E8">
      <w:pPr>
        <w:pStyle w:val="Para2"/>
        <w:numPr>
          <w:ilvl w:val="0"/>
          <w:numId w:val="0"/>
        </w:numPr>
        <w:ind w:left="720"/>
        <w:rPr>
          <w:noProof/>
          <w:lang w:eastAsia="en-NZ"/>
        </w:rPr>
      </w:pPr>
      <w:r>
        <w:rPr>
          <w:noProof/>
          <w:lang w:eastAsia="en-NZ"/>
        </w:rPr>
        <w:t>9.2</w:t>
      </w:r>
      <w:r>
        <w:rPr>
          <w:noProof/>
          <w:lang w:eastAsia="en-NZ"/>
        </w:rPr>
        <w:tab/>
        <w:t xml:space="preserve">Post-tax </w:t>
      </w:r>
      <w:r w:rsidR="005E60E5">
        <w:rPr>
          <w:noProof/>
          <w:lang w:eastAsia="en-NZ"/>
        </w:rPr>
        <w:t>r</w:t>
      </w:r>
      <w:r w:rsidR="00D143AE">
        <w:rPr>
          <w:noProof/>
          <w:lang w:eastAsia="en-NZ"/>
        </w:rPr>
        <w:t xml:space="preserve">eturn on </w:t>
      </w:r>
      <w:r w:rsidR="005E60E5">
        <w:rPr>
          <w:noProof/>
          <w:lang w:eastAsia="en-NZ"/>
        </w:rPr>
        <w:t>i</w:t>
      </w:r>
      <w:r w:rsidR="00D143AE">
        <w:rPr>
          <w:noProof/>
          <w:lang w:eastAsia="en-NZ"/>
        </w:rPr>
        <w:t>nvestment</w:t>
      </w:r>
      <w:r w:rsidR="001D7192">
        <w:rPr>
          <w:noProof/>
          <w:lang w:eastAsia="en-NZ"/>
        </w:rPr>
        <w:t xml:space="preserve"> solved</w:t>
      </w:r>
      <w:r w:rsidR="00D143AE">
        <w:rPr>
          <w:noProof/>
          <w:lang w:eastAsia="en-NZ"/>
        </w:rPr>
        <w:t xml:space="preserve"> </w:t>
      </w:r>
      <w:r w:rsidR="006670FE">
        <w:rPr>
          <w:noProof/>
          <w:lang w:eastAsia="en-NZ"/>
        </w:rPr>
        <w:t>in accordance with</w:t>
      </w:r>
      <w:r w:rsidR="00D143AE">
        <w:rPr>
          <w:noProof/>
          <w:lang w:eastAsia="en-NZ"/>
        </w:rPr>
        <w:t xml:space="preserve"> the following formula:</w:t>
      </w:r>
    </w:p>
    <w:p w:rsidR="00D143AE" w:rsidRDefault="006670FE" w:rsidP="00DC13E8">
      <w:pPr>
        <w:pStyle w:val="Para2"/>
        <w:numPr>
          <w:ilvl w:val="0"/>
          <w:numId w:val="0"/>
        </w:numPr>
        <w:ind w:left="720"/>
      </w:pPr>
      <w:r>
        <w:t xml:space="preserve">          </w:t>
      </w:r>
      <w:r w:rsidR="00A422D2">
        <w:pict>
          <v:shape id="_x0000_i1026" type="#_x0000_t75" style="width:136.45pt;height:125.6pt;visibility:visible;mso-wrap-style:square">
            <v:imagedata r:id="rId12" o:title="" croptop="29071f" cropbottom="8402f" cropleft="29407f" cropright="17224f"/>
          </v:shape>
        </w:pict>
      </w:r>
    </w:p>
    <w:p w:rsidR="00D143AE" w:rsidRDefault="00D143AE" w:rsidP="006670FE">
      <w:pPr>
        <w:pStyle w:val="Para2"/>
        <w:numPr>
          <w:ilvl w:val="0"/>
          <w:numId w:val="0"/>
        </w:numPr>
        <w:ind w:left="1418" w:hanging="698"/>
      </w:pPr>
      <w:r>
        <w:t>9.3</w:t>
      </w:r>
      <w:r>
        <w:tab/>
        <w:t xml:space="preserve">A comparison of </w:t>
      </w:r>
      <w:r w:rsidR="006670FE">
        <w:t>t</w:t>
      </w:r>
      <w:r w:rsidR="001D7192">
        <w:t>he vanilla r</w:t>
      </w:r>
      <w:r>
        <w:t xml:space="preserve">eturn on </w:t>
      </w:r>
      <w:r w:rsidR="001D7192">
        <w:t>i</w:t>
      </w:r>
      <w:r>
        <w:t xml:space="preserve">nvestment to </w:t>
      </w:r>
      <w:r w:rsidR="007C5B39">
        <w:t>both the</w:t>
      </w:r>
      <w:r>
        <w:t xml:space="preserve"> </w:t>
      </w:r>
      <w:r w:rsidR="007C5B39">
        <w:t xml:space="preserve">75th percentile and mid-point estimates of the </w:t>
      </w:r>
      <w:r w:rsidR="001D7192">
        <w:t>information disclosure v</w:t>
      </w:r>
      <w:r>
        <w:t>anilla WACC rate</w:t>
      </w:r>
      <w:r w:rsidR="007C5B39">
        <w:t xml:space="preserve"> and </w:t>
      </w:r>
      <w:r>
        <w:t xml:space="preserve">a comparison of the </w:t>
      </w:r>
      <w:r w:rsidR="001D7192">
        <w:t>post-tax return on i</w:t>
      </w:r>
      <w:r>
        <w:t xml:space="preserve">nvestment to the </w:t>
      </w:r>
      <w:r w:rsidR="007C5B39">
        <w:t xml:space="preserve">75th percentile and mid-point estimates of the </w:t>
      </w:r>
      <w:r w:rsidR="001D7192">
        <w:t>p</w:t>
      </w:r>
      <w:r>
        <w:t xml:space="preserve">ost-tax information disclosure WACC rate and narrative explaining </w:t>
      </w:r>
      <w:r w:rsidR="007C5B39">
        <w:t>any</w:t>
      </w:r>
      <w:r>
        <w:t xml:space="preserve"> variances. </w:t>
      </w:r>
    </w:p>
    <w:p w:rsidR="004C5E35" w:rsidRDefault="004C5E35" w:rsidP="006670FE">
      <w:pPr>
        <w:pStyle w:val="Para2"/>
        <w:numPr>
          <w:ilvl w:val="0"/>
          <w:numId w:val="0"/>
        </w:numPr>
        <w:ind w:left="1418" w:hanging="698"/>
        <w:rPr>
          <w:noProof/>
          <w:lang w:eastAsia="en-NZ"/>
        </w:rPr>
      </w:pPr>
      <w:r>
        <w:rPr>
          <w:noProof/>
          <w:lang w:eastAsia="en-NZ"/>
        </w:rPr>
        <w:t>9.</w:t>
      </w:r>
      <w:r w:rsidR="006670FE">
        <w:rPr>
          <w:noProof/>
          <w:lang w:eastAsia="en-NZ"/>
        </w:rPr>
        <w:t>4</w:t>
      </w:r>
      <w:r w:rsidR="001D7192">
        <w:rPr>
          <w:noProof/>
          <w:lang w:eastAsia="en-NZ"/>
        </w:rPr>
        <w:tab/>
        <w:t xml:space="preserve">Regulatory profit solved </w:t>
      </w:r>
      <w:r w:rsidR="006670FE">
        <w:rPr>
          <w:noProof/>
          <w:lang w:eastAsia="en-NZ"/>
        </w:rPr>
        <w:t xml:space="preserve">in accordance with </w:t>
      </w:r>
      <w:r>
        <w:rPr>
          <w:noProof/>
          <w:lang w:eastAsia="en-NZ"/>
        </w:rPr>
        <w:t>the following formula:</w:t>
      </w:r>
    </w:p>
    <w:p w:rsidR="007C5B39" w:rsidRDefault="00A422D2" w:rsidP="00DC13E8">
      <w:pPr>
        <w:pStyle w:val="Para2"/>
        <w:numPr>
          <w:ilvl w:val="0"/>
          <w:numId w:val="0"/>
        </w:numPr>
        <w:ind w:left="720"/>
        <w:rPr>
          <w:lang w:eastAsia="en-NZ"/>
        </w:rPr>
      </w:pPr>
      <w:r>
        <w:rPr>
          <w:lang w:eastAsia="en-NZ"/>
        </w:rPr>
        <w:pict>
          <v:shape id="_x0000_i1027" type="#_x0000_t75" style="width:411.05pt;height:83.7pt;visibility:visible;mso-wrap-style:square">
            <v:imagedata r:id="rId13" o:title="" croptop="47885f" cropbottom="9958f" cropleft="19934f" cropright="19428f"/>
          </v:shape>
        </w:pict>
      </w:r>
    </w:p>
    <w:p w:rsidR="007C5B39" w:rsidRDefault="007C5B39" w:rsidP="006670FE">
      <w:pPr>
        <w:pStyle w:val="Para2"/>
        <w:numPr>
          <w:ilvl w:val="0"/>
          <w:numId w:val="0"/>
        </w:numPr>
        <w:ind w:left="1418" w:hanging="698"/>
        <w:rPr>
          <w:b/>
          <w:lang w:eastAsia="en-NZ"/>
        </w:rPr>
      </w:pPr>
      <w:r>
        <w:rPr>
          <w:lang w:eastAsia="en-NZ"/>
        </w:rPr>
        <w:t>9.</w:t>
      </w:r>
      <w:r w:rsidR="006670FE">
        <w:rPr>
          <w:lang w:eastAsia="en-NZ"/>
        </w:rPr>
        <w:t>5</w:t>
      </w:r>
      <w:r>
        <w:rPr>
          <w:lang w:eastAsia="en-NZ"/>
        </w:rPr>
        <w:tab/>
      </w:r>
      <w:r w:rsidR="003B4624">
        <w:rPr>
          <w:lang w:eastAsia="en-NZ"/>
        </w:rPr>
        <w:t>All</w:t>
      </w:r>
      <w:r>
        <w:rPr>
          <w:lang w:eastAsia="en-NZ"/>
        </w:rPr>
        <w:t xml:space="preserve"> </w:t>
      </w:r>
      <w:r>
        <w:t>transaction</w:t>
      </w:r>
      <w:r w:rsidR="003B4624">
        <w:t>s</w:t>
      </w:r>
      <w:r>
        <w:rPr>
          <w:lang w:eastAsia="en-NZ"/>
        </w:rPr>
        <w:t xml:space="preserve"> </w:t>
      </w:r>
      <w:r w:rsidR="00145AD7">
        <w:rPr>
          <w:lang w:eastAsia="en-NZ"/>
        </w:rPr>
        <w:t>with</w:t>
      </w:r>
      <w:r>
        <w:rPr>
          <w:lang w:eastAsia="en-NZ"/>
        </w:rPr>
        <w:t xml:space="preserve"> </w:t>
      </w:r>
      <w:r w:rsidRPr="007C5B39">
        <w:rPr>
          <w:b/>
          <w:lang w:eastAsia="en-NZ"/>
        </w:rPr>
        <w:t>related parties</w:t>
      </w:r>
      <w:r>
        <w:rPr>
          <w:b/>
          <w:lang w:eastAsia="en-NZ"/>
        </w:rPr>
        <w:t xml:space="preserve"> </w:t>
      </w:r>
      <w:r w:rsidR="005A3651" w:rsidRPr="005A3651">
        <w:rPr>
          <w:lang w:eastAsia="en-NZ"/>
        </w:rPr>
        <w:t>including</w:t>
      </w:r>
      <w:r w:rsidR="005A3651">
        <w:rPr>
          <w:b/>
          <w:lang w:eastAsia="en-NZ"/>
        </w:rPr>
        <w:t>:</w:t>
      </w:r>
    </w:p>
    <w:p w:rsidR="005A3651" w:rsidRPr="005A3651" w:rsidRDefault="00464882" w:rsidP="00464882">
      <w:pPr>
        <w:pStyle w:val="Para2"/>
        <w:numPr>
          <w:ilvl w:val="0"/>
          <w:numId w:val="0"/>
        </w:numPr>
        <w:ind w:left="1843" w:hanging="425"/>
        <w:rPr>
          <w:noProof/>
          <w:lang w:eastAsia="en-NZ"/>
        </w:rPr>
      </w:pPr>
      <w:r>
        <w:rPr>
          <w:noProof/>
          <w:lang w:eastAsia="en-NZ"/>
        </w:rPr>
        <w:t>9.5.1</w:t>
      </w:r>
      <w:r>
        <w:rPr>
          <w:noProof/>
          <w:lang w:eastAsia="en-NZ"/>
        </w:rPr>
        <w:tab/>
      </w:r>
      <w:r w:rsidR="005A3651">
        <w:rPr>
          <w:noProof/>
          <w:lang w:eastAsia="en-NZ"/>
        </w:rPr>
        <w:t xml:space="preserve">The name of the </w:t>
      </w:r>
      <w:r w:rsidR="005A3651" w:rsidRPr="005A3651">
        <w:rPr>
          <w:b/>
          <w:noProof/>
          <w:lang w:eastAsia="en-NZ"/>
        </w:rPr>
        <w:t>related party</w:t>
      </w:r>
      <w:r w:rsidR="005A3651">
        <w:rPr>
          <w:b/>
          <w:noProof/>
          <w:lang w:eastAsia="en-NZ"/>
        </w:rPr>
        <w:t>;</w:t>
      </w:r>
    </w:p>
    <w:p w:rsidR="005A3651" w:rsidRPr="005A3651" w:rsidRDefault="00464882" w:rsidP="00464882">
      <w:pPr>
        <w:pStyle w:val="Para2"/>
        <w:numPr>
          <w:ilvl w:val="0"/>
          <w:numId w:val="0"/>
        </w:numPr>
        <w:ind w:left="1843" w:hanging="425"/>
        <w:rPr>
          <w:noProof/>
          <w:lang w:eastAsia="en-NZ"/>
        </w:rPr>
      </w:pPr>
      <w:r>
        <w:rPr>
          <w:noProof/>
          <w:lang w:eastAsia="en-NZ"/>
        </w:rPr>
        <w:t>9.5.2</w:t>
      </w:r>
      <w:r>
        <w:rPr>
          <w:noProof/>
          <w:lang w:eastAsia="en-NZ"/>
        </w:rPr>
        <w:tab/>
      </w:r>
      <w:r w:rsidR="005A3651">
        <w:rPr>
          <w:noProof/>
          <w:lang w:eastAsia="en-NZ"/>
        </w:rPr>
        <w:t xml:space="preserve">The relationship </w:t>
      </w:r>
      <w:r w:rsidR="00145AD7">
        <w:rPr>
          <w:noProof/>
          <w:lang w:eastAsia="en-NZ"/>
        </w:rPr>
        <w:t>between</w:t>
      </w:r>
      <w:r w:rsidR="005A3651">
        <w:rPr>
          <w:noProof/>
          <w:lang w:eastAsia="en-NZ"/>
        </w:rPr>
        <w:t xml:space="preserve"> the </w:t>
      </w:r>
      <w:r w:rsidR="005A3651" w:rsidRPr="005A3651">
        <w:rPr>
          <w:b/>
          <w:noProof/>
          <w:lang w:eastAsia="en-NZ"/>
        </w:rPr>
        <w:t>related party</w:t>
      </w:r>
      <w:r w:rsidR="005A3651">
        <w:rPr>
          <w:noProof/>
          <w:lang w:eastAsia="en-NZ"/>
        </w:rPr>
        <w:t xml:space="preserve"> </w:t>
      </w:r>
      <w:r w:rsidR="00E31902">
        <w:rPr>
          <w:noProof/>
          <w:lang w:eastAsia="en-NZ"/>
        </w:rPr>
        <w:t>and</w:t>
      </w:r>
      <w:r w:rsidR="005A3651">
        <w:rPr>
          <w:noProof/>
          <w:lang w:eastAsia="en-NZ"/>
        </w:rPr>
        <w:t xml:space="preserve"> </w:t>
      </w:r>
      <w:r w:rsidR="005A3651" w:rsidRPr="005A3651">
        <w:rPr>
          <w:b/>
          <w:noProof/>
          <w:lang w:eastAsia="en-NZ"/>
        </w:rPr>
        <w:t>Transpower</w:t>
      </w:r>
      <w:r w:rsidR="005A3651">
        <w:rPr>
          <w:b/>
          <w:noProof/>
          <w:lang w:eastAsia="en-NZ"/>
        </w:rPr>
        <w:t>;</w:t>
      </w:r>
    </w:p>
    <w:p w:rsidR="005A3651" w:rsidRDefault="00464882" w:rsidP="00464882">
      <w:pPr>
        <w:pStyle w:val="Para2"/>
        <w:numPr>
          <w:ilvl w:val="0"/>
          <w:numId w:val="0"/>
        </w:numPr>
        <w:ind w:left="1843" w:hanging="425"/>
        <w:rPr>
          <w:noProof/>
          <w:lang w:eastAsia="en-NZ"/>
        </w:rPr>
      </w:pPr>
      <w:r>
        <w:rPr>
          <w:noProof/>
          <w:lang w:eastAsia="en-NZ"/>
        </w:rPr>
        <w:t>9.5.3</w:t>
      </w:r>
      <w:r>
        <w:rPr>
          <w:noProof/>
          <w:lang w:eastAsia="en-NZ"/>
        </w:rPr>
        <w:tab/>
      </w:r>
      <w:r w:rsidR="005A3651">
        <w:rPr>
          <w:noProof/>
          <w:lang w:eastAsia="en-NZ"/>
        </w:rPr>
        <w:t>A description of the transaction;</w:t>
      </w:r>
    </w:p>
    <w:p w:rsidR="005A3651" w:rsidRDefault="00464882" w:rsidP="00464882">
      <w:pPr>
        <w:pStyle w:val="Para2"/>
        <w:numPr>
          <w:ilvl w:val="0"/>
          <w:numId w:val="0"/>
        </w:numPr>
        <w:ind w:left="1843" w:hanging="425"/>
        <w:rPr>
          <w:noProof/>
          <w:lang w:eastAsia="en-NZ"/>
        </w:rPr>
      </w:pPr>
      <w:r>
        <w:rPr>
          <w:noProof/>
          <w:lang w:eastAsia="en-NZ"/>
        </w:rPr>
        <w:t>9.5.4</w:t>
      </w:r>
      <w:r>
        <w:rPr>
          <w:noProof/>
          <w:lang w:eastAsia="en-NZ"/>
        </w:rPr>
        <w:tab/>
      </w:r>
      <w:r w:rsidR="005A3651">
        <w:rPr>
          <w:noProof/>
          <w:lang w:eastAsia="en-NZ"/>
        </w:rPr>
        <w:t>The value of the transaction; and</w:t>
      </w:r>
    </w:p>
    <w:p w:rsidR="005A3651" w:rsidRDefault="00464882" w:rsidP="00464882">
      <w:pPr>
        <w:pStyle w:val="Para2"/>
        <w:numPr>
          <w:ilvl w:val="0"/>
          <w:numId w:val="0"/>
        </w:numPr>
        <w:ind w:left="1843" w:hanging="425"/>
        <w:rPr>
          <w:noProof/>
          <w:lang w:eastAsia="en-NZ"/>
        </w:rPr>
      </w:pPr>
      <w:r>
        <w:rPr>
          <w:noProof/>
          <w:lang w:eastAsia="en-NZ"/>
        </w:rPr>
        <w:t>9.5.5</w:t>
      </w:r>
      <w:r>
        <w:rPr>
          <w:noProof/>
          <w:lang w:eastAsia="en-NZ"/>
        </w:rPr>
        <w:tab/>
      </w:r>
      <w:r w:rsidR="005A3651">
        <w:rPr>
          <w:noProof/>
          <w:lang w:eastAsia="en-NZ"/>
        </w:rPr>
        <w:t xml:space="preserve">The basis </w:t>
      </w:r>
      <w:r w:rsidR="00E31902">
        <w:rPr>
          <w:noProof/>
          <w:lang w:eastAsia="en-NZ"/>
        </w:rPr>
        <w:t xml:space="preserve">used </w:t>
      </w:r>
      <w:r w:rsidR="005A3651">
        <w:rPr>
          <w:noProof/>
          <w:lang w:eastAsia="en-NZ"/>
        </w:rPr>
        <w:t>for determining the value of the transaction.</w:t>
      </w:r>
    </w:p>
    <w:p w:rsidR="005A3651" w:rsidRDefault="005A3651" w:rsidP="006670FE">
      <w:pPr>
        <w:pStyle w:val="Para2"/>
        <w:numPr>
          <w:ilvl w:val="0"/>
          <w:numId w:val="0"/>
        </w:numPr>
        <w:ind w:left="1418" w:hanging="698"/>
        <w:rPr>
          <w:noProof/>
          <w:lang w:eastAsia="en-NZ"/>
        </w:rPr>
      </w:pPr>
      <w:r>
        <w:rPr>
          <w:noProof/>
          <w:lang w:eastAsia="en-NZ"/>
        </w:rPr>
        <w:t>9.</w:t>
      </w:r>
      <w:r w:rsidR="002D5530">
        <w:rPr>
          <w:noProof/>
          <w:lang w:eastAsia="en-NZ"/>
        </w:rPr>
        <w:t>6</w:t>
      </w:r>
      <w:r>
        <w:rPr>
          <w:noProof/>
          <w:lang w:eastAsia="en-NZ"/>
        </w:rPr>
        <w:tab/>
      </w:r>
      <w:r w:rsidR="003B4624">
        <w:rPr>
          <w:noProof/>
          <w:lang w:eastAsia="en-NZ"/>
        </w:rPr>
        <w:t xml:space="preserve">All </w:t>
      </w:r>
      <w:r w:rsidR="003B4624">
        <w:rPr>
          <w:lang w:eastAsia="en-NZ"/>
        </w:rPr>
        <w:t>contracts</w:t>
      </w:r>
      <w:r w:rsidR="003B4624">
        <w:rPr>
          <w:noProof/>
          <w:lang w:eastAsia="en-NZ"/>
        </w:rPr>
        <w:t xml:space="preserve"> </w:t>
      </w:r>
      <w:r w:rsidR="003B4624">
        <w:t>entered</w:t>
      </w:r>
      <w:r w:rsidR="003B4624">
        <w:rPr>
          <w:noProof/>
          <w:lang w:eastAsia="en-NZ"/>
        </w:rPr>
        <w:t xml:space="preserve"> into </w:t>
      </w:r>
      <w:r w:rsidR="003368A5">
        <w:rPr>
          <w:noProof/>
          <w:lang w:eastAsia="en-NZ"/>
        </w:rPr>
        <w:t xml:space="preserve">where </w:t>
      </w:r>
      <w:r w:rsidR="003B4624">
        <w:rPr>
          <w:noProof/>
          <w:lang w:eastAsia="en-NZ"/>
        </w:rPr>
        <w:t xml:space="preserve">the </w:t>
      </w:r>
      <w:r w:rsidR="001D7192">
        <w:rPr>
          <w:b/>
          <w:noProof/>
          <w:lang w:eastAsia="en-NZ"/>
        </w:rPr>
        <w:t>Trans</w:t>
      </w:r>
      <w:r w:rsidR="003B4624" w:rsidRPr="003B4624">
        <w:rPr>
          <w:b/>
          <w:noProof/>
          <w:lang w:eastAsia="en-NZ"/>
        </w:rPr>
        <w:t>m</w:t>
      </w:r>
      <w:r w:rsidR="003368A5">
        <w:rPr>
          <w:b/>
          <w:noProof/>
          <w:lang w:eastAsia="en-NZ"/>
        </w:rPr>
        <w:t>s</w:t>
      </w:r>
      <w:r w:rsidR="003B4624" w:rsidRPr="003B4624">
        <w:rPr>
          <w:b/>
          <w:noProof/>
          <w:lang w:eastAsia="en-NZ"/>
        </w:rPr>
        <w:t>ision Pricing Methodology</w:t>
      </w:r>
      <w:r w:rsidR="003B4624">
        <w:rPr>
          <w:noProof/>
          <w:lang w:eastAsia="en-NZ"/>
        </w:rPr>
        <w:t xml:space="preserve"> does not apply including:</w:t>
      </w:r>
    </w:p>
    <w:p w:rsidR="003B4624" w:rsidRDefault="003B4624" w:rsidP="00B61934">
      <w:pPr>
        <w:pStyle w:val="Para2"/>
        <w:numPr>
          <w:ilvl w:val="2"/>
          <w:numId w:val="29"/>
        </w:numPr>
        <w:ind w:hanging="1144"/>
        <w:rPr>
          <w:noProof/>
          <w:lang w:eastAsia="en-NZ"/>
        </w:rPr>
      </w:pPr>
      <w:r>
        <w:rPr>
          <w:noProof/>
          <w:lang w:eastAsia="en-NZ"/>
        </w:rPr>
        <w:t>The</w:t>
      </w:r>
      <w:r w:rsidR="001D7192">
        <w:rPr>
          <w:noProof/>
          <w:lang w:eastAsia="en-NZ"/>
        </w:rPr>
        <w:t xml:space="preserve"> name or</w:t>
      </w:r>
      <w:r>
        <w:rPr>
          <w:noProof/>
          <w:lang w:eastAsia="en-NZ"/>
        </w:rPr>
        <w:t xml:space="preserve"> title of the contract;</w:t>
      </w:r>
    </w:p>
    <w:p w:rsidR="003B4624" w:rsidRDefault="003B4624" w:rsidP="00B61934">
      <w:pPr>
        <w:pStyle w:val="Para2"/>
        <w:numPr>
          <w:ilvl w:val="2"/>
          <w:numId w:val="29"/>
        </w:numPr>
        <w:ind w:hanging="1144"/>
        <w:rPr>
          <w:noProof/>
          <w:lang w:eastAsia="en-NZ"/>
        </w:rPr>
      </w:pPr>
      <w:r>
        <w:rPr>
          <w:noProof/>
          <w:lang w:eastAsia="en-NZ"/>
        </w:rPr>
        <w:t>A brief description of the contract;</w:t>
      </w:r>
    </w:p>
    <w:p w:rsidR="003B4624" w:rsidRDefault="003B4624" w:rsidP="00B61934">
      <w:pPr>
        <w:pStyle w:val="Para2"/>
        <w:numPr>
          <w:ilvl w:val="2"/>
          <w:numId w:val="29"/>
        </w:numPr>
        <w:ind w:hanging="1144"/>
        <w:rPr>
          <w:noProof/>
          <w:lang w:eastAsia="en-NZ"/>
        </w:rPr>
      </w:pPr>
      <w:r>
        <w:rPr>
          <w:noProof/>
          <w:lang w:eastAsia="en-NZ"/>
        </w:rPr>
        <w:t>The contracting customer;</w:t>
      </w:r>
    </w:p>
    <w:p w:rsidR="003B4624" w:rsidRDefault="003B4624" w:rsidP="00B61934">
      <w:pPr>
        <w:pStyle w:val="Para2"/>
        <w:numPr>
          <w:ilvl w:val="2"/>
          <w:numId w:val="29"/>
        </w:numPr>
        <w:ind w:hanging="1144"/>
        <w:rPr>
          <w:noProof/>
          <w:lang w:eastAsia="en-NZ"/>
        </w:rPr>
      </w:pPr>
      <w:r>
        <w:rPr>
          <w:noProof/>
          <w:lang w:eastAsia="en-NZ"/>
        </w:rPr>
        <w:t>The date of the contract;</w:t>
      </w:r>
    </w:p>
    <w:p w:rsidR="003B4624" w:rsidRDefault="003B4624" w:rsidP="00B61934">
      <w:pPr>
        <w:pStyle w:val="Para2"/>
        <w:numPr>
          <w:ilvl w:val="2"/>
          <w:numId w:val="29"/>
        </w:numPr>
        <w:ind w:hanging="1144"/>
        <w:rPr>
          <w:noProof/>
          <w:lang w:eastAsia="en-NZ"/>
        </w:rPr>
      </w:pPr>
      <w:r>
        <w:rPr>
          <w:noProof/>
          <w:lang w:eastAsia="en-NZ"/>
        </w:rPr>
        <w:t>Capacity of the investment; and</w:t>
      </w:r>
    </w:p>
    <w:p w:rsidR="003B4624" w:rsidRDefault="003B4624" w:rsidP="00B61934">
      <w:pPr>
        <w:pStyle w:val="Para2"/>
        <w:numPr>
          <w:ilvl w:val="2"/>
          <w:numId w:val="29"/>
        </w:numPr>
        <w:ind w:hanging="1144"/>
        <w:rPr>
          <w:noProof/>
          <w:lang w:eastAsia="en-NZ"/>
        </w:rPr>
      </w:pPr>
      <w:r>
        <w:rPr>
          <w:noProof/>
          <w:lang w:eastAsia="en-NZ"/>
        </w:rPr>
        <w:t>Build cost.</w:t>
      </w:r>
    </w:p>
    <w:p w:rsidR="003B4624" w:rsidRDefault="003B4624" w:rsidP="003B4624">
      <w:pPr>
        <w:pStyle w:val="Para2"/>
        <w:numPr>
          <w:ilvl w:val="0"/>
          <w:numId w:val="0"/>
        </w:numPr>
        <w:ind w:left="1843" w:hanging="850"/>
        <w:rPr>
          <w:noProof/>
          <w:lang w:eastAsia="en-NZ"/>
        </w:rPr>
      </w:pPr>
      <w:r>
        <w:rPr>
          <w:noProof/>
          <w:lang w:eastAsia="en-NZ"/>
        </w:rPr>
        <w:t>9.</w:t>
      </w:r>
      <w:r w:rsidR="00464882">
        <w:rPr>
          <w:noProof/>
          <w:lang w:eastAsia="en-NZ"/>
        </w:rPr>
        <w:t>7</w:t>
      </w:r>
      <w:r>
        <w:rPr>
          <w:noProof/>
          <w:lang w:eastAsia="en-NZ"/>
        </w:rPr>
        <w:tab/>
        <w:t>Explanations for the variance between</w:t>
      </w:r>
      <w:r w:rsidR="00FF0390">
        <w:rPr>
          <w:noProof/>
          <w:lang w:eastAsia="en-NZ"/>
        </w:rPr>
        <w:t xml:space="preserve"> actual and</w:t>
      </w:r>
      <w:r>
        <w:rPr>
          <w:noProof/>
          <w:lang w:eastAsia="en-NZ"/>
        </w:rPr>
        <w:t xml:space="preserve"> forecast opex and</w:t>
      </w:r>
      <w:r w:rsidR="00FF0390">
        <w:rPr>
          <w:noProof/>
          <w:lang w:eastAsia="en-NZ"/>
        </w:rPr>
        <w:t xml:space="preserve"> actual and forecast</w:t>
      </w:r>
      <w:r>
        <w:rPr>
          <w:noProof/>
          <w:lang w:eastAsia="en-NZ"/>
        </w:rPr>
        <w:t xml:space="preserve"> base capex sufficiently disaggreg</w:t>
      </w:r>
      <w:r w:rsidR="003368A5">
        <w:rPr>
          <w:noProof/>
          <w:lang w:eastAsia="en-NZ"/>
        </w:rPr>
        <w:t>a</w:t>
      </w:r>
      <w:r>
        <w:rPr>
          <w:noProof/>
          <w:lang w:eastAsia="en-NZ"/>
        </w:rPr>
        <w:t xml:space="preserve">ted by category. </w:t>
      </w:r>
    </w:p>
    <w:p w:rsidR="009B4F07" w:rsidRPr="00656985" w:rsidRDefault="003B4624" w:rsidP="003B4624">
      <w:pPr>
        <w:pStyle w:val="Para2"/>
        <w:numPr>
          <w:ilvl w:val="0"/>
          <w:numId w:val="0"/>
        </w:numPr>
        <w:ind w:left="1843" w:hanging="850"/>
        <w:rPr>
          <w:noProof/>
          <w:lang w:eastAsia="en-NZ"/>
        </w:rPr>
      </w:pPr>
      <w:r>
        <w:rPr>
          <w:noProof/>
          <w:lang w:eastAsia="en-NZ"/>
        </w:rPr>
        <w:t>9.</w:t>
      </w:r>
      <w:r w:rsidR="00464882">
        <w:rPr>
          <w:noProof/>
          <w:lang w:eastAsia="en-NZ"/>
        </w:rPr>
        <w:t>8</w:t>
      </w:r>
      <w:r>
        <w:rPr>
          <w:noProof/>
          <w:lang w:eastAsia="en-NZ"/>
        </w:rPr>
        <w:tab/>
      </w:r>
      <w:r w:rsidR="009B4F07">
        <w:rPr>
          <w:noProof/>
          <w:lang w:eastAsia="en-NZ"/>
        </w:rPr>
        <w:t xml:space="preserve"> </w:t>
      </w:r>
      <w:r w:rsidR="00B224F6">
        <w:rPr>
          <w:noProof/>
          <w:lang w:eastAsia="en-NZ"/>
        </w:rPr>
        <w:t>T</w:t>
      </w:r>
      <w:r w:rsidR="0039376C">
        <w:rPr>
          <w:noProof/>
          <w:lang w:eastAsia="en-NZ"/>
        </w:rPr>
        <w:t xml:space="preserve">he base capex expenditure adjustment </w:t>
      </w:r>
      <w:r w:rsidR="00B224F6">
        <w:rPr>
          <w:noProof/>
          <w:lang w:eastAsia="en-NZ"/>
        </w:rPr>
        <w:t xml:space="preserve">calculated </w:t>
      </w:r>
      <w:r w:rsidR="0039376C">
        <w:rPr>
          <w:noProof/>
          <w:lang w:eastAsia="en-NZ"/>
        </w:rPr>
        <w:t xml:space="preserve">in accordance with clause B1 of the </w:t>
      </w:r>
      <w:r w:rsidR="0039376C">
        <w:rPr>
          <w:b/>
          <w:noProof/>
          <w:lang w:eastAsia="en-NZ"/>
        </w:rPr>
        <w:t>Capex IM</w:t>
      </w:r>
      <w:r w:rsidR="0079134F">
        <w:rPr>
          <w:b/>
          <w:noProof/>
          <w:lang w:eastAsia="en-NZ"/>
        </w:rPr>
        <w:t>,</w:t>
      </w:r>
      <w:r w:rsidR="00656985">
        <w:rPr>
          <w:b/>
          <w:noProof/>
          <w:lang w:eastAsia="en-NZ"/>
        </w:rPr>
        <w:t xml:space="preserve"> </w:t>
      </w:r>
      <w:r w:rsidR="00656985">
        <w:rPr>
          <w:noProof/>
          <w:lang w:eastAsia="en-NZ"/>
        </w:rPr>
        <w:t xml:space="preserve">including the values for </w:t>
      </w:r>
      <w:r w:rsidR="00656985" w:rsidRPr="00656985">
        <w:rPr>
          <w:i/>
          <w:noProof/>
          <w:lang w:eastAsia="en-NZ"/>
        </w:rPr>
        <w:t xml:space="preserve">c, e, f </w:t>
      </w:r>
      <w:r w:rsidR="00656985" w:rsidRPr="00656985">
        <w:rPr>
          <w:noProof/>
          <w:lang w:eastAsia="en-NZ"/>
        </w:rPr>
        <w:t>and</w:t>
      </w:r>
      <w:r w:rsidR="00656985" w:rsidRPr="00656985">
        <w:rPr>
          <w:i/>
          <w:noProof/>
          <w:lang w:eastAsia="en-NZ"/>
        </w:rPr>
        <w:t xml:space="preserve"> g</w:t>
      </w:r>
      <w:r w:rsidR="00656985">
        <w:rPr>
          <w:noProof/>
          <w:lang w:eastAsia="en-NZ"/>
        </w:rPr>
        <w:t xml:space="preserve">. </w:t>
      </w:r>
    </w:p>
    <w:p w:rsidR="0039376C" w:rsidRDefault="0039376C" w:rsidP="003B4624">
      <w:pPr>
        <w:pStyle w:val="Para2"/>
        <w:numPr>
          <w:ilvl w:val="0"/>
          <w:numId w:val="0"/>
        </w:numPr>
        <w:ind w:left="1843" w:hanging="850"/>
        <w:rPr>
          <w:b/>
          <w:noProof/>
          <w:lang w:eastAsia="en-NZ"/>
        </w:rPr>
      </w:pPr>
      <w:r>
        <w:rPr>
          <w:noProof/>
          <w:lang w:eastAsia="en-NZ"/>
        </w:rPr>
        <w:t>9.</w:t>
      </w:r>
      <w:r w:rsidR="00464882">
        <w:rPr>
          <w:noProof/>
          <w:lang w:eastAsia="en-NZ"/>
        </w:rPr>
        <w:t>9</w:t>
      </w:r>
      <w:r>
        <w:rPr>
          <w:noProof/>
          <w:lang w:eastAsia="en-NZ"/>
        </w:rPr>
        <w:tab/>
      </w:r>
      <w:r w:rsidR="00B224F6">
        <w:rPr>
          <w:noProof/>
          <w:lang w:eastAsia="en-NZ"/>
        </w:rPr>
        <w:t xml:space="preserve">The </w:t>
      </w:r>
      <w:r w:rsidR="00FF0390">
        <w:rPr>
          <w:noProof/>
          <w:lang w:eastAsia="en-NZ"/>
        </w:rPr>
        <w:t xml:space="preserve">base capex annual </w:t>
      </w:r>
      <w:r>
        <w:rPr>
          <w:noProof/>
          <w:lang w:eastAsia="en-NZ"/>
        </w:rPr>
        <w:t xml:space="preserve">policies and processes adjustment </w:t>
      </w:r>
      <w:r w:rsidR="00B224F6">
        <w:rPr>
          <w:noProof/>
          <w:lang w:eastAsia="en-NZ"/>
        </w:rPr>
        <w:t xml:space="preserve">calculated </w:t>
      </w:r>
      <w:r>
        <w:rPr>
          <w:noProof/>
          <w:lang w:eastAsia="en-NZ"/>
        </w:rPr>
        <w:t xml:space="preserve">in accordance with clause B2 of the </w:t>
      </w:r>
      <w:r w:rsidRPr="0039376C">
        <w:rPr>
          <w:b/>
          <w:noProof/>
          <w:lang w:eastAsia="en-NZ"/>
        </w:rPr>
        <w:t>Capex IM</w:t>
      </w:r>
      <w:r w:rsidR="0079134F">
        <w:rPr>
          <w:b/>
          <w:noProof/>
          <w:lang w:eastAsia="en-NZ"/>
        </w:rPr>
        <w:t>,</w:t>
      </w:r>
      <w:r w:rsidR="00656985" w:rsidRPr="00656985">
        <w:rPr>
          <w:noProof/>
          <w:lang w:eastAsia="en-NZ"/>
        </w:rPr>
        <w:t xml:space="preserve"> </w:t>
      </w:r>
      <w:r w:rsidR="00656985">
        <w:rPr>
          <w:noProof/>
          <w:lang w:eastAsia="en-NZ"/>
        </w:rPr>
        <w:t>including the values for h</w:t>
      </w:r>
      <w:r w:rsidR="00656985" w:rsidRPr="00656985">
        <w:rPr>
          <w:i/>
          <w:noProof/>
          <w:lang w:eastAsia="en-NZ"/>
        </w:rPr>
        <w:t xml:space="preserve"> </w:t>
      </w:r>
      <w:r w:rsidR="00656985" w:rsidRPr="00656985">
        <w:rPr>
          <w:noProof/>
          <w:lang w:eastAsia="en-NZ"/>
        </w:rPr>
        <w:t>and</w:t>
      </w:r>
      <w:r w:rsidR="00656985">
        <w:rPr>
          <w:i/>
          <w:noProof/>
          <w:lang w:eastAsia="en-NZ"/>
        </w:rPr>
        <w:t xml:space="preserve"> h’</w:t>
      </w:r>
      <w:r w:rsidR="00656985">
        <w:rPr>
          <w:noProof/>
          <w:lang w:eastAsia="en-NZ"/>
        </w:rPr>
        <w:t>.</w:t>
      </w:r>
    </w:p>
    <w:p w:rsidR="0039376C" w:rsidRPr="00656985" w:rsidRDefault="0039376C" w:rsidP="003B4624">
      <w:pPr>
        <w:pStyle w:val="Para2"/>
        <w:numPr>
          <w:ilvl w:val="0"/>
          <w:numId w:val="0"/>
        </w:numPr>
        <w:ind w:left="1843" w:hanging="850"/>
        <w:rPr>
          <w:noProof/>
          <w:lang w:eastAsia="en-NZ"/>
        </w:rPr>
      </w:pPr>
      <w:r>
        <w:rPr>
          <w:noProof/>
          <w:lang w:eastAsia="en-NZ"/>
        </w:rPr>
        <w:t>9.1</w:t>
      </w:r>
      <w:r w:rsidR="00464882">
        <w:rPr>
          <w:noProof/>
          <w:lang w:eastAsia="en-NZ"/>
        </w:rPr>
        <w:t>0</w:t>
      </w:r>
      <w:r>
        <w:rPr>
          <w:noProof/>
          <w:lang w:eastAsia="en-NZ"/>
        </w:rPr>
        <w:tab/>
      </w:r>
      <w:r w:rsidR="00A422D2">
        <w:rPr>
          <w:noProof/>
          <w:lang w:eastAsia="en-NZ"/>
        </w:rPr>
        <w:t>T</w:t>
      </w:r>
      <w:r>
        <w:rPr>
          <w:noProof/>
          <w:lang w:eastAsia="en-NZ"/>
        </w:rPr>
        <w:t xml:space="preserve">he </w:t>
      </w:r>
      <w:r w:rsidR="00FF0390">
        <w:rPr>
          <w:noProof/>
          <w:lang w:eastAsia="en-NZ"/>
        </w:rPr>
        <w:t xml:space="preserve">annual </w:t>
      </w:r>
      <w:r>
        <w:rPr>
          <w:noProof/>
          <w:lang w:eastAsia="en-NZ"/>
        </w:rPr>
        <w:t xml:space="preserve">grid output adjustment </w:t>
      </w:r>
      <w:r w:rsidR="00B224F6">
        <w:rPr>
          <w:noProof/>
          <w:lang w:eastAsia="en-NZ"/>
        </w:rPr>
        <w:t xml:space="preserve">calculated </w:t>
      </w:r>
      <w:r>
        <w:rPr>
          <w:noProof/>
          <w:lang w:eastAsia="en-NZ"/>
        </w:rPr>
        <w:t xml:space="preserve">in accordance with clause B3 of the </w:t>
      </w:r>
      <w:r>
        <w:rPr>
          <w:b/>
          <w:noProof/>
          <w:lang w:eastAsia="en-NZ"/>
        </w:rPr>
        <w:t>Capex IM</w:t>
      </w:r>
      <w:r w:rsidR="00B224F6">
        <w:rPr>
          <w:b/>
          <w:noProof/>
          <w:lang w:eastAsia="en-NZ"/>
        </w:rPr>
        <w:t>,</w:t>
      </w:r>
      <w:r w:rsidR="00656985">
        <w:rPr>
          <w:b/>
          <w:noProof/>
          <w:lang w:eastAsia="en-NZ"/>
        </w:rPr>
        <w:t xml:space="preserve"> </w:t>
      </w:r>
      <w:r w:rsidR="00656985">
        <w:rPr>
          <w:noProof/>
          <w:lang w:eastAsia="en-NZ"/>
        </w:rPr>
        <w:t xml:space="preserve">including the value for </w:t>
      </w:r>
      <w:r w:rsidR="00656985">
        <w:rPr>
          <w:i/>
          <w:noProof/>
          <w:lang w:eastAsia="en-NZ"/>
        </w:rPr>
        <w:t>m.</w:t>
      </w:r>
      <w:r w:rsidR="00656985">
        <w:rPr>
          <w:noProof/>
          <w:lang w:eastAsia="en-NZ"/>
        </w:rPr>
        <w:t xml:space="preserve"> </w:t>
      </w:r>
    </w:p>
    <w:p w:rsidR="003B4624" w:rsidRPr="00E90554" w:rsidRDefault="003B4624" w:rsidP="006670FE">
      <w:pPr>
        <w:pStyle w:val="Para2"/>
        <w:numPr>
          <w:ilvl w:val="0"/>
          <w:numId w:val="0"/>
        </w:numPr>
        <w:ind w:left="1843" w:hanging="850"/>
        <w:rPr>
          <w:lang w:val="en-US"/>
        </w:rPr>
      </w:pPr>
      <w:r>
        <w:rPr>
          <w:noProof/>
        </w:rPr>
        <w:t>9.1</w:t>
      </w:r>
      <w:r w:rsidR="00464882">
        <w:rPr>
          <w:noProof/>
        </w:rPr>
        <w:t>1</w:t>
      </w:r>
      <w:r>
        <w:rPr>
          <w:noProof/>
        </w:rPr>
        <w:tab/>
      </w:r>
      <w:r w:rsidR="008F0AD0">
        <w:rPr>
          <w:lang w:val="en-US"/>
        </w:rPr>
        <w:t>A</w:t>
      </w:r>
      <w:r w:rsidRPr="00E90554">
        <w:rPr>
          <w:lang w:val="en-US"/>
        </w:rPr>
        <w:t xml:space="preserve"> list of the base capex projects for which </w:t>
      </w:r>
      <w:r w:rsidRPr="008F0AD0">
        <w:rPr>
          <w:b/>
          <w:lang w:val="en-US"/>
        </w:rPr>
        <w:t>Transpower</w:t>
      </w:r>
      <w:r w:rsidRPr="00E90554">
        <w:rPr>
          <w:lang w:val="en-US"/>
        </w:rPr>
        <w:t xml:space="preserve"> </w:t>
      </w:r>
      <w:r w:rsidRPr="006670FE">
        <w:rPr>
          <w:noProof/>
          <w:lang w:eastAsia="en-NZ"/>
        </w:rPr>
        <w:t>has</w:t>
      </w:r>
      <w:r w:rsidRPr="00E90554">
        <w:rPr>
          <w:lang w:val="en-US"/>
        </w:rPr>
        <w:t xml:space="preserve"> submitted a major capex proposal to the </w:t>
      </w:r>
      <w:r w:rsidRPr="008F0AD0">
        <w:rPr>
          <w:b/>
          <w:lang w:val="en-US"/>
        </w:rPr>
        <w:t>Commission</w:t>
      </w:r>
      <w:r w:rsidRPr="00E90554">
        <w:rPr>
          <w:lang w:val="en-US"/>
        </w:rPr>
        <w:t>, and the reduction in the approved base capex for the regulatory control period made in respect of the amount of major capex.</w:t>
      </w:r>
    </w:p>
    <w:p w:rsidR="003B4624" w:rsidRPr="003C10BF" w:rsidRDefault="006076EB" w:rsidP="006670FE">
      <w:pPr>
        <w:pStyle w:val="Para2"/>
        <w:numPr>
          <w:ilvl w:val="0"/>
          <w:numId w:val="0"/>
        </w:numPr>
        <w:ind w:left="1843" w:hanging="850"/>
        <w:rPr>
          <w:lang w:val="en-US"/>
        </w:rPr>
      </w:pPr>
      <w:r>
        <w:rPr>
          <w:lang w:val="en-US"/>
        </w:rPr>
        <w:t>9.1</w:t>
      </w:r>
      <w:r w:rsidR="00464882">
        <w:rPr>
          <w:lang w:val="en-US"/>
        </w:rPr>
        <w:t>2</w:t>
      </w:r>
      <w:r>
        <w:rPr>
          <w:lang w:val="en-US"/>
        </w:rPr>
        <w:tab/>
      </w:r>
      <w:r w:rsidR="008F0AD0">
        <w:rPr>
          <w:lang w:val="en-US"/>
        </w:rPr>
        <w:t>F</w:t>
      </w:r>
      <w:r w:rsidR="003B4624" w:rsidRPr="00E90554">
        <w:rPr>
          <w:lang w:val="en-US"/>
        </w:rPr>
        <w:t xml:space="preserve">or each approved major capex project where the last asset to be delivered by the project is not yet commissioned or, in the case of non-transmission solutions, the project has not yet reached its completion date as at </w:t>
      </w:r>
      <w:r w:rsidR="003B4624">
        <w:rPr>
          <w:lang w:val="en-US"/>
        </w:rPr>
        <w:t xml:space="preserve">the end of the </w:t>
      </w:r>
      <w:r w:rsidR="003B4624" w:rsidRPr="001D7192">
        <w:rPr>
          <w:b/>
          <w:lang w:val="en-US"/>
        </w:rPr>
        <w:t>disclosure year</w:t>
      </w:r>
      <w:r w:rsidR="003B4624" w:rsidRPr="00E90554">
        <w:rPr>
          <w:lang w:val="en-US"/>
        </w:rPr>
        <w:t>:</w:t>
      </w:r>
    </w:p>
    <w:p w:rsidR="003B4624" w:rsidRDefault="00464882" w:rsidP="00464882">
      <w:pPr>
        <w:pStyle w:val="ListParagraph"/>
        <w:tabs>
          <w:tab w:val="left" w:pos="1560"/>
        </w:tabs>
        <w:ind w:left="2552" w:hanging="709"/>
        <w:contextualSpacing/>
        <w:rPr>
          <w:lang w:val="en-US"/>
        </w:rPr>
      </w:pPr>
      <w:r>
        <w:rPr>
          <w:lang w:val="en-US"/>
        </w:rPr>
        <w:t>9.12.1</w:t>
      </w:r>
      <w:r>
        <w:rPr>
          <w:lang w:val="en-US"/>
        </w:rPr>
        <w:tab/>
      </w:r>
      <w:r w:rsidR="003B4624" w:rsidRPr="00E90554">
        <w:rPr>
          <w:lang w:val="en-US"/>
        </w:rPr>
        <w:t>an explanation for any material variance between the updated expected project cost and the expected project cost specified in the major capex project approval; and</w:t>
      </w:r>
    </w:p>
    <w:p w:rsidR="003B4624" w:rsidRDefault="003B4624" w:rsidP="003B4624">
      <w:pPr>
        <w:pStyle w:val="ListParagraph"/>
        <w:ind w:left="1440"/>
        <w:rPr>
          <w:lang w:val="en-US"/>
        </w:rPr>
      </w:pPr>
    </w:p>
    <w:p w:rsidR="003B4624" w:rsidRDefault="00464882" w:rsidP="00464882">
      <w:pPr>
        <w:pStyle w:val="ListParagraph"/>
        <w:tabs>
          <w:tab w:val="left" w:pos="1560"/>
        </w:tabs>
        <w:ind w:left="2552" w:hanging="709"/>
        <w:contextualSpacing/>
        <w:rPr>
          <w:lang w:val="en-US"/>
        </w:rPr>
      </w:pPr>
      <w:r>
        <w:rPr>
          <w:lang w:val="en-US"/>
        </w:rPr>
        <w:t>9.12.2</w:t>
      </w:r>
      <w:r>
        <w:rPr>
          <w:lang w:val="en-US"/>
        </w:rPr>
        <w:tab/>
      </w:r>
      <w:proofErr w:type="gramStart"/>
      <w:r w:rsidR="003B4624" w:rsidRPr="00E90554">
        <w:rPr>
          <w:lang w:val="en-US"/>
        </w:rPr>
        <w:t>an</w:t>
      </w:r>
      <w:proofErr w:type="gramEnd"/>
      <w:r w:rsidR="003B4624" w:rsidRPr="00E90554">
        <w:rPr>
          <w:lang w:val="en-US"/>
        </w:rPr>
        <w:t xml:space="preserve"> explanation for any material variance from the commissioning date</w:t>
      </w:r>
      <w:r>
        <w:rPr>
          <w:lang w:val="en-US"/>
        </w:rPr>
        <w:t xml:space="preserve"> </w:t>
      </w:r>
      <w:r w:rsidR="003B4624" w:rsidRPr="00E90554">
        <w:rPr>
          <w:lang w:val="en-US"/>
        </w:rPr>
        <w:t>assumption or completion date assumption specified in the major capex approval</w:t>
      </w:r>
      <w:r w:rsidR="008F0AD0">
        <w:rPr>
          <w:lang w:val="en-US"/>
        </w:rPr>
        <w:t>.</w:t>
      </w:r>
    </w:p>
    <w:p w:rsidR="003B4624" w:rsidRPr="00E90554" w:rsidRDefault="003B4624" w:rsidP="003B4624">
      <w:pPr>
        <w:pStyle w:val="ListParagraph"/>
        <w:rPr>
          <w:lang w:val="en-US"/>
        </w:rPr>
      </w:pPr>
    </w:p>
    <w:p w:rsidR="003B4624" w:rsidRDefault="00464882" w:rsidP="007E7470">
      <w:pPr>
        <w:pStyle w:val="Para2"/>
        <w:numPr>
          <w:ilvl w:val="0"/>
          <w:numId w:val="0"/>
        </w:numPr>
        <w:ind w:left="1843" w:hanging="850"/>
        <w:rPr>
          <w:lang w:val="en-US"/>
        </w:rPr>
      </w:pPr>
      <w:r>
        <w:rPr>
          <w:lang w:val="en-US"/>
        </w:rPr>
        <w:t xml:space="preserve">9.13 </w:t>
      </w:r>
      <w:r>
        <w:rPr>
          <w:lang w:val="en-US"/>
        </w:rPr>
        <w:tab/>
      </w:r>
      <w:r w:rsidR="008F0AD0">
        <w:rPr>
          <w:lang w:val="en-US"/>
        </w:rPr>
        <w:t>F</w:t>
      </w:r>
      <w:r w:rsidR="003B4624" w:rsidRPr="00E90554">
        <w:rPr>
          <w:lang w:val="en-US"/>
        </w:rPr>
        <w:t xml:space="preserve">or each major capex project that was commissioned in the </w:t>
      </w:r>
      <w:r w:rsidR="003B4624" w:rsidRPr="001616DB">
        <w:rPr>
          <w:b/>
          <w:lang w:val="en-US"/>
        </w:rPr>
        <w:t>disclosure year</w:t>
      </w:r>
      <w:r w:rsidR="003B4624" w:rsidRPr="00E90554">
        <w:rPr>
          <w:lang w:val="en-US"/>
        </w:rPr>
        <w:t>:</w:t>
      </w:r>
    </w:p>
    <w:p w:rsidR="003B4624" w:rsidRDefault="008F0AD0" w:rsidP="00A422D2">
      <w:pPr>
        <w:pStyle w:val="ListParagraph"/>
        <w:numPr>
          <w:ilvl w:val="2"/>
          <w:numId w:val="30"/>
        </w:numPr>
        <w:ind w:left="2835" w:hanging="992"/>
        <w:contextualSpacing/>
        <w:rPr>
          <w:lang w:val="en-US"/>
        </w:rPr>
      </w:pPr>
      <w:r>
        <w:rPr>
          <w:lang w:val="en-US"/>
        </w:rPr>
        <w:t>e</w:t>
      </w:r>
      <w:r w:rsidR="003B4624" w:rsidRPr="003D3527">
        <w:rPr>
          <w:lang w:val="en-US"/>
        </w:rPr>
        <w:t>xplanations for any material variances between the actual commissioning dates of assets associated with the project and the forecast commissioning dates specified in the major capex project approval;</w:t>
      </w:r>
    </w:p>
    <w:p w:rsidR="003B4624" w:rsidRDefault="003B4624" w:rsidP="007E7470">
      <w:pPr>
        <w:pStyle w:val="ListParagraph"/>
        <w:ind w:left="0"/>
        <w:rPr>
          <w:lang w:val="en-US"/>
        </w:rPr>
      </w:pPr>
    </w:p>
    <w:p w:rsidR="003B4624" w:rsidRDefault="003B4624" w:rsidP="00B61934">
      <w:pPr>
        <w:pStyle w:val="ListParagraph"/>
        <w:numPr>
          <w:ilvl w:val="2"/>
          <w:numId w:val="30"/>
        </w:numPr>
        <w:ind w:hanging="1037"/>
        <w:contextualSpacing/>
        <w:rPr>
          <w:lang w:val="en-US"/>
        </w:rPr>
      </w:pPr>
      <w:r w:rsidRPr="003D3527">
        <w:rPr>
          <w:lang w:val="en-US"/>
        </w:rPr>
        <w:t>for non-transmission solutions, an explanation for any material variance from the forecast recoverable costs;</w:t>
      </w:r>
    </w:p>
    <w:p w:rsidR="003B4624" w:rsidRDefault="003B4624" w:rsidP="00026CC0">
      <w:pPr>
        <w:pStyle w:val="ListParagraph"/>
        <w:ind w:left="1843" w:hanging="763"/>
        <w:rPr>
          <w:lang w:val="en-US"/>
        </w:rPr>
      </w:pPr>
    </w:p>
    <w:p w:rsidR="003B4624" w:rsidRPr="003D3527" w:rsidRDefault="003B4624" w:rsidP="00B61934">
      <w:pPr>
        <w:pStyle w:val="ListParagraph"/>
        <w:numPr>
          <w:ilvl w:val="2"/>
          <w:numId w:val="30"/>
        </w:numPr>
        <w:ind w:hanging="1037"/>
        <w:contextualSpacing/>
        <w:rPr>
          <w:lang w:val="en-US"/>
        </w:rPr>
      </w:pPr>
      <w:r w:rsidRPr="003D3527">
        <w:rPr>
          <w:lang w:val="en-US"/>
        </w:rPr>
        <w:t>an explanation of any variance from the approved major capex project outputs;</w:t>
      </w:r>
    </w:p>
    <w:p w:rsidR="003B4624" w:rsidRPr="003D3527" w:rsidRDefault="003B4624" w:rsidP="00026CC0">
      <w:pPr>
        <w:pStyle w:val="ListParagraph"/>
        <w:ind w:left="1843" w:hanging="763"/>
        <w:rPr>
          <w:lang w:val="en-US"/>
        </w:rPr>
      </w:pPr>
    </w:p>
    <w:p w:rsidR="003B4624" w:rsidRDefault="003B4624" w:rsidP="00B61934">
      <w:pPr>
        <w:pStyle w:val="ListParagraph"/>
        <w:numPr>
          <w:ilvl w:val="2"/>
          <w:numId w:val="30"/>
        </w:numPr>
        <w:ind w:hanging="1037"/>
        <w:contextualSpacing/>
        <w:rPr>
          <w:lang w:val="en-US"/>
        </w:rPr>
      </w:pPr>
      <w:r w:rsidRPr="003D3527">
        <w:rPr>
          <w:lang w:val="en-US"/>
        </w:rPr>
        <w:t xml:space="preserve">a summary of lessons learned </w:t>
      </w:r>
      <w:r w:rsidR="00905235">
        <w:rPr>
          <w:lang w:val="en-US"/>
        </w:rPr>
        <w:t xml:space="preserve">from </w:t>
      </w:r>
      <w:r w:rsidRPr="003D3527">
        <w:rPr>
          <w:lang w:val="en-US"/>
        </w:rPr>
        <w:t xml:space="preserve">the project; </w:t>
      </w:r>
    </w:p>
    <w:p w:rsidR="003B4624" w:rsidRDefault="003B4624" w:rsidP="00026CC0">
      <w:pPr>
        <w:pStyle w:val="ListParagraph"/>
        <w:ind w:left="1843" w:hanging="763"/>
        <w:rPr>
          <w:lang w:val="en-US"/>
        </w:rPr>
      </w:pPr>
    </w:p>
    <w:p w:rsidR="003B4624" w:rsidRDefault="003B4624" w:rsidP="00B61934">
      <w:pPr>
        <w:pStyle w:val="ListParagraph"/>
        <w:numPr>
          <w:ilvl w:val="2"/>
          <w:numId w:val="30"/>
        </w:numPr>
        <w:ind w:hanging="1037"/>
        <w:contextualSpacing/>
        <w:rPr>
          <w:lang w:val="en-US"/>
        </w:rPr>
      </w:pPr>
      <w:r w:rsidRPr="003D3527">
        <w:rPr>
          <w:lang w:val="en-US"/>
        </w:rPr>
        <w:t xml:space="preserve">an assessment of the amount of any cost efficiencies achieved in the course of the project </w:t>
      </w:r>
      <w:r w:rsidR="00905235">
        <w:rPr>
          <w:lang w:val="en-US"/>
        </w:rPr>
        <w:t xml:space="preserve">including </w:t>
      </w:r>
      <w:r w:rsidRPr="003D3527">
        <w:rPr>
          <w:lang w:val="en-US"/>
        </w:rPr>
        <w:t xml:space="preserve"> explanations of </w:t>
      </w:r>
      <w:r w:rsidR="00905235">
        <w:rPr>
          <w:lang w:val="en-US"/>
        </w:rPr>
        <w:t>any</w:t>
      </w:r>
      <w:r w:rsidRPr="003D3527">
        <w:rPr>
          <w:lang w:val="en-US"/>
        </w:rPr>
        <w:t xml:space="preserve"> assumptions </w:t>
      </w:r>
      <w:r w:rsidR="00905235">
        <w:rPr>
          <w:lang w:val="en-US"/>
        </w:rPr>
        <w:t>when</w:t>
      </w:r>
      <w:r w:rsidRPr="003D3527">
        <w:rPr>
          <w:lang w:val="en-US"/>
        </w:rPr>
        <w:t xml:space="preserve"> </w:t>
      </w:r>
      <w:r w:rsidR="00905235">
        <w:rPr>
          <w:lang w:val="en-US"/>
        </w:rPr>
        <w:t xml:space="preserve">making </w:t>
      </w:r>
      <w:r w:rsidRPr="003D3527">
        <w:rPr>
          <w:lang w:val="en-US"/>
        </w:rPr>
        <w:t>th</w:t>
      </w:r>
      <w:r w:rsidR="00905235">
        <w:rPr>
          <w:lang w:val="en-US"/>
        </w:rPr>
        <w:t>e</w:t>
      </w:r>
      <w:r w:rsidRPr="003D3527">
        <w:rPr>
          <w:lang w:val="en-US"/>
        </w:rPr>
        <w:t xml:space="preserve"> assessment</w:t>
      </w:r>
      <w:r w:rsidR="008F0AD0">
        <w:rPr>
          <w:lang w:val="en-US"/>
        </w:rPr>
        <w:t>;</w:t>
      </w:r>
    </w:p>
    <w:p w:rsidR="003B4624" w:rsidRPr="005D64D6" w:rsidRDefault="003B4624" w:rsidP="00026CC0">
      <w:pPr>
        <w:pStyle w:val="ListParagraph"/>
        <w:ind w:left="1843" w:hanging="763"/>
        <w:rPr>
          <w:lang w:val="en-US"/>
        </w:rPr>
      </w:pPr>
    </w:p>
    <w:p w:rsidR="003B4624" w:rsidRPr="003612B2" w:rsidRDefault="003B4624" w:rsidP="00B61934">
      <w:pPr>
        <w:pStyle w:val="ListParagraph"/>
        <w:numPr>
          <w:ilvl w:val="2"/>
          <w:numId w:val="30"/>
        </w:numPr>
        <w:ind w:hanging="1037"/>
        <w:contextualSpacing/>
        <w:rPr>
          <w:lang w:val="en-US"/>
        </w:rPr>
      </w:pPr>
      <w:r w:rsidRPr="003612B2">
        <w:rPr>
          <w:lang w:val="en-US"/>
        </w:rPr>
        <w:t>the adjusted major capex allowance for the project</w:t>
      </w:r>
      <w:r>
        <w:rPr>
          <w:lang w:val="en-US"/>
        </w:rPr>
        <w:t xml:space="preserve"> and values for the terms </w:t>
      </w:r>
      <w:r w:rsidRPr="005D64D6">
        <w:rPr>
          <w:i/>
          <w:lang w:val="en-US"/>
        </w:rPr>
        <w:t xml:space="preserve">o, p q </w:t>
      </w:r>
      <w:r w:rsidRPr="005D64D6">
        <w:rPr>
          <w:lang w:val="en-US"/>
        </w:rPr>
        <w:t xml:space="preserve">and </w:t>
      </w:r>
      <w:r w:rsidRPr="005D64D6">
        <w:rPr>
          <w:i/>
          <w:lang w:val="en-US"/>
        </w:rPr>
        <w:t>r</w:t>
      </w:r>
      <w:r w:rsidRPr="003612B2">
        <w:rPr>
          <w:lang w:val="en-US"/>
        </w:rPr>
        <w:t xml:space="preserve">, calculated in accordance with clause B4(4) of Schedule B of the </w:t>
      </w:r>
      <w:r w:rsidRPr="00905235">
        <w:rPr>
          <w:b/>
          <w:lang w:val="en-US"/>
        </w:rPr>
        <w:t>Capex IM</w:t>
      </w:r>
      <w:r w:rsidRPr="003612B2">
        <w:rPr>
          <w:lang w:val="en-US"/>
        </w:rPr>
        <w:t>;</w:t>
      </w:r>
    </w:p>
    <w:p w:rsidR="003B4624" w:rsidRDefault="003B4624" w:rsidP="00026CC0">
      <w:pPr>
        <w:pStyle w:val="ListParagraph"/>
        <w:ind w:left="1843" w:hanging="763"/>
        <w:rPr>
          <w:lang w:val="en-US"/>
        </w:rPr>
      </w:pPr>
    </w:p>
    <w:p w:rsidR="003B4624" w:rsidRDefault="003B4624" w:rsidP="00B61934">
      <w:pPr>
        <w:pStyle w:val="ListParagraph"/>
        <w:numPr>
          <w:ilvl w:val="2"/>
          <w:numId w:val="30"/>
        </w:numPr>
        <w:ind w:hanging="1037"/>
        <w:contextualSpacing/>
        <w:rPr>
          <w:lang w:val="en-US"/>
        </w:rPr>
      </w:pPr>
      <w:r w:rsidRPr="003612B2">
        <w:rPr>
          <w:lang w:val="en-US"/>
        </w:rPr>
        <w:t xml:space="preserve">the ‘excess amount’ for the project, </w:t>
      </w:r>
      <w:r w:rsidR="0079134F">
        <w:rPr>
          <w:lang w:val="en-US"/>
        </w:rPr>
        <w:t>if applicable</w:t>
      </w:r>
      <w:r w:rsidR="0079134F" w:rsidRPr="003612B2">
        <w:rPr>
          <w:lang w:val="en-US"/>
        </w:rPr>
        <w:t xml:space="preserve"> </w:t>
      </w:r>
      <w:r w:rsidR="0079134F">
        <w:rPr>
          <w:lang w:val="en-US"/>
        </w:rPr>
        <w:t xml:space="preserve">, </w:t>
      </w:r>
      <w:r w:rsidRPr="003612B2">
        <w:rPr>
          <w:lang w:val="en-US"/>
        </w:rPr>
        <w:t xml:space="preserve">as defined in clause B4(3)(a) of Schedule B of the </w:t>
      </w:r>
      <w:r w:rsidRPr="00905235">
        <w:rPr>
          <w:b/>
          <w:lang w:val="en-US"/>
        </w:rPr>
        <w:t>Capex IM</w:t>
      </w:r>
      <w:r w:rsidRPr="003612B2">
        <w:rPr>
          <w:lang w:val="en-US"/>
        </w:rPr>
        <w:t>;</w:t>
      </w:r>
    </w:p>
    <w:p w:rsidR="003B4624" w:rsidRPr="003612B2" w:rsidRDefault="003B4624" w:rsidP="00026CC0">
      <w:pPr>
        <w:pStyle w:val="ListParagraph"/>
        <w:ind w:left="1843" w:hanging="763"/>
        <w:rPr>
          <w:lang w:val="en-US"/>
        </w:rPr>
      </w:pPr>
    </w:p>
    <w:p w:rsidR="003B4624" w:rsidRPr="005D64D6" w:rsidRDefault="0079134F" w:rsidP="00B61934">
      <w:pPr>
        <w:pStyle w:val="ListParagraph"/>
        <w:numPr>
          <w:ilvl w:val="2"/>
          <w:numId w:val="30"/>
        </w:numPr>
        <w:ind w:hanging="1037"/>
        <w:contextualSpacing/>
        <w:rPr>
          <w:lang w:val="en-US"/>
        </w:rPr>
      </w:pPr>
      <w:r>
        <w:rPr>
          <w:lang w:val="en-US"/>
        </w:rPr>
        <w:t>T</w:t>
      </w:r>
      <w:r w:rsidR="003B4624" w:rsidRPr="003612B2">
        <w:rPr>
          <w:lang w:val="en-US"/>
        </w:rPr>
        <w:t xml:space="preserve">he major capex overspend adjustment for the project, </w:t>
      </w:r>
      <w:r>
        <w:rPr>
          <w:lang w:val="en-US"/>
        </w:rPr>
        <w:t>if applicable,</w:t>
      </w:r>
      <w:r w:rsidRPr="003612B2">
        <w:rPr>
          <w:lang w:val="en-US"/>
        </w:rPr>
        <w:t xml:space="preserve"> </w:t>
      </w:r>
      <w:r w:rsidR="003B4624" w:rsidRPr="003612B2">
        <w:rPr>
          <w:lang w:val="en-US"/>
        </w:rPr>
        <w:t xml:space="preserve">calculated in accordance with clause B4(1) of Schedule B of the </w:t>
      </w:r>
      <w:r w:rsidR="003B4624" w:rsidRPr="00905235">
        <w:rPr>
          <w:b/>
          <w:lang w:val="en-US"/>
        </w:rPr>
        <w:t>Capex IM</w:t>
      </w:r>
      <w:r w:rsidR="003B4624" w:rsidRPr="003612B2">
        <w:rPr>
          <w:lang w:val="en-US"/>
        </w:rPr>
        <w:t>;</w:t>
      </w:r>
    </w:p>
    <w:p w:rsidR="003B4624" w:rsidRPr="005D64D6" w:rsidRDefault="003B4624" w:rsidP="00026CC0">
      <w:pPr>
        <w:pStyle w:val="ListParagraph"/>
        <w:ind w:left="1843" w:hanging="763"/>
        <w:rPr>
          <w:lang w:val="en-US"/>
        </w:rPr>
      </w:pPr>
    </w:p>
    <w:p w:rsidR="003B4624" w:rsidRPr="003612B2" w:rsidRDefault="003B4624" w:rsidP="00B61934">
      <w:pPr>
        <w:pStyle w:val="ListParagraph"/>
        <w:numPr>
          <w:ilvl w:val="2"/>
          <w:numId w:val="30"/>
        </w:numPr>
        <w:ind w:hanging="1037"/>
        <w:contextualSpacing/>
        <w:rPr>
          <w:lang w:val="en-US"/>
        </w:rPr>
      </w:pPr>
      <w:r w:rsidRPr="003612B2">
        <w:rPr>
          <w:lang w:val="en-US"/>
        </w:rPr>
        <w:t>a</w:t>
      </w:r>
      <w:r w:rsidR="006076EB">
        <w:rPr>
          <w:lang w:val="en-US"/>
        </w:rPr>
        <w:t>n</w:t>
      </w:r>
      <w:r w:rsidRPr="003612B2">
        <w:rPr>
          <w:lang w:val="en-US"/>
        </w:rPr>
        <w:t xml:space="preserve"> explanation for </w:t>
      </w:r>
      <w:r w:rsidR="001616DB">
        <w:rPr>
          <w:lang w:val="en-US"/>
        </w:rPr>
        <w:t xml:space="preserve">any </w:t>
      </w:r>
      <w:r w:rsidRPr="003612B2">
        <w:rPr>
          <w:lang w:val="en-US"/>
        </w:rPr>
        <w:t xml:space="preserve">overspend; </w:t>
      </w:r>
    </w:p>
    <w:p w:rsidR="003B4624" w:rsidRDefault="003B4624" w:rsidP="00026CC0">
      <w:pPr>
        <w:pStyle w:val="ListParagraph"/>
        <w:ind w:left="1843" w:hanging="763"/>
        <w:rPr>
          <w:lang w:val="en-US"/>
        </w:rPr>
      </w:pPr>
    </w:p>
    <w:p w:rsidR="003B4624" w:rsidRDefault="003B4624" w:rsidP="00B61934">
      <w:pPr>
        <w:pStyle w:val="ListParagraph"/>
        <w:numPr>
          <w:ilvl w:val="2"/>
          <w:numId w:val="30"/>
        </w:numPr>
        <w:ind w:hanging="1037"/>
        <w:contextualSpacing/>
        <w:rPr>
          <w:lang w:val="en-US"/>
        </w:rPr>
      </w:pPr>
      <w:r w:rsidRPr="003612B2">
        <w:rPr>
          <w:lang w:val="en-US"/>
        </w:rPr>
        <w:t>a</w:t>
      </w:r>
      <w:r w:rsidR="006076EB">
        <w:rPr>
          <w:lang w:val="en-US"/>
        </w:rPr>
        <w:t>n</w:t>
      </w:r>
      <w:r w:rsidRPr="003612B2">
        <w:rPr>
          <w:lang w:val="en-US"/>
        </w:rPr>
        <w:t xml:space="preserve"> explanation for any amount that should not be included in the major capex overspend adjustment, being item r in clause B4(4) of Schedule B of the </w:t>
      </w:r>
      <w:r w:rsidRPr="001616DB">
        <w:rPr>
          <w:b/>
          <w:lang w:val="en-US"/>
        </w:rPr>
        <w:t>Capex IM</w:t>
      </w:r>
      <w:r w:rsidRPr="003612B2">
        <w:rPr>
          <w:lang w:val="en-US"/>
        </w:rPr>
        <w:t>, with the extent of narrative being appropriate to the amount of the overspend</w:t>
      </w:r>
    </w:p>
    <w:p w:rsidR="003B4624" w:rsidRPr="00B34EFE" w:rsidRDefault="003B4624" w:rsidP="00026CC0">
      <w:pPr>
        <w:pStyle w:val="ListParagraph"/>
        <w:ind w:left="1843" w:hanging="763"/>
        <w:rPr>
          <w:lang w:val="en-US"/>
        </w:rPr>
      </w:pPr>
    </w:p>
    <w:p w:rsidR="003B4624" w:rsidRPr="00721AC9" w:rsidRDefault="003B4624" w:rsidP="00B61934">
      <w:pPr>
        <w:pStyle w:val="ListParagraph"/>
        <w:numPr>
          <w:ilvl w:val="2"/>
          <w:numId w:val="30"/>
        </w:numPr>
        <w:ind w:hanging="1037"/>
        <w:contextualSpacing/>
        <w:rPr>
          <w:lang w:val="en-US"/>
        </w:rPr>
      </w:pPr>
      <w:r w:rsidRPr="00721AC9">
        <w:rPr>
          <w:lang w:val="en-US"/>
        </w:rPr>
        <w:t xml:space="preserve">the capital expenditure amount for each project where the approved major capex project outputs were not met, </w:t>
      </w:r>
      <w:r w:rsidR="0079134F">
        <w:rPr>
          <w:lang w:val="en-US"/>
        </w:rPr>
        <w:t xml:space="preserve">calculated </w:t>
      </w:r>
      <w:r w:rsidRPr="00721AC9">
        <w:rPr>
          <w:lang w:val="en-US"/>
        </w:rPr>
        <w:t>in accordance with the definition in term t in clause B5(1) of Schedule B of</w:t>
      </w:r>
      <w:r>
        <w:rPr>
          <w:lang w:val="en-US"/>
        </w:rPr>
        <w:t xml:space="preserve"> the </w:t>
      </w:r>
      <w:r w:rsidRPr="00B224F6">
        <w:rPr>
          <w:b/>
          <w:lang w:val="en-US"/>
        </w:rPr>
        <w:t>Capex IM</w:t>
      </w:r>
      <w:r>
        <w:rPr>
          <w:lang w:val="en-US"/>
        </w:rPr>
        <w:t xml:space="preserve">; </w:t>
      </w:r>
    </w:p>
    <w:p w:rsidR="003B4624" w:rsidRPr="00721AC9" w:rsidRDefault="003B4624" w:rsidP="00026CC0">
      <w:pPr>
        <w:pStyle w:val="ListParagraph"/>
        <w:ind w:left="1843" w:hanging="763"/>
        <w:rPr>
          <w:lang w:val="en-US"/>
        </w:rPr>
      </w:pPr>
    </w:p>
    <w:p w:rsidR="007500BA" w:rsidRPr="00196EB7" w:rsidRDefault="003B4624" w:rsidP="00B61934">
      <w:pPr>
        <w:pStyle w:val="ListParagraph"/>
        <w:numPr>
          <w:ilvl w:val="2"/>
          <w:numId w:val="30"/>
        </w:numPr>
        <w:ind w:hanging="1037"/>
        <w:contextualSpacing/>
        <w:rPr>
          <w:lang w:val="en-US"/>
        </w:rPr>
      </w:pPr>
      <w:r w:rsidRPr="00721AC9">
        <w:rPr>
          <w:lang w:val="en-US"/>
        </w:rPr>
        <w:t xml:space="preserve">the major capex project output adjustment for the project, </w:t>
      </w:r>
      <w:r w:rsidR="0079134F">
        <w:rPr>
          <w:lang w:val="en-US"/>
        </w:rPr>
        <w:t xml:space="preserve">if applicable, </w:t>
      </w:r>
      <w:r w:rsidRPr="00721AC9">
        <w:rPr>
          <w:lang w:val="en-US"/>
        </w:rPr>
        <w:t xml:space="preserve">calculated in accordance with clause B5(1) of Schedule B of the </w:t>
      </w:r>
      <w:r w:rsidRPr="00B224F6">
        <w:rPr>
          <w:b/>
          <w:lang w:val="en-US"/>
        </w:rPr>
        <w:t>Capex IM</w:t>
      </w:r>
      <w:r w:rsidR="00244F67">
        <w:rPr>
          <w:lang w:val="en-US"/>
        </w:rPr>
        <w:t>,</w:t>
      </w:r>
      <w:r w:rsidRPr="00721AC9">
        <w:rPr>
          <w:lang w:val="en-US"/>
        </w:rPr>
        <w:t>;</w:t>
      </w:r>
      <w:r w:rsidR="008F0AD0">
        <w:rPr>
          <w:lang w:val="en-US"/>
        </w:rPr>
        <w:t xml:space="preserve"> and</w:t>
      </w:r>
    </w:p>
    <w:p w:rsidR="003B4624" w:rsidRPr="00721AC9" w:rsidRDefault="003B4624" w:rsidP="00026CC0">
      <w:pPr>
        <w:pStyle w:val="ListParagraph"/>
        <w:ind w:left="1843" w:hanging="763"/>
        <w:rPr>
          <w:lang w:val="en-US"/>
        </w:rPr>
      </w:pPr>
    </w:p>
    <w:p w:rsidR="00700D1A" w:rsidRPr="00700D1A" w:rsidRDefault="003B4624" w:rsidP="00B61934">
      <w:pPr>
        <w:pStyle w:val="ListParagraph"/>
        <w:numPr>
          <w:ilvl w:val="2"/>
          <w:numId w:val="30"/>
        </w:numPr>
        <w:ind w:hanging="1037"/>
        <w:contextualSpacing/>
        <w:rPr>
          <w:lang w:val="en-US"/>
        </w:rPr>
      </w:pPr>
      <w:proofErr w:type="gramStart"/>
      <w:r w:rsidRPr="00700D1A">
        <w:rPr>
          <w:lang w:val="en-US"/>
        </w:rPr>
        <w:t>a</w:t>
      </w:r>
      <w:proofErr w:type="gramEnd"/>
      <w:r w:rsidRPr="00700D1A">
        <w:rPr>
          <w:lang w:val="en-US"/>
        </w:rPr>
        <w:t xml:space="preserve"> narrative explanation of the reasons why the approved major capex project outputs were not met.</w:t>
      </w:r>
    </w:p>
    <w:p w:rsidR="00700D1A" w:rsidRDefault="00700D1A" w:rsidP="00700D1A">
      <w:pPr>
        <w:pStyle w:val="ListParagraph"/>
        <w:contextualSpacing/>
        <w:rPr>
          <w:lang w:val="en-US"/>
        </w:rPr>
      </w:pPr>
    </w:p>
    <w:p w:rsidR="00DC13E8" w:rsidRDefault="007E7470" w:rsidP="00BC25C0">
      <w:pPr>
        <w:pStyle w:val="Para2"/>
        <w:numPr>
          <w:ilvl w:val="0"/>
          <w:numId w:val="0"/>
        </w:numPr>
        <w:ind w:left="709" w:hanging="709"/>
      </w:pPr>
      <w:r w:rsidRPr="007E7470">
        <w:t>10</w:t>
      </w:r>
      <w:r>
        <w:rPr>
          <w:b/>
        </w:rPr>
        <w:tab/>
      </w:r>
      <w:r w:rsidR="00454310" w:rsidRPr="008177A0">
        <w:rPr>
          <w:b/>
        </w:rPr>
        <w:t>Transpower</w:t>
      </w:r>
      <w:r w:rsidR="00454310" w:rsidRPr="008177A0">
        <w:t xml:space="preserve"> must </w:t>
      </w:r>
      <w:r w:rsidR="00454310" w:rsidRPr="008177A0">
        <w:rPr>
          <w:b/>
        </w:rPr>
        <w:t>publicly disclose</w:t>
      </w:r>
      <w:r w:rsidR="00DC13E8" w:rsidRPr="00196EB7">
        <w:t xml:space="preserve">, </w:t>
      </w:r>
      <w:r w:rsidR="001F4302" w:rsidRPr="008E3848">
        <w:t xml:space="preserve">by the Friday of the third complete week of October </w:t>
      </w:r>
      <w:r w:rsidR="00647808">
        <w:t xml:space="preserve">after </w:t>
      </w:r>
      <w:r w:rsidR="000E66F9" w:rsidRPr="008E3848">
        <w:t>the e</w:t>
      </w:r>
      <w:r w:rsidR="002945E4" w:rsidRPr="008E3848">
        <w:t xml:space="preserve">nd of each </w:t>
      </w:r>
      <w:r w:rsidR="00E1393F" w:rsidRPr="008E3848">
        <w:rPr>
          <w:b/>
        </w:rPr>
        <w:t>disclosure y</w:t>
      </w:r>
      <w:r w:rsidR="002945E4" w:rsidRPr="008E3848">
        <w:rPr>
          <w:b/>
        </w:rPr>
        <w:t>ear</w:t>
      </w:r>
      <w:r w:rsidR="00254C3C">
        <w:t>,</w:t>
      </w:r>
      <w:r w:rsidR="000E66F9" w:rsidRPr="008E3848">
        <w:t xml:space="preserve"> </w:t>
      </w:r>
      <w:r w:rsidR="002945E4" w:rsidRPr="008E3848">
        <w:t>the</w:t>
      </w:r>
      <w:r w:rsidR="00EE42B3" w:rsidRPr="008E3848">
        <w:t xml:space="preserve"> </w:t>
      </w:r>
      <w:r w:rsidR="00647808">
        <w:t xml:space="preserve">following </w:t>
      </w:r>
      <w:r w:rsidR="002945E4" w:rsidRPr="0064355F">
        <w:rPr>
          <w:b/>
        </w:rPr>
        <w:t>information</w:t>
      </w:r>
      <w:r w:rsidR="002945E4" w:rsidRPr="008E3848">
        <w:t xml:space="preserve"> relating to </w:t>
      </w:r>
      <w:r w:rsidR="001F4302" w:rsidRPr="008E3848">
        <w:rPr>
          <w:b/>
        </w:rPr>
        <w:t>transmission</w:t>
      </w:r>
      <w:r w:rsidR="002945E4" w:rsidRPr="008E3848">
        <w:rPr>
          <w:b/>
        </w:rPr>
        <w:t xml:space="preserve"> lines </w:t>
      </w:r>
      <w:r w:rsidR="002945E4" w:rsidRPr="007C6A3D">
        <w:rPr>
          <w:b/>
        </w:rPr>
        <w:t>services</w:t>
      </w:r>
      <w:r w:rsidR="002945E4" w:rsidRPr="007C6A3D">
        <w:t xml:space="preserve"> </w:t>
      </w:r>
      <w:r w:rsidR="00E1393F" w:rsidRPr="007C6A3D">
        <w:t xml:space="preserve">for that </w:t>
      </w:r>
      <w:r w:rsidR="00E1393F" w:rsidRPr="007C6A3D">
        <w:rPr>
          <w:b/>
        </w:rPr>
        <w:t>disclosure y</w:t>
      </w:r>
      <w:r w:rsidR="002945E4" w:rsidRPr="007C6A3D">
        <w:rPr>
          <w:b/>
        </w:rPr>
        <w:t>ear</w:t>
      </w:r>
      <w:r w:rsidR="002945E4" w:rsidRPr="007C6A3D">
        <w:t>:</w:t>
      </w:r>
    </w:p>
    <w:p w:rsidR="003B3A31" w:rsidRDefault="007E7470" w:rsidP="00BC25C0">
      <w:pPr>
        <w:pStyle w:val="ListParagraph"/>
        <w:ind w:left="2127" w:hanging="1179"/>
        <w:contextualSpacing/>
      </w:pPr>
      <w:bookmarkStart w:id="43" w:name="_Ref279614676"/>
      <w:r>
        <w:t>10.1</w:t>
      </w:r>
      <w:r w:rsidR="005A1427">
        <w:tab/>
      </w:r>
      <w:r w:rsidR="002A4F6C" w:rsidRPr="00DC1578">
        <w:t xml:space="preserve">Schedule </w:t>
      </w:r>
      <w:r w:rsidR="002A4F6C" w:rsidRPr="008177A0">
        <w:t>F</w:t>
      </w:r>
      <w:r w:rsidR="00DC13E8">
        <w:t>1</w:t>
      </w:r>
      <w:r w:rsidR="002A4F6C">
        <w:t xml:space="preserve"> - </w:t>
      </w:r>
      <w:r w:rsidR="000973C9" w:rsidRPr="00DC1578">
        <w:t xml:space="preserve">Value of the </w:t>
      </w:r>
      <w:r w:rsidR="000973C9" w:rsidRPr="007E7470">
        <w:rPr>
          <w:lang w:val="en-US"/>
        </w:rPr>
        <w:t>Regulatory</w:t>
      </w:r>
      <w:r w:rsidR="000973C9" w:rsidRPr="00DC1578">
        <w:t xml:space="preserve"> Asset Base </w:t>
      </w:r>
      <w:r w:rsidR="002A4F6C">
        <w:t>(RAB Roll Forward)</w:t>
      </w:r>
      <w:r w:rsidR="00867209" w:rsidRPr="008177A0">
        <w:t>;</w:t>
      </w:r>
    </w:p>
    <w:p w:rsidR="007E7470" w:rsidRDefault="007E7470" w:rsidP="00BC25C0">
      <w:pPr>
        <w:pStyle w:val="ListParagraph"/>
        <w:ind w:left="2410" w:hanging="1462"/>
        <w:contextualSpacing/>
      </w:pPr>
    </w:p>
    <w:p w:rsidR="003B3A31" w:rsidRDefault="007E7470" w:rsidP="00BC25C0">
      <w:pPr>
        <w:pStyle w:val="ListParagraph"/>
        <w:ind w:left="2127" w:hanging="1179"/>
        <w:contextualSpacing/>
      </w:pPr>
      <w:r>
        <w:t>10.2</w:t>
      </w:r>
      <w:r w:rsidR="005A1427">
        <w:tab/>
      </w:r>
      <w:r w:rsidR="002A4F6C" w:rsidRPr="008177A0">
        <w:t xml:space="preserve">Schedule </w:t>
      </w:r>
      <w:r w:rsidR="00035AEE">
        <w:t>F2</w:t>
      </w:r>
      <w:r w:rsidR="002A4F6C">
        <w:t xml:space="preserve">- </w:t>
      </w:r>
      <w:r w:rsidR="003A5DB5">
        <w:t>Operating Expenditure (</w:t>
      </w:r>
      <w:r w:rsidR="003B3A31" w:rsidRPr="008177A0">
        <w:t>Opex</w:t>
      </w:r>
      <w:r w:rsidR="003A5DB5">
        <w:t>):</w:t>
      </w:r>
      <w:r w:rsidR="003B3A31" w:rsidRPr="008177A0">
        <w:t xml:space="preserve"> Actual</w:t>
      </w:r>
      <w:r w:rsidR="003A5DB5">
        <w:t>s</w:t>
      </w:r>
      <w:r>
        <w:t>;</w:t>
      </w:r>
    </w:p>
    <w:p w:rsidR="007E7470" w:rsidRDefault="00BC25C0" w:rsidP="00BC25C0">
      <w:pPr>
        <w:pStyle w:val="ListParagraph"/>
        <w:tabs>
          <w:tab w:val="left" w:pos="2930"/>
        </w:tabs>
        <w:ind w:left="2410" w:hanging="1462"/>
        <w:contextualSpacing/>
      </w:pPr>
      <w:r>
        <w:tab/>
      </w:r>
    </w:p>
    <w:p w:rsidR="003B3A31" w:rsidRDefault="007E7470" w:rsidP="00BC25C0">
      <w:pPr>
        <w:pStyle w:val="ListParagraph"/>
        <w:ind w:left="2127" w:hanging="1179"/>
        <w:contextualSpacing/>
      </w:pPr>
      <w:r>
        <w:t>10.3</w:t>
      </w:r>
      <w:r w:rsidR="005A1427">
        <w:tab/>
      </w:r>
      <w:r w:rsidR="002A4F6C" w:rsidRPr="008177A0">
        <w:t xml:space="preserve">Schedule </w:t>
      </w:r>
      <w:r w:rsidR="00035AEE">
        <w:t>F3</w:t>
      </w:r>
      <w:r w:rsidR="002A4F6C">
        <w:t xml:space="preserve"> - </w:t>
      </w:r>
      <w:r w:rsidR="003A5DB5">
        <w:t>Base Capital Expenditure (</w:t>
      </w:r>
      <w:r w:rsidR="003B3A31" w:rsidRPr="008177A0">
        <w:t>Base Capex</w:t>
      </w:r>
      <w:r w:rsidR="003A5DB5">
        <w:t xml:space="preserve">): </w:t>
      </w:r>
      <w:r w:rsidR="002A4F6C">
        <w:t>Commissioned</w:t>
      </w:r>
      <w:r>
        <w:t>;</w:t>
      </w:r>
    </w:p>
    <w:p w:rsidR="007E7470" w:rsidRDefault="007E7470" w:rsidP="00BC25C0">
      <w:pPr>
        <w:pStyle w:val="ListParagraph"/>
        <w:ind w:left="2410" w:hanging="1462"/>
        <w:contextualSpacing/>
      </w:pPr>
    </w:p>
    <w:p w:rsidR="00035AEE" w:rsidRDefault="007E7470" w:rsidP="00BC25C0">
      <w:pPr>
        <w:pStyle w:val="ListParagraph"/>
        <w:ind w:left="2127" w:hanging="1179"/>
        <w:contextualSpacing/>
      </w:pPr>
      <w:r>
        <w:t>10.4</w:t>
      </w:r>
      <w:r w:rsidR="00244F67">
        <w:t xml:space="preserve"> </w:t>
      </w:r>
      <w:r w:rsidR="00244F67">
        <w:tab/>
      </w:r>
      <w:r w:rsidR="00035AEE" w:rsidRPr="008177A0">
        <w:t xml:space="preserve">Schedule </w:t>
      </w:r>
      <w:r w:rsidR="00035AEE">
        <w:t xml:space="preserve">F4 - </w:t>
      </w:r>
      <w:r w:rsidR="00035AEE" w:rsidRPr="008177A0">
        <w:t>Actual</w:t>
      </w:r>
      <w:r w:rsidR="00035AEE">
        <w:t>s v</w:t>
      </w:r>
      <w:r w:rsidR="00035AEE" w:rsidRPr="008177A0">
        <w:t xml:space="preserve"> </w:t>
      </w:r>
      <w:r w:rsidR="00035AEE">
        <w:t xml:space="preserve">Forecasts (Opex and Base Capex </w:t>
      </w:r>
      <w:r w:rsidR="00035AEE" w:rsidRPr="008177A0">
        <w:t>Commissioning</w:t>
      </w:r>
      <w:r w:rsidR="00035AEE">
        <w:t>);</w:t>
      </w:r>
    </w:p>
    <w:p w:rsidR="007E7470" w:rsidRDefault="007E7470" w:rsidP="00BC25C0">
      <w:pPr>
        <w:pStyle w:val="ListParagraph"/>
        <w:ind w:left="2410" w:hanging="1462"/>
        <w:contextualSpacing/>
      </w:pPr>
    </w:p>
    <w:p w:rsidR="003B3A31" w:rsidRDefault="007E7470" w:rsidP="00BC25C0">
      <w:pPr>
        <w:pStyle w:val="ListParagraph"/>
        <w:ind w:left="2127" w:hanging="1179"/>
        <w:contextualSpacing/>
      </w:pPr>
      <w:r>
        <w:t>10.5</w:t>
      </w:r>
      <w:r w:rsidR="005A1427">
        <w:tab/>
      </w:r>
      <w:r w:rsidR="002A4F6C" w:rsidRPr="008177A0">
        <w:t xml:space="preserve">Schedule </w:t>
      </w:r>
      <w:r w:rsidR="00035AEE">
        <w:t>F5</w:t>
      </w:r>
      <w:r w:rsidR="002A4F6C">
        <w:t xml:space="preserve"> - </w:t>
      </w:r>
      <w:r w:rsidR="003B3A31" w:rsidRPr="008177A0">
        <w:t xml:space="preserve">Major Capital Expenditure </w:t>
      </w:r>
      <w:r w:rsidR="002A4F6C">
        <w:t>(Major Capex)</w:t>
      </w:r>
      <w:r w:rsidR="003B3A31" w:rsidRPr="008177A0">
        <w:t>.</w:t>
      </w:r>
    </w:p>
    <w:p w:rsidR="007E7470" w:rsidRDefault="007E7470" w:rsidP="007E7470">
      <w:pPr>
        <w:pStyle w:val="ListParagraph"/>
        <w:ind w:left="2880" w:hanging="1037"/>
        <w:contextualSpacing/>
      </w:pPr>
    </w:p>
    <w:p w:rsidR="00665EBC" w:rsidRDefault="007E7470" w:rsidP="00BC25C0">
      <w:pPr>
        <w:pStyle w:val="Para2"/>
        <w:numPr>
          <w:ilvl w:val="0"/>
          <w:numId w:val="0"/>
        </w:numPr>
        <w:ind w:left="709" w:hanging="709"/>
      </w:pPr>
      <w:r>
        <w:t>11</w:t>
      </w:r>
      <w:r w:rsidR="00244F67">
        <w:t xml:space="preserve"> </w:t>
      </w:r>
      <w:r w:rsidR="00244F67">
        <w:tab/>
      </w:r>
      <w:r w:rsidR="00196EB7" w:rsidRPr="00BC25C0">
        <w:rPr>
          <w:b/>
        </w:rPr>
        <w:t>Transpower</w:t>
      </w:r>
      <w:r w:rsidR="00196EB7">
        <w:t xml:space="preserve"> must </w:t>
      </w:r>
      <w:r w:rsidR="00196EB7" w:rsidRPr="00BC25C0">
        <w:rPr>
          <w:b/>
        </w:rPr>
        <w:t>publicly disclose</w:t>
      </w:r>
      <w:r w:rsidR="00196EB7">
        <w:t xml:space="preserve"> by the last working day of December </w:t>
      </w:r>
      <w:r>
        <w:t>after the en</w:t>
      </w:r>
      <w:r w:rsidR="00BC25C0">
        <w:t>d of each</w:t>
      </w:r>
      <w:r>
        <w:t xml:space="preserve"> </w:t>
      </w:r>
      <w:r w:rsidRPr="00BC25C0">
        <w:rPr>
          <w:b/>
        </w:rPr>
        <w:t>disclosure year</w:t>
      </w:r>
      <w:r>
        <w:t>, the following information relating to revenue and customer charges</w:t>
      </w:r>
      <w:r w:rsidR="00665EBC">
        <w:t>:</w:t>
      </w:r>
    </w:p>
    <w:p w:rsidR="009229AF" w:rsidRDefault="00BC25C0" w:rsidP="00BC25C0">
      <w:pPr>
        <w:pStyle w:val="ListParagraph"/>
        <w:ind w:left="2127" w:hanging="1179"/>
        <w:contextualSpacing/>
      </w:pPr>
      <w:r>
        <w:t>11.1</w:t>
      </w:r>
      <w:r w:rsidR="00244F67">
        <w:tab/>
        <w:t xml:space="preserve"> S</w:t>
      </w:r>
      <w:r w:rsidR="00196EB7">
        <w:t xml:space="preserve">chedule </w:t>
      </w:r>
      <w:r w:rsidR="00035AEE">
        <w:t>F6 – Revenue and Customer Charges</w:t>
      </w:r>
    </w:p>
    <w:p w:rsidR="00BC25C0" w:rsidRPr="003B3A31" w:rsidRDefault="00BC25C0" w:rsidP="00BC25C0">
      <w:pPr>
        <w:pStyle w:val="ListParagraph"/>
        <w:ind w:left="2127" w:hanging="1179"/>
        <w:contextualSpacing/>
      </w:pPr>
    </w:p>
    <w:p w:rsidR="00CC0C5B" w:rsidRPr="008E3848" w:rsidRDefault="00215D95" w:rsidP="000A3735">
      <w:pPr>
        <w:pStyle w:val="Heading0Chapter"/>
        <w:numPr>
          <w:ilvl w:val="0"/>
          <w:numId w:val="0"/>
        </w:numPr>
        <w:ind w:left="720" w:hanging="720"/>
        <w:rPr>
          <w:rFonts w:ascii="Calibri" w:hAnsi="Calibri"/>
        </w:rPr>
      </w:pPr>
      <w:bookmarkStart w:id="44" w:name="_Toc349075596"/>
      <w:bookmarkStart w:id="45" w:name="_Toc349075660"/>
      <w:bookmarkStart w:id="46" w:name="_Toc349076036"/>
      <w:bookmarkStart w:id="47" w:name="_Toc349076100"/>
      <w:bookmarkStart w:id="48" w:name="_Toc333389681"/>
      <w:bookmarkStart w:id="49" w:name="_Toc340491887"/>
      <w:bookmarkStart w:id="50" w:name="_Toc379540114"/>
      <w:bookmarkEnd w:id="43"/>
      <w:bookmarkEnd w:id="44"/>
      <w:bookmarkEnd w:id="45"/>
      <w:bookmarkEnd w:id="46"/>
      <w:bookmarkEnd w:id="47"/>
      <w:r>
        <w:rPr>
          <w:rFonts w:ascii="Calibri" w:hAnsi="Calibri"/>
        </w:rPr>
        <w:t xml:space="preserve">Transmission Lines Services </w:t>
      </w:r>
      <w:r w:rsidR="000A3735" w:rsidRPr="008E3848">
        <w:rPr>
          <w:rFonts w:ascii="Calibri" w:hAnsi="Calibri"/>
        </w:rPr>
        <w:t>Grid</w:t>
      </w:r>
      <w:r w:rsidR="00023AB5" w:rsidRPr="008E3848">
        <w:rPr>
          <w:rFonts w:ascii="Calibri" w:hAnsi="Calibri"/>
        </w:rPr>
        <w:t xml:space="preserve"> Management</w:t>
      </w:r>
      <w:r w:rsidR="0002428A" w:rsidRPr="008E3848">
        <w:rPr>
          <w:rFonts w:ascii="Calibri" w:hAnsi="Calibri"/>
        </w:rPr>
        <w:t xml:space="preserve"> Information</w:t>
      </w:r>
      <w:bookmarkEnd w:id="50"/>
    </w:p>
    <w:p w:rsidR="00700D1A" w:rsidRDefault="00BC25C0" w:rsidP="00BC25C0">
      <w:pPr>
        <w:pStyle w:val="Para2"/>
        <w:numPr>
          <w:ilvl w:val="0"/>
          <w:numId w:val="0"/>
        </w:numPr>
        <w:ind w:left="709" w:hanging="709"/>
      </w:pPr>
      <w:r w:rsidRPr="00BC25C0">
        <w:t>12</w:t>
      </w:r>
      <w:r>
        <w:rPr>
          <w:b/>
        </w:rPr>
        <w:tab/>
      </w:r>
      <w:r w:rsidR="00700D1A" w:rsidRPr="008177A0">
        <w:rPr>
          <w:b/>
        </w:rPr>
        <w:t>Transpower</w:t>
      </w:r>
      <w:r w:rsidR="00700D1A" w:rsidRPr="008177A0">
        <w:t xml:space="preserve"> must </w:t>
      </w:r>
      <w:r w:rsidR="00700D1A" w:rsidRPr="008177A0">
        <w:rPr>
          <w:b/>
        </w:rPr>
        <w:t>publicly disclose</w:t>
      </w:r>
      <w:r w:rsidR="00700D1A">
        <w:rPr>
          <w:b/>
        </w:rPr>
        <w:t>,</w:t>
      </w:r>
      <w:r w:rsidR="00700D1A" w:rsidRPr="00700D1A">
        <w:t xml:space="preserve"> </w:t>
      </w:r>
      <w:r w:rsidR="00700D1A" w:rsidRPr="008E3848">
        <w:t xml:space="preserve">by the Friday of the third complete week of October </w:t>
      </w:r>
      <w:r w:rsidR="00A422D2">
        <w:t>after</w:t>
      </w:r>
      <w:r w:rsidR="00700D1A" w:rsidRPr="008E3848">
        <w:t xml:space="preserve"> the end of each </w:t>
      </w:r>
      <w:r w:rsidR="00700D1A" w:rsidRPr="008E3848">
        <w:rPr>
          <w:b/>
        </w:rPr>
        <w:t>disclosure year</w:t>
      </w:r>
      <w:r w:rsidR="00700D1A">
        <w:t>,</w:t>
      </w:r>
      <w:r w:rsidR="00700D1A" w:rsidRPr="008E3848">
        <w:t xml:space="preserve"> the </w:t>
      </w:r>
      <w:r w:rsidR="00215D95">
        <w:t xml:space="preserve">following </w:t>
      </w:r>
      <w:r w:rsidR="00700D1A" w:rsidRPr="0064355F">
        <w:rPr>
          <w:b/>
        </w:rPr>
        <w:t>information</w:t>
      </w:r>
      <w:r w:rsidR="00700D1A" w:rsidRPr="008E3848">
        <w:t xml:space="preserve"> relating to </w:t>
      </w:r>
      <w:r w:rsidR="00700D1A" w:rsidRPr="008E3848">
        <w:rPr>
          <w:b/>
        </w:rPr>
        <w:t>transmission lines services</w:t>
      </w:r>
      <w:r w:rsidR="00700D1A" w:rsidRPr="008E3848">
        <w:t xml:space="preserve"> </w:t>
      </w:r>
      <w:r w:rsidR="00700D1A" w:rsidRPr="007C6A3D">
        <w:t xml:space="preserve">for that </w:t>
      </w:r>
      <w:r w:rsidR="00700D1A" w:rsidRPr="007C6A3D">
        <w:rPr>
          <w:b/>
        </w:rPr>
        <w:t>disclosure year</w:t>
      </w:r>
      <w:r w:rsidR="00700D1A" w:rsidRPr="007C6A3D">
        <w:t>:</w:t>
      </w:r>
    </w:p>
    <w:p w:rsidR="009209EB" w:rsidRPr="00035AEE" w:rsidRDefault="00BC25C0" w:rsidP="006D2854">
      <w:pPr>
        <w:pStyle w:val="Para2"/>
        <w:numPr>
          <w:ilvl w:val="0"/>
          <w:numId w:val="0"/>
        </w:numPr>
        <w:ind w:firstLine="709"/>
      </w:pPr>
      <w:r>
        <w:t>12.1</w:t>
      </w:r>
      <w:r w:rsidR="000B6871">
        <w:tab/>
      </w:r>
      <w:r w:rsidR="002A4F6C" w:rsidRPr="00035AEE">
        <w:t xml:space="preserve">Schedule </w:t>
      </w:r>
      <w:r w:rsidR="006D2854">
        <w:t>G1</w:t>
      </w:r>
      <w:r w:rsidR="006D2854" w:rsidRPr="00035AEE">
        <w:t xml:space="preserve"> </w:t>
      </w:r>
      <w:r w:rsidR="007C6A3D">
        <w:t>–</w:t>
      </w:r>
      <w:r w:rsidR="002A4F6C" w:rsidRPr="00035AEE">
        <w:t xml:space="preserve"> </w:t>
      </w:r>
      <w:r w:rsidR="007C6A3D">
        <w:t>System Statistics</w:t>
      </w:r>
      <w:r w:rsidR="009209EB" w:rsidRPr="00035AEE">
        <w:t>;</w:t>
      </w:r>
    </w:p>
    <w:p w:rsidR="009209EB" w:rsidRPr="00035AEE" w:rsidRDefault="00BC25C0" w:rsidP="000B6871">
      <w:pPr>
        <w:pStyle w:val="Para2"/>
        <w:numPr>
          <w:ilvl w:val="0"/>
          <w:numId w:val="0"/>
        </w:numPr>
        <w:ind w:firstLine="709"/>
      </w:pPr>
      <w:r>
        <w:t>12.2</w:t>
      </w:r>
      <w:r w:rsidR="000B6871" w:rsidRPr="00035AEE">
        <w:tab/>
      </w:r>
      <w:r w:rsidR="002A4F6C" w:rsidRPr="00035AEE">
        <w:t xml:space="preserve">Schedule </w:t>
      </w:r>
      <w:r w:rsidR="006D2854">
        <w:t>G2</w:t>
      </w:r>
      <w:r w:rsidR="006D2854" w:rsidRPr="00035AEE">
        <w:t xml:space="preserve"> </w:t>
      </w:r>
      <w:r w:rsidR="002A4F6C" w:rsidRPr="00035AEE">
        <w:t>- Grid Demand and Injection</w:t>
      </w:r>
      <w:r w:rsidR="009209EB" w:rsidRPr="00035AEE">
        <w:t>;</w:t>
      </w:r>
    </w:p>
    <w:p w:rsidR="009209EB" w:rsidRPr="00035AEE" w:rsidRDefault="00BC25C0" w:rsidP="00674690">
      <w:pPr>
        <w:pStyle w:val="Para2"/>
        <w:numPr>
          <w:ilvl w:val="0"/>
          <w:numId w:val="0"/>
        </w:numPr>
        <w:ind w:left="1418" w:hanging="709"/>
      </w:pPr>
      <w:r>
        <w:t>12.3</w:t>
      </w:r>
      <w:r w:rsidR="000B6871" w:rsidRPr="00035AEE">
        <w:tab/>
      </w:r>
      <w:r w:rsidR="002A4F6C" w:rsidRPr="00035AEE">
        <w:t xml:space="preserve">Schedule </w:t>
      </w:r>
      <w:r w:rsidR="006D2854">
        <w:t>G3</w:t>
      </w:r>
      <w:r w:rsidR="006D2854" w:rsidRPr="00035AEE">
        <w:t xml:space="preserve"> </w:t>
      </w:r>
      <w:r w:rsidR="002A4F6C" w:rsidRPr="00035AEE">
        <w:t xml:space="preserve">- </w:t>
      </w:r>
      <w:r w:rsidR="009209EB" w:rsidRPr="00035AEE">
        <w:t>G</w:t>
      </w:r>
      <w:r w:rsidR="00674690" w:rsidRPr="00035AEE">
        <w:t xml:space="preserve">rid Exit </w:t>
      </w:r>
      <w:r w:rsidR="009209EB" w:rsidRPr="00035AEE">
        <w:t>P</w:t>
      </w:r>
      <w:r w:rsidR="00674690" w:rsidRPr="00035AEE">
        <w:t>oint (GXP)</w:t>
      </w:r>
      <w:r w:rsidR="009209EB" w:rsidRPr="00035AEE">
        <w:t xml:space="preserve"> </w:t>
      </w:r>
      <w:r w:rsidR="00674690" w:rsidRPr="00035AEE">
        <w:t xml:space="preserve">Connection </w:t>
      </w:r>
      <w:r w:rsidR="009209EB" w:rsidRPr="00035AEE">
        <w:t xml:space="preserve">Capacity and Demand </w:t>
      </w:r>
      <w:r w:rsidR="002A4F6C" w:rsidRPr="00035AEE">
        <w:t>(Actual and Forecast)</w:t>
      </w:r>
      <w:r w:rsidR="009209EB" w:rsidRPr="00035AEE">
        <w:t>;</w:t>
      </w:r>
    </w:p>
    <w:p w:rsidR="009209EB" w:rsidRPr="00035AEE" w:rsidRDefault="00BC25C0" w:rsidP="002A4F6C">
      <w:pPr>
        <w:pStyle w:val="Para2"/>
        <w:numPr>
          <w:ilvl w:val="0"/>
          <w:numId w:val="0"/>
        </w:numPr>
        <w:ind w:left="1418" w:hanging="709"/>
      </w:pPr>
      <w:r>
        <w:t>12.4</w:t>
      </w:r>
      <w:r w:rsidR="000B6871" w:rsidRPr="00035AEE">
        <w:tab/>
      </w:r>
      <w:r w:rsidR="002A4F6C" w:rsidRPr="00035AEE">
        <w:t xml:space="preserve">Schedule </w:t>
      </w:r>
      <w:r w:rsidR="006D2854">
        <w:t>G</w:t>
      </w:r>
      <w:r w:rsidR="00473DF8">
        <w:t>4</w:t>
      </w:r>
      <w:r w:rsidR="006D2854" w:rsidRPr="00035AEE">
        <w:t xml:space="preserve"> </w:t>
      </w:r>
      <w:r w:rsidR="002A4F6C" w:rsidRPr="00035AEE">
        <w:t xml:space="preserve">- </w:t>
      </w:r>
      <w:r w:rsidR="009209EB" w:rsidRPr="00035AEE">
        <w:t>Quality</w:t>
      </w:r>
      <w:r w:rsidR="00674690" w:rsidRPr="00035AEE">
        <w:t xml:space="preserve"> of Supply: Grid O</w:t>
      </w:r>
      <w:r w:rsidR="002A4F6C" w:rsidRPr="00035AEE">
        <w:t>utputs and Performance Measures; and</w:t>
      </w:r>
      <w:r w:rsidR="00674690" w:rsidRPr="00035AEE">
        <w:t xml:space="preserve"> </w:t>
      </w:r>
    </w:p>
    <w:p w:rsidR="009209EB" w:rsidRPr="0047704D" w:rsidRDefault="002A4F6C" w:rsidP="00BC25C0">
      <w:pPr>
        <w:pStyle w:val="Para2"/>
        <w:numPr>
          <w:ilvl w:val="1"/>
          <w:numId w:val="34"/>
        </w:numPr>
      </w:pPr>
      <w:r w:rsidRPr="00035AEE">
        <w:t xml:space="preserve">Schedule </w:t>
      </w:r>
      <w:r w:rsidR="006D2854">
        <w:t>G</w:t>
      </w:r>
      <w:r w:rsidR="00473DF8">
        <w:t>5</w:t>
      </w:r>
      <w:r w:rsidR="006D2854" w:rsidRPr="00035AEE">
        <w:t xml:space="preserve"> </w:t>
      </w:r>
      <w:r w:rsidRPr="00035AEE">
        <w:t xml:space="preserve">- </w:t>
      </w:r>
      <w:r w:rsidR="009209EB" w:rsidRPr="00035AEE">
        <w:t xml:space="preserve">Quality </w:t>
      </w:r>
      <w:r w:rsidR="00674690" w:rsidRPr="00035AEE">
        <w:t>of</w:t>
      </w:r>
      <w:r w:rsidRPr="00035AEE">
        <w:t xml:space="preserve"> Supply: </w:t>
      </w:r>
      <w:r w:rsidR="009209EB" w:rsidRPr="00035AEE">
        <w:t xml:space="preserve">Interconnection and Core Grid </w:t>
      </w:r>
      <w:r w:rsidRPr="00035AEE">
        <w:t>Assets</w:t>
      </w:r>
      <w:r w:rsidR="009209EB" w:rsidRPr="00035AEE">
        <w:t>.</w:t>
      </w:r>
    </w:p>
    <w:p w:rsidR="00700D1A" w:rsidRDefault="00BC25C0" w:rsidP="00BC25C0">
      <w:pPr>
        <w:pStyle w:val="Para2"/>
        <w:numPr>
          <w:ilvl w:val="0"/>
          <w:numId w:val="0"/>
        </w:numPr>
        <w:ind w:left="709" w:hanging="709"/>
      </w:pPr>
      <w:r w:rsidRPr="00BC25C0">
        <w:t>13</w:t>
      </w:r>
      <w:r>
        <w:rPr>
          <w:b/>
        </w:rPr>
        <w:tab/>
      </w:r>
      <w:r w:rsidR="00700D1A" w:rsidRPr="008177A0">
        <w:rPr>
          <w:b/>
        </w:rPr>
        <w:t>Transpower</w:t>
      </w:r>
      <w:r w:rsidR="00700D1A" w:rsidRPr="008177A0">
        <w:t xml:space="preserve"> must </w:t>
      </w:r>
      <w:r w:rsidR="00700D1A" w:rsidRPr="008177A0">
        <w:rPr>
          <w:b/>
        </w:rPr>
        <w:t>publicly disclose</w:t>
      </w:r>
      <w:r w:rsidR="00700D1A">
        <w:rPr>
          <w:b/>
        </w:rPr>
        <w:t xml:space="preserve">, </w:t>
      </w:r>
      <w:r w:rsidR="00700D1A" w:rsidRPr="00700D1A">
        <w:t>in the form of a companion to the</w:t>
      </w:r>
      <w:r w:rsidR="00700D1A">
        <w:rPr>
          <w:b/>
        </w:rPr>
        <w:t xml:space="preserve"> </w:t>
      </w:r>
      <w:r w:rsidR="00700D1A" w:rsidRPr="001D7192">
        <w:t>Integrated Transmission Plan</w:t>
      </w:r>
      <w:r w:rsidR="00700D1A">
        <w:rPr>
          <w:b/>
        </w:rPr>
        <w:t xml:space="preserve"> </w:t>
      </w:r>
      <w:r w:rsidR="00700D1A" w:rsidRPr="00700D1A">
        <w:t>for the second</w:t>
      </w:r>
      <w:r w:rsidR="00700D1A">
        <w:rPr>
          <w:b/>
        </w:rPr>
        <w:t xml:space="preserve"> disclosure year </w:t>
      </w:r>
      <w:r w:rsidR="00700D1A" w:rsidRPr="00700D1A">
        <w:t xml:space="preserve">of </w:t>
      </w:r>
      <w:r w:rsidR="006D2854">
        <w:t>a</w:t>
      </w:r>
      <w:r w:rsidR="00700D1A">
        <w:rPr>
          <w:b/>
        </w:rPr>
        <w:t xml:space="preserve"> </w:t>
      </w:r>
      <w:r w:rsidR="005E60E5" w:rsidRPr="005E60E5">
        <w:t>r</w:t>
      </w:r>
      <w:r w:rsidR="00700D1A" w:rsidRPr="005E60E5">
        <w:t xml:space="preserve">egulatory </w:t>
      </w:r>
      <w:r w:rsidR="005E60E5" w:rsidRPr="005E60E5">
        <w:t>c</w:t>
      </w:r>
      <w:r w:rsidR="00700D1A" w:rsidRPr="005E60E5">
        <w:t xml:space="preserve">ontrol </w:t>
      </w:r>
      <w:r w:rsidR="005E60E5" w:rsidRPr="005E60E5">
        <w:t>p</w:t>
      </w:r>
      <w:r w:rsidR="00700D1A" w:rsidRPr="005E60E5">
        <w:t>eriod</w:t>
      </w:r>
      <w:r w:rsidR="006D2854">
        <w:rPr>
          <w:b/>
        </w:rPr>
        <w:t xml:space="preserve"> </w:t>
      </w:r>
      <w:r w:rsidR="006D2854" w:rsidRPr="006D2854">
        <w:t>and the</w:t>
      </w:r>
      <w:r w:rsidR="006D2854">
        <w:rPr>
          <w:b/>
        </w:rPr>
        <w:t xml:space="preserve"> </w:t>
      </w:r>
      <w:r w:rsidR="006D2854" w:rsidRPr="001D7192">
        <w:t>Integrated Transmission Plan</w:t>
      </w:r>
      <w:r w:rsidR="006D2854">
        <w:rPr>
          <w:b/>
        </w:rPr>
        <w:t xml:space="preserve"> </w:t>
      </w:r>
      <w:r w:rsidR="006D2854" w:rsidRPr="006D2854">
        <w:t>published</w:t>
      </w:r>
      <w:r w:rsidR="006D2854">
        <w:t xml:space="preserve"> 16 months prior to a </w:t>
      </w:r>
      <w:r w:rsidR="005E60E5" w:rsidRPr="005E60E5">
        <w:t>r</w:t>
      </w:r>
      <w:r w:rsidR="006D2854" w:rsidRPr="005E60E5">
        <w:t xml:space="preserve">egulatory </w:t>
      </w:r>
      <w:r w:rsidR="005E60E5" w:rsidRPr="005E60E5">
        <w:t>c</w:t>
      </w:r>
      <w:r w:rsidR="006D2854" w:rsidRPr="005E60E5">
        <w:t xml:space="preserve">ontrol </w:t>
      </w:r>
      <w:r w:rsidR="005E60E5" w:rsidRPr="005E60E5">
        <w:t>p</w:t>
      </w:r>
      <w:r w:rsidR="006D2854" w:rsidRPr="005E60E5">
        <w:t>eriod</w:t>
      </w:r>
      <w:r w:rsidR="006D2854">
        <w:rPr>
          <w:b/>
        </w:rPr>
        <w:t xml:space="preserve">, </w:t>
      </w:r>
      <w:r w:rsidR="00700D1A" w:rsidRPr="008E3848">
        <w:t xml:space="preserve">the </w:t>
      </w:r>
      <w:r w:rsidR="004124DD">
        <w:t>following</w:t>
      </w:r>
      <w:r w:rsidR="00A422D2">
        <w:t xml:space="preserve"> </w:t>
      </w:r>
      <w:r w:rsidR="00700D1A" w:rsidRPr="0064355F">
        <w:rPr>
          <w:b/>
        </w:rPr>
        <w:t>information</w:t>
      </w:r>
      <w:r w:rsidR="00700D1A" w:rsidRPr="008E3848">
        <w:t xml:space="preserve"> relating to </w:t>
      </w:r>
      <w:r w:rsidR="00700D1A" w:rsidRPr="008E3848">
        <w:rPr>
          <w:b/>
        </w:rPr>
        <w:t xml:space="preserve">transmission lines </w:t>
      </w:r>
      <w:r w:rsidR="00700D1A" w:rsidRPr="006A3016">
        <w:rPr>
          <w:b/>
        </w:rPr>
        <w:t>services</w:t>
      </w:r>
      <w:r w:rsidR="00700D1A" w:rsidRPr="006A3016">
        <w:t xml:space="preserve"> supplied by </w:t>
      </w:r>
      <w:r w:rsidR="00700D1A" w:rsidRPr="006A3016">
        <w:rPr>
          <w:b/>
        </w:rPr>
        <w:t>Transpower</w:t>
      </w:r>
      <w:r w:rsidR="00700D1A" w:rsidRPr="006A3016">
        <w:t xml:space="preserve"> for that </w:t>
      </w:r>
      <w:r w:rsidR="00700D1A" w:rsidRPr="006A3016">
        <w:rPr>
          <w:b/>
        </w:rPr>
        <w:t>disclosure year</w:t>
      </w:r>
      <w:r w:rsidR="00700D1A" w:rsidRPr="006A3016">
        <w:t>:</w:t>
      </w:r>
    </w:p>
    <w:p w:rsidR="006D04C1" w:rsidRPr="006D2854" w:rsidRDefault="000B6871" w:rsidP="006D2854">
      <w:pPr>
        <w:pStyle w:val="Para2"/>
        <w:numPr>
          <w:ilvl w:val="0"/>
          <w:numId w:val="0"/>
        </w:numPr>
        <w:ind w:firstLine="709"/>
      </w:pPr>
      <w:r>
        <w:t>1</w:t>
      </w:r>
      <w:r w:rsidR="00BC25C0">
        <w:t>3</w:t>
      </w:r>
      <w:r>
        <w:t>.1</w:t>
      </w:r>
      <w:r>
        <w:tab/>
      </w:r>
      <w:r w:rsidR="002A4F6C" w:rsidRPr="006D2854">
        <w:t xml:space="preserve">Schedule </w:t>
      </w:r>
      <w:r w:rsidR="006D2854">
        <w:t>G6</w:t>
      </w:r>
      <w:r w:rsidR="002A4F6C" w:rsidRPr="006D2854">
        <w:t xml:space="preserve"> - </w:t>
      </w:r>
      <w:r w:rsidR="006D04C1" w:rsidRPr="006D2854">
        <w:t>Asset Age</w:t>
      </w:r>
      <w:r w:rsidR="006D2854">
        <w:t>, Health and Changes</w:t>
      </w:r>
      <w:r w:rsidR="00867209" w:rsidRPr="006D2854">
        <w:t>;</w:t>
      </w:r>
    </w:p>
    <w:p w:rsidR="006D04C1" w:rsidRPr="006D2854" w:rsidRDefault="00BC25C0" w:rsidP="000B6871">
      <w:pPr>
        <w:pStyle w:val="Para2"/>
        <w:numPr>
          <w:ilvl w:val="0"/>
          <w:numId w:val="0"/>
        </w:numPr>
        <w:ind w:firstLine="709"/>
      </w:pPr>
      <w:r>
        <w:t>13.2</w:t>
      </w:r>
      <w:r w:rsidR="000B6871" w:rsidRPr="006D2854">
        <w:tab/>
      </w:r>
      <w:r w:rsidR="002A4F6C" w:rsidRPr="006D2854">
        <w:t xml:space="preserve">Schedule </w:t>
      </w:r>
      <w:r w:rsidR="006D2854">
        <w:t>G7</w:t>
      </w:r>
      <w:r w:rsidR="006D2854" w:rsidRPr="006D2854">
        <w:t xml:space="preserve"> </w:t>
      </w:r>
      <w:r w:rsidR="002A4F6C" w:rsidRPr="006D2854">
        <w:t xml:space="preserve">- </w:t>
      </w:r>
      <w:r w:rsidR="006D04C1" w:rsidRPr="006D2854">
        <w:t>Asset Management Maturity Assessment Tool</w:t>
      </w:r>
      <w:r w:rsidR="00674690" w:rsidRPr="006D2854">
        <w:t xml:space="preserve"> (AMMAT)</w:t>
      </w:r>
      <w:r w:rsidR="00927F27">
        <w:t>;</w:t>
      </w:r>
    </w:p>
    <w:p w:rsidR="006D04C1" w:rsidRDefault="00BC25C0" w:rsidP="000B6871">
      <w:pPr>
        <w:pStyle w:val="Para2"/>
        <w:numPr>
          <w:ilvl w:val="0"/>
          <w:numId w:val="0"/>
        </w:numPr>
        <w:ind w:firstLine="709"/>
      </w:pPr>
      <w:r>
        <w:t>13.3</w:t>
      </w:r>
      <w:r w:rsidR="000B6871" w:rsidRPr="006D2854">
        <w:tab/>
      </w:r>
      <w:r w:rsidR="002A4F6C" w:rsidRPr="006D2854">
        <w:t xml:space="preserve">Schedule </w:t>
      </w:r>
      <w:r w:rsidR="006D2854">
        <w:t>G8</w:t>
      </w:r>
      <w:r w:rsidR="006D2854" w:rsidRPr="006D2854">
        <w:t xml:space="preserve"> </w:t>
      </w:r>
      <w:r w:rsidR="002A4F6C" w:rsidRPr="006D2854">
        <w:t xml:space="preserve">- </w:t>
      </w:r>
      <w:r w:rsidR="00674690" w:rsidRPr="006D2854">
        <w:t xml:space="preserve">AMMAT </w:t>
      </w:r>
      <w:r w:rsidR="006D04C1" w:rsidRPr="006D2854">
        <w:t xml:space="preserve">Results </w:t>
      </w:r>
      <w:r w:rsidR="002A4F6C" w:rsidRPr="006D2854">
        <w:t>Summary</w:t>
      </w:r>
      <w:r w:rsidR="00927F27">
        <w:t>;</w:t>
      </w:r>
    </w:p>
    <w:p w:rsidR="00DD312C" w:rsidRDefault="00DD312C" w:rsidP="00DD312C">
      <w:pPr>
        <w:pStyle w:val="Para2"/>
        <w:numPr>
          <w:ilvl w:val="0"/>
          <w:numId w:val="0"/>
        </w:numPr>
        <w:ind w:left="1418" w:hanging="709"/>
      </w:pPr>
      <w:r>
        <w:t>13.4</w:t>
      </w:r>
      <w:r>
        <w:tab/>
        <w:t xml:space="preserve">An indication </w:t>
      </w:r>
      <w:r w:rsidRPr="00DD312C">
        <w:t>of</w:t>
      </w:r>
      <w:r>
        <w:t xml:space="preserve"> the long term expenditure</w:t>
      </w:r>
      <w:r w:rsidR="00622235">
        <w:t xml:space="preserve"> </w:t>
      </w:r>
      <w:r>
        <w:t xml:space="preserve">for </w:t>
      </w:r>
      <w:r w:rsidRPr="00DD312C">
        <w:t>the</w:t>
      </w:r>
      <w:r>
        <w:t xml:space="preserve"> following expenditure categories:</w:t>
      </w:r>
    </w:p>
    <w:p w:rsidR="00DD312C" w:rsidRDefault="00DD312C" w:rsidP="00DD312C">
      <w:pPr>
        <w:pStyle w:val="Para2"/>
        <w:numPr>
          <w:ilvl w:val="0"/>
          <w:numId w:val="0"/>
        </w:numPr>
        <w:ind w:left="709" w:firstLine="709"/>
      </w:pPr>
      <w:r>
        <w:t>13.4.1</w:t>
      </w:r>
      <w:r>
        <w:tab/>
        <w:t>HVDC;</w:t>
      </w:r>
    </w:p>
    <w:p w:rsidR="00DD312C" w:rsidRDefault="00DD312C" w:rsidP="00DD312C">
      <w:pPr>
        <w:pStyle w:val="Para2"/>
        <w:numPr>
          <w:ilvl w:val="0"/>
          <w:numId w:val="0"/>
        </w:numPr>
        <w:ind w:left="709" w:firstLine="709"/>
      </w:pPr>
      <w:r>
        <w:t>13.4.2</w:t>
      </w:r>
      <w:r>
        <w:tab/>
        <w:t>Power transformers;</w:t>
      </w:r>
      <w:r w:rsidRPr="00DD312C">
        <w:t xml:space="preserve"> </w:t>
      </w:r>
    </w:p>
    <w:p w:rsidR="00DD312C" w:rsidRDefault="00DD312C" w:rsidP="00DD312C">
      <w:pPr>
        <w:pStyle w:val="Para2"/>
        <w:numPr>
          <w:ilvl w:val="0"/>
          <w:numId w:val="0"/>
        </w:numPr>
        <w:ind w:left="709" w:firstLine="709"/>
      </w:pPr>
      <w:r>
        <w:t>13.4.3</w:t>
      </w:r>
      <w:r>
        <w:tab/>
      </w:r>
      <w:r w:rsidRPr="00DD312C">
        <w:t>High voltage cables</w:t>
      </w:r>
      <w:r>
        <w:t>;</w:t>
      </w:r>
      <w:r w:rsidRPr="00DD312C">
        <w:t xml:space="preserve"> </w:t>
      </w:r>
    </w:p>
    <w:p w:rsidR="00DD312C" w:rsidRDefault="00DD312C" w:rsidP="00DD312C">
      <w:pPr>
        <w:pStyle w:val="Para2"/>
        <w:numPr>
          <w:ilvl w:val="0"/>
          <w:numId w:val="0"/>
        </w:numPr>
        <w:ind w:left="709" w:firstLine="709"/>
      </w:pPr>
      <w:r>
        <w:t>13.4.4</w:t>
      </w:r>
      <w:r>
        <w:tab/>
      </w:r>
      <w:r w:rsidRPr="00DD312C">
        <w:t>Dynamic reactive support</w:t>
      </w:r>
      <w:r>
        <w:t>;</w:t>
      </w:r>
      <w:r w:rsidRPr="00DD312C">
        <w:t xml:space="preserve"> and  </w:t>
      </w:r>
    </w:p>
    <w:p w:rsidR="00DD312C" w:rsidRDefault="00DD312C" w:rsidP="00DD312C">
      <w:pPr>
        <w:pStyle w:val="Para2"/>
        <w:numPr>
          <w:ilvl w:val="0"/>
          <w:numId w:val="0"/>
        </w:numPr>
        <w:ind w:left="709" w:firstLine="709"/>
      </w:pPr>
      <w:r>
        <w:t>13.4.5</w:t>
      </w:r>
      <w:r>
        <w:tab/>
        <w:t>R</w:t>
      </w:r>
      <w:r w:rsidRPr="00DD312C">
        <w:t xml:space="preserve">econductoring. </w:t>
      </w:r>
    </w:p>
    <w:p w:rsidR="00DD312C" w:rsidRDefault="00622235" w:rsidP="00622235">
      <w:pPr>
        <w:pStyle w:val="Para2"/>
        <w:numPr>
          <w:ilvl w:val="0"/>
          <w:numId w:val="0"/>
        </w:numPr>
        <w:ind w:left="1418"/>
      </w:pPr>
      <w:proofErr w:type="gramStart"/>
      <w:r>
        <w:t>including</w:t>
      </w:r>
      <w:proofErr w:type="gramEnd"/>
      <w:r>
        <w:t xml:space="preserve"> forecast expenditure </w:t>
      </w:r>
      <w:r w:rsidR="00DD312C" w:rsidRPr="00DD312C">
        <w:t>in 5 year int</w:t>
      </w:r>
      <w:r>
        <w:t>ervals from years 10 to 20 and</w:t>
      </w:r>
      <w:r w:rsidR="00DD312C" w:rsidRPr="00DD312C">
        <w:t xml:space="preserve"> a single figure for 20 plus years</w:t>
      </w:r>
      <w:r>
        <w:t>.</w:t>
      </w:r>
    </w:p>
    <w:p w:rsidR="00927F27" w:rsidRDefault="00622235" w:rsidP="00927F27">
      <w:pPr>
        <w:pStyle w:val="Para2"/>
        <w:numPr>
          <w:ilvl w:val="0"/>
          <w:numId w:val="0"/>
        </w:numPr>
        <w:ind w:left="1418" w:hanging="709"/>
      </w:pPr>
      <w:r>
        <w:t>13.5</w:t>
      </w:r>
      <w:r w:rsidR="00927F27">
        <w:tab/>
      </w:r>
      <w:r w:rsidR="00DD312C">
        <w:t>A</w:t>
      </w:r>
      <w:r w:rsidR="00927F27" w:rsidRPr="00927F27">
        <w:t xml:space="preserve">ny significant changes that have occurred since the last report that will </w:t>
      </w:r>
      <w:r w:rsidR="00DD312C" w:rsidRPr="00927F27">
        <w:t>affect</w:t>
      </w:r>
      <w:r w:rsidR="00927F27" w:rsidRPr="00927F27">
        <w:t xml:space="preserve"> the expenditure trends or quantum of expenditure. This include</w:t>
      </w:r>
      <w:r w:rsidR="00DD312C">
        <w:t xml:space="preserve">s, </w:t>
      </w:r>
      <w:r w:rsidR="00927F27" w:rsidRPr="00927F27">
        <w:t>but is not limited to</w:t>
      </w:r>
      <w:r w:rsidR="00DD312C">
        <w:t>:</w:t>
      </w:r>
    </w:p>
    <w:p w:rsidR="00C436FB" w:rsidRPr="00927F27" w:rsidRDefault="00622235" w:rsidP="00DD312C">
      <w:pPr>
        <w:pStyle w:val="Para2"/>
        <w:numPr>
          <w:ilvl w:val="0"/>
          <w:numId w:val="0"/>
        </w:numPr>
        <w:ind w:left="709" w:firstLine="709"/>
      </w:pPr>
      <w:r>
        <w:t>13.5</w:t>
      </w:r>
      <w:r w:rsidR="00DD312C">
        <w:t>.1</w:t>
      </w:r>
      <w:r w:rsidR="005F5BAC" w:rsidRPr="00927F27">
        <w:tab/>
      </w:r>
      <w:r w:rsidR="00927F27" w:rsidRPr="00927F27">
        <w:t xml:space="preserve">Changes to </w:t>
      </w:r>
      <w:r w:rsidR="00927F27">
        <w:t xml:space="preserve">Transpower’s </w:t>
      </w:r>
      <w:r w:rsidR="00927F27" w:rsidRPr="00927F27">
        <w:t>strategic direction;</w:t>
      </w:r>
    </w:p>
    <w:p w:rsidR="00C436FB" w:rsidRDefault="00DD312C" w:rsidP="00DD312C">
      <w:pPr>
        <w:pStyle w:val="Para2"/>
        <w:numPr>
          <w:ilvl w:val="0"/>
          <w:numId w:val="0"/>
        </w:numPr>
        <w:ind w:left="709" w:firstLine="709"/>
      </w:pPr>
      <w:r>
        <w:t>13.</w:t>
      </w:r>
      <w:r w:rsidR="00622235">
        <w:t>5</w:t>
      </w:r>
      <w:r>
        <w:t>.2</w:t>
      </w:r>
      <w:r w:rsidR="005F5BAC" w:rsidRPr="00927F27">
        <w:tab/>
      </w:r>
      <w:r w:rsidR="00927F27" w:rsidRPr="00927F27">
        <w:t>C</w:t>
      </w:r>
      <w:r w:rsidR="00C436FB" w:rsidRPr="00927F27">
        <w:t xml:space="preserve">hanges </w:t>
      </w:r>
      <w:r w:rsidR="00927F27">
        <w:t>to Transpower’s Treasury Policy;</w:t>
      </w:r>
      <w:r>
        <w:t xml:space="preserve"> and</w:t>
      </w:r>
    </w:p>
    <w:p w:rsidR="006D2854" w:rsidRPr="006A3016" w:rsidRDefault="00DD312C" w:rsidP="00622235">
      <w:pPr>
        <w:pStyle w:val="Para2"/>
        <w:numPr>
          <w:ilvl w:val="0"/>
          <w:numId w:val="0"/>
        </w:numPr>
        <w:ind w:left="709" w:firstLine="709"/>
        <w:rPr>
          <w:highlight w:val="yellow"/>
        </w:rPr>
      </w:pPr>
      <w:r>
        <w:t>13.</w:t>
      </w:r>
      <w:r w:rsidR="00622235">
        <w:t>5</w:t>
      </w:r>
      <w:r>
        <w:t>.3</w:t>
      </w:r>
      <w:r w:rsidR="00927F27">
        <w:tab/>
        <w:t>Changes to strategies, policies and processes</w:t>
      </w:r>
      <w:r>
        <w:t>;</w:t>
      </w:r>
    </w:p>
    <w:p w:rsidR="00432240" w:rsidRDefault="00622235" w:rsidP="00432240">
      <w:pPr>
        <w:pStyle w:val="Para2"/>
        <w:numPr>
          <w:ilvl w:val="0"/>
          <w:numId w:val="0"/>
        </w:numPr>
        <w:ind w:left="1418" w:hanging="709"/>
      </w:pPr>
      <w:r w:rsidRPr="00432240">
        <w:t>13.6</w:t>
      </w:r>
      <w:r w:rsidR="005F5BAC" w:rsidRPr="00432240">
        <w:tab/>
      </w:r>
      <w:r w:rsidR="00432240">
        <w:t xml:space="preserve">To meet the requirements of clause 13.2 and 13.3, </w:t>
      </w:r>
      <w:r w:rsidR="00432240">
        <w:rPr>
          <w:color w:val="000000"/>
        </w:rPr>
        <w:t xml:space="preserve">Transpower can submit </w:t>
      </w:r>
      <w:r w:rsidR="00432240">
        <w:rPr>
          <w:color w:val="000000"/>
        </w:rPr>
        <w:t>an</w:t>
      </w:r>
      <w:r w:rsidR="00432240">
        <w:rPr>
          <w:color w:val="000000"/>
        </w:rPr>
        <w:t xml:space="preserve"> asset management </w:t>
      </w:r>
      <w:r w:rsidR="00432240" w:rsidRPr="00432240">
        <w:t>audit</w:t>
      </w:r>
      <w:r w:rsidR="00432240">
        <w:rPr>
          <w:color w:val="000000"/>
        </w:rPr>
        <w:t xml:space="preserve"> report if the </w:t>
      </w:r>
      <w:r w:rsidR="00432240">
        <w:rPr>
          <w:color w:val="000000"/>
        </w:rPr>
        <w:t>audit report contains all of th</w:t>
      </w:r>
      <w:r w:rsidR="00432240">
        <w:rPr>
          <w:color w:val="000000"/>
        </w:rPr>
        <w:t>e assessment areas in the AMMAT, and</w:t>
      </w:r>
      <w:r w:rsidR="00432240">
        <w:rPr>
          <w:color w:val="000000"/>
        </w:rPr>
        <w:t xml:space="preserve"> both the narrative and numerical results are presented in a consistent format throughout the r</w:t>
      </w:r>
      <w:r w:rsidR="00432240">
        <w:rPr>
          <w:color w:val="000000"/>
        </w:rPr>
        <w:t>eport and in subsequent reports</w:t>
      </w:r>
      <w:r w:rsidR="00432240">
        <w:rPr>
          <w:color w:val="000000"/>
        </w:rPr>
        <w:t xml:space="preserve">. </w:t>
      </w:r>
    </w:p>
    <w:p w:rsidR="00927F27" w:rsidRPr="0047704D" w:rsidRDefault="00622235" w:rsidP="005F5BAC">
      <w:pPr>
        <w:pStyle w:val="Para2"/>
        <w:numPr>
          <w:ilvl w:val="0"/>
          <w:numId w:val="0"/>
        </w:numPr>
        <w:ind w:left="1418" w:hanging="709"/>
      </w:pPr>
      <w:r>
        <w:t>13.7</w:t>
      </w:r>
      <w:r>
        <w:tab/>
      </w:r>
      <w:r w:rsidR="00927F27" w:rsidRPr="00432240">
        <w:t>Any other disclosure</w:t>
      </w:r>
      <w:r w:rsidR="00432240" w:rsidRPr="00432240">
        <w:t>s</w:t>
      </w:r>
      <w:r w:rsidR="00432240">
        <w:t xml:space="preserve"> Transpower deems</w:t>
      </w:r>
      <w:r w:rsidR="00927F27" w:rsidRPr="00432240">
        <w:t xml:space="preserve"> valuable for interested persons to understand </w:t>
      </w:r>
      <w:r w:rsidR="00432240" w:rsidRPr="00432240">
        <w:t>Transpower’s</w:t>
      </w:r>
      <w:r w:rsidR="00432240">
        <w:t xml:space="preserve"> performance since the last report</w:t>
      </w:r>
      <w:r>
        <w:t>.</w:t>
      </w:r>
    </w:p>
    <w:p w:rsidR="00770DFD" w:rsidRPr="008E3848" w:rsidRDefault="0002428A" w:rsidP="006D04C1">
      <w:pPr>
        <w:pStyle w:val="Heading0Chapter"/>
        <w:numPr>
          <w:ilvl w:val="0"/>
          <w:numId w:val="0"/>
        </w:numPr>
        <w:rPr>
          <w:rFonts w:ascii="Calibri" w:hAnsi="Calibri"/>
          <w:b w:val="0"/>
        </w:rPr>
      </w:pPr>
      <w:bookmarkStart w:id="51" w:name="_Toc340497120"/>
      <w:bookmarkStart w:id="52" w:name="_Toc379540115"/>
      <w:r w:rsidRPr="008E3848">
        <w:rPr>
          <w:rStyle w:val="Emphasis-Bold"/>
          <w:rFonts w:ascii="Calibri" w:hAnsi="Calibri"/>
          <w:b/>
        </w:rPr>
        <w:t xml:space="preserve">System </w:t>
      </w:r>
      <w:r w:rsidR="005E60E5">
        <w:rPr>
          <w:rStyle w:val="Emphasis-Bold"/>
          <w:rFonts w:ascii="Calibri" w:hAnsi="Calibri"/>
          <w:b/>
        </w:rPr>
        <w:t>o</w:t>
      </w:r>
      <w:r w:rsidRPr="008E3848">
        <w:rPr>
          <w:rStyle w:val="Emphasis-Bold"/>
          <w:rFonts w:ascii="Calibri" w:hAnsi="Calibri"/>
          <w:b/>
        </w:rPr>
        <w:t xml:space="preserve">perator </w:t>
      </w:r>
      <w:r w:rsidR="005E60E5">
        <w:rPr>
          <w:rStyle w:val="Emphasis-Bold"/>
          <w:rFonts w:ascii="Calibri" w:hAnsi="Calibri"/>
          <w:b/>
        </w:rPr>
        <w:t>i</w:t>
      </w:r>
      <w:r w:rsidRPr="008E3848">
        <w:rPr>
          <w:rStyle w:val="Emphasis-Bold"/>
          <w:rFonts w:ascii="Calibri" w:hAnsi="Calibri"/>
          <w:b/>
        </w:rPr>
        <w:t>nformation</w:t>
      </w:r>
      <w:bookmarkEnd w:id="52"/>
      <w:r w:rsidR="00770DFD" w:rsidRPr="008E3848">
        <w:rPr>
          <w:rFonts w:ascii="Calibri" w:hAnsi="Calibri"/>
          <w:b w:val="0"/>
        </w:rPr>
        <w:t xml:space="preserve"> </w:t>
      </w:r>
      <w:bookmarkEnd w:id="51"/>
    </w:p>
    <w:p w:rsidR="00A74E94" w:rsidRDefault="00BC25C0" w:rsidP="00BC25C0">
      <w:pPr>
        <w:pStyle w:val="Para2"/>
        <w:numPr>
          <w:ilvl w:val="0"/>
          <w:numId w:val="0"/>
        </w:numPr>
        <w:ind w:left="709" w:hanging="709"/>
      </w:pPr>
      <w:bookmarkStart w:id="53" w:name="_Toc332792410"/>
      <w:bookmarkStart w:id="54" w:name="_Toc332792450"/>
      <w:bookmarkStart w:id="55" w:name="_Toc332792603"/>
      <w:bookmarkStart w:id="56" w:name="_Toc332793162"/>
      <w:bookmarkStart w:id="57" w:name="_Toc332793526"/>
      <w:bookmarkStart w:id="58" w:name="_Toc332810250"/>
      <w:bookmarkStart w:id="59" w:name="_Toc332874832"/>
      <w:bookmarkStart w:id="60" w:name="_Toc332792415"/>
      <w:bookmarkStart w:id="61" w:name="_Toc332792455"/>
      <w:bookmarkStart w:id="62" w:name="_Toc332792608"/>
      <w:bookmarkStart w:id="63" w:name="_Toc332793167"/>
      <w:bookmarkStart w:id="64" w:name="_Toc332793531"/>
      <w:bookmarkStart w:id="65" w:name="_Toc332810255"/>
      <w:bookmarkStart w:id="66" w:name="_Toc332874837"/>
      <w:bookmarkStart w:id="67" w:name="_Toc332792421"/>
      <w:bookmarkStart w:id="68" w:name="_Toc332792461"/>
      <w:bookmarkStart w:id="69" w:name="_Toc332792614"/>
      <w:bookmarkStart w:id="70" w:name="_Toc332793173"/>
      <w:bookmarkStart w:id="71" w:name="_Toc332793537"/>
      <w:bookmarkStart w:id="72" w:name="_Toc332810261"/>
      <w:bookmarkStart w:id="73" w:name="_Toc332874843"/>
      <w:bookmarkStart w:id="74" w:name="_Toc332792422"/>
      <w:bookmarkStart w:id="75" w:name="_Toc332792462"/>
      <w:bookmarkStart w:id="76" w:name="_Toc332792615"/>
      <w:bookmarkStart w:id="77" w:name="_Toc332793174"/>
      <w:bookmarkStart w:id="78" w:name="_Toc332793538"/>
      <w:bookmarkStart w:id="79" w:name="_Toc332810262"/>
      <w:bookmarkStart w:id="80" w:name="_Toc332874844"/>
      <w:bookmarkEnd w:id="48"/>
      <w:bookmarkEnd w:id="49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r w:rsidRPr="00BC25C0">
        <w:t>14</w:t>
      </w:r>
      <w:r>
        <w:rPr>
          <w:b/>
        </w:rPr>
        <w:tab/>
      </w:r>
      <w:r w:rsidR="00A74E94" w:rsidRPr="008177A0">
        <w:rPr>
          <w:b/>
        </w:rPr>
        <w:t>Transpower</w:t>
      </w:r>
      <w:r w:rsidR="00A74E94" w:rsidRPr="008177A0">
        <w:t xml:space="preserve"> must </w:t>
      </w:r>
      <w:r w:rsidR="00A74E94" w:rsidRPr="008177A0">
        <w:rPr>
          <w:b/>
        </w:rPr>
        <w:t>publicly disclose</w:t>
      </w:r>
      <w:r w:rsidR="00A74E94">
        <w:rPr>
          <w:b/>
        </w:rPr>
        <w:t>,</w:t>
      </w:r>
      <w:r w:rsidR="00A74E94" w:rsidRPr="008177A0">
        <w:t xml:space="preserve"> </w:t>
      </w:r>
      <w:r w:rsidR="00A74E94" w:rsidRPr="008E3848">
        <w:t xml:space="preserve">by the Friday of the third complete week of October </w:t>
      </w:r>
      <w:r w:rsidR="004124DD">
        <w:t xml:space="preserve">after </w:t>
      </w:r>
      <w:r w:rsidR="00A74E94" w:rsidRPr="008E3848">
        <w:t xml:space="preserve">the end of each </w:t>
      </w:r>
      <w:r w:rsidR="00A74E94" w:rsidRPr="008E3848">
        <w:rPr>
          <w:b/>
        </w:rPr>
        <w:t>disclosure year</w:t>
      </w:r>
      <w:r w:rsidR="00A74E94">
        <w:t>,</w:t>
      </w:r>
      <w:r w:rsidR="00A74E94" w:rsidRPr="008E3848">
        <w:t xml:space="preserve"> </w:t>
      </w:r>
      <w:r w:rsidR="006A3016">
        <w:t xml:space="preserve">the </w:t>
      </w:r>
      <w:r w:rsidR="004124DD">
        <w:t xml:space="preserve">following </w:t>
      </w:r>
      <w:r w:rsidR="00A74E94" w:rsidRPr="0064355F">
        <w:rPr>
          <w:b/>
        </w:rPr>
        <w:t>information</w:t>
      </w:r>
      <w:r w:rsidR="00A74E94" w:rsidRPr="008E3848">
        <w:t xml:space="preserve"> relating to </w:t>
      </w:r>
      <w:r w:rsidR="004124DD" w:rsidRPr="004124DD">
        <w:rPr>
          <w:b/>
        </w:rPr>
        <w:t xml:space="preserve">system operator </w:t>
      </w:r>
      <w:r w:rsidR="00A74E94" w:rsidRPr="008E3848">
        <w:rPr>
          <w:b/>
        </w:rPr>
        <w:t>services</w:t>
      </w:r>
      <w:r w:rsidR="00A74E94" w:rsidRPr="008E3848">
        <w:t xml:space="preserve"> supplied by </w:t>
      </w:r>
      <w:r w:rsidR="00A74E94" w:rsidRPr="008E3848">
        <w:rPr>
          <w:b/>
        </w:rPr>
        <w:t>Transpower</w:t>
      </w:r>
      <w:r w:rsidR="00A74E94" w:rsidRPr="008E3848">
        <w:t xml:space="preserve"> for that </w:t>
      </w:r>
      <w:r w:rsidR="00A74E94" w:rsidRPr="008E3848">
        <w:rPr>
          <w:b/>
        </w:rPr>
        <w:t>disclosure year</w:t>
      </w:r>
      <w:r w:rsidR="006A3016">
        <w:t>:</w:t>
      </w:r>
    </w:p>
    <w:p w:rsidR="00515F84" w:rsidRPr="008177A0" w:rsidRDefault="00BC25C0" w:rsidP="000B6871">
      <w:pPr>
        <w:pStyle w:val="Para2"/>
        <w:numPr>
          <w:ilvl w:val="0"/>
          <w:numId w:val="0"/>
        </w:numPr>
        <w:ind w:firstLine="709"/>
      </w:pPr>
      <w:r>
        <w:t>14</w:t>
      </w:r>
      <w:r w:rsidR="000B6871">
        <w:t>.1</w:t>
      </w:r>
      <w:r w:rsidR="000B6871">
        <w:tab/>
      </w:r>
      <w:r w:rsidR="002A4F6C" w:rsidRPr="008177A0">
        <w:t>Schedule SO1</w:t>
      </w:r>
      <w:r w:rsidR="002A4F6C">
        <w:t xml:space="preserve"> - System Operator</w:t>
      </w:r>
      <w:r w:rsidR="00867209" w:rsidRPr="008177A0">
        <w:t>.</w:t>
      </w:r>
    </w:p>
    <w:p w:rsidR="00626AFD" w:rsidRPr="008E3848" w:rsidRDefault="0002428A" w:rsidP="00F83333">
      <w:pPr>
        <w:pStyle w:val="Heading0Chapter"/>
        <w:numPr>
          <w:ilvl w:val="0"/>
          <w:numId w:val="0"/>
        </w:numPr>
        <w:ind w:left="709" w:hanging="709"/>
        <w:rPr>
          <w:rFonts w:ascii="Calibri" w:hAnsi="Calibri"/>
        </w:rPr>
      </w:pPr>
      <w:bookmarkStart w:id="81" w:name="_Toc379540116"/>
      <w:r w:rsidRPr="008E3848">
        <w:rPr>
          <w:rFonts w:ascii="Calibri" w:hAnsi="Calibri"/>
        </w:rPr>
        <w:t>Audit and Certification Requirements</w:t>
      </w:r>
      <w:bookmarkEnd w:id="81"/>
      <w:r w:rsidRPr="008E3848">
        <w:rPr>
          <w:rFonts w:ascii="Calibri" w:hAnsi="Calibri"/>
        </w:rPr>
        <w:t xml:space="preserve"> </w:t>
      </w:r>
    </w:p>
    <w:p w:rsidR="000B2C4D" w:rsidRPr="008E3848" w:rsidRDefault="00BC25C0" w:rsidP="00BC25C0">
      <w:pPr>
        <w:pStyle w:val="Para2"/>
        <w:numPr>
          <w:ilvl w:val="0"/>
          <w:numId w:val="0"/>
        </w:numPr>
        <w:ind w:left="709" w:hanging="709"/>
      </w:pPr>
      <w:r>
        <w:t>15</w:t>
      </w:r>
      <w:r>
        <w:tab/>
      </w:r>
      <w:r w:rsidR="000B2C4D" w:rsidRPr="008E3848">
        <w:t xml:space="preserve">Where </w:t>
      </w:r>
      <w:r w:rsidR="000B2C4D" w:rsidRPr="00BC25C0">
        <w:rPr>
          <w:b/>
        </w:rPr>
        <w:t>Transpower</w:t>
      </w:r>
      <w:r w:rsidR="000B2C4D" w:rsidRPr="008E3848">
        <w:t xml:space="preserve"> is required to </w:t>
      </w:r>
      <w:r w:rsidR="0011662C" w:rsidRPr="008E3848">
        <w:rPr>
          <w:b/>
        </w:rPr>
        <w:t>publicly disclose</w:t>
      </w:r>
      <w:r w:rsidR="0011662C" w:rsidRPr="008E3848">
        <w:t xml:space="preserve"> </w:t>
      </w:r>
      <w:r w:rsidR="000B2C4D" w:rsidRPr="008E3848">
        <w:t>any</w:t>
      </w:r>
      <w:r w:rsidR="001E001B" w:rsidRPr="008E3848">
        <w:t xml:space="preserve"> </w:t>
      </w:r>
      <w:r w:rsidR="001E001B" w:rsidRPr="0064355F">
        <w:rPr>
          <w:b/>
        </w:rPr>
        <w:t>information</w:t>
      </w:r>
      <w:r w:rsidR="001E001B" w:rsidRPr="008E3848">
        <w:t xml:space="preserve"> under </w:t>
      </w:r>
      <w:r w:rsidR="0064355F">
        <w:t>sub</w:t>
      </w:r>
      <w:r w:rsidR="00B4542F">
        <w:t>-</w:t>
      </w:r>
      <w:r w:rsidR="001E001B" w:rsidRPr="008E3848">
        <w:t xml:space="preserve">clauses </w:t>
      </w:r>
      <w:r w:rsidR="008B6E2D">
        <w:t>9.1-</w:t>
      </w:r>
      <w:r>
        <w:t>11.1</w:t>
      </w:r>
      <w:r w:rsidR="005266E9" w:rsidRPr="008E3848">
        <w:t xml:space="preserve"> and 1</w:t>
      </w:r>
      <w:r>
        <w:t>4</w:t>
      </w:r>
      <w:r w:rsidR="001D7192">
        <w:t xml:space="preserve">.1, </w:t>
      </w:r>
      <w:r w:rsidR="000B2C4D" w:rsidRPr="008E3848">
        <w:rPr>
          <w:b/>
        </w:rPr>
        <w:t>Transpower</w:t>
      </w:r>
      <w:r w:rsidR="000B2C4D" w:rsidRPr="008E3848">
        <w:t xml:space="preserve"> must:</w:t>
      </w:r>
    </w:p>
    <w:p w:rsidR="000B2C4D" w:rsidRPr="008177A0" w:rsidRDefault="00BC25C0" w:rsidP="00A22E5E">
      <w:pPr>
        <w:pStyle w:val="Para2"/>
        <w:numPr>
          <w:ilvl w:val="0"/>
          <w:numId w:val="0"/>
        </w:numPr>
        <w:ind w:left="1418" w:hanging="709"/>
      </w:pPr>
      <w:r>
        <w:t>15</w:t>
      </w:r>
      <w:r w:rsidR="00A22E5E">
        <w:t>.1</w:t>
      </w:r>
      <w:r w:rsidR="00A22E5E">
        <w:tab/>
      </w:r>
      <w:r w:rsidR="00733931">
        <w:t>p</w:t>
      </w:r>
      <w:r w:rsidR="000B2C4D" w:rsidRPr="008177A0">
        <w:t xml:space="preserve">rocure an assurance report by </w:t>
      </w:r>
      <w:r w:rsidR="00F83333" w:rsidRPr="008177A0">
        <w:t xml:space="preserve">an </w:t>
      </w:r>
      <w:r w:rsidR="00F83333" w:rsidRPr="0047704D">
        <w:rPr>
          <w:b/>
        </w:rPr>
        <w:t>independent a</w:t>
      </w:r>
      <w:r w:rsidR="000B2C4D" w:rsidRPr="0047704D">
        <w:rPr>
          <w:b/>
        </w:rPr>
        <w:t>uditor</w:t>
      </w:r>
      <w:r w:rsidR="000B2C4D" w:rsidRPr="008177A0">
        <w:t xml:space="preserve"> in respect </w:t>
      </w:r>
      <w:r w:rsidR="00F83333" w:rsidRPr="008177A0">
        <w:t xml:space="preserve">of </w:t>
      </w:r>
      <w:r w:rsidR="00D505A8" w:rsidRPr="008177A0">
        <w:t xml:space="preserve">the </w:t>
      </w:r>
      <w:r w:rsidR="00D505A8" w:rsidRPr="0047704D">
        <w:rPr>
          <w:b/>
        </w:rPr>
        <w:t>audited disclosure information</w:t>
      </w:r>
      <w:r w:rsidR="000B2C4D" w:rsidRPr="008177A0">
        <w:t xml:space="preserve">, that is prepared </w:t>
      </w:r>
      <w:r w:rsidR="00051906" w:rsidRPr="008177A0">
        <w:t xml:space="preserve">in accordance with Standard on Assurance Engagements 3100 – Compliance Engagements (SAE 3100) and International Standard on Assurance </w:t>
      </w:r>
      <w:r w:rsidR="00644AB2" w:rsidRPr="008177A0">
        <w:t>Engagements</w:t>
      </w:r>
      <w:r w:rsidR="00051906" w:rsidRPr="008177A0">
        <w:t xml:space="preserve"> 3000 (ISAE (NZ) 3000) or their suc</w:t>
      </w:r>
      <w:r w:rsidR="00F83333" w:rsidRPr="008177A0">
        <w:t xml:space="preserve">cessor standards, signed by an </w:t>
      </w:r>
      <w:r w:rsidR="00F83333" w:rsidRPr="0047704D">
        <w:rPr>
          <w:b/>
        </w:rPr>
        <w:t>independent a</w:t>
      </w:r>
      <w:r w:rsidR="00051906" w:rsidRPr="0047704D">
        <w:rPr>
          <w:b/>
        </w:rPr>
        <w:t>uditor</w:t>
      </w:r>
      <w:r w:rsidR="00051906" w:rsidRPr="008177A0">
        <w:t xml:space="preserve"> (either in his or her own name or that of his or her firm), that:</w:t>
      </w:r>
    </w:p>
    <w:p w:rsidR="00051906" w:rsidRDefault="008177A0" w:rsidP="00BC25C0">
      <w:pPr>
        <w:pStyle w:val="Para4"/>
        <w:numPr>
          <w:ilvl w:val="2"/>
          <w:numId w:val="39"/>
        </w:numPr>
      </w:pPr>
      <w:r w:rsidRPr="008177A0">
        <w:t xml:space="preserve">is addressed to the </w:t>
      </w:r>
      <w:r w:rsidRPr="008177A0">
        <w:rPr>
          <w:b/>
        </w:rPr>
        <w:t>d</w:t>
      </w:r>
      <w:r w:rsidR="00051906" w:rsidRPr="008177A0">
        <w:rPr>
          <w:b/>
        </w:rPr>
        <w:t>irectors</w:t>
      </w:r>
      <w:r w:rsidR="00051906" w:rsidRPr="008177A0">
        <w:t xml:space="preserve"> of </w:t>
      </w:r>
      <w:r w:rsidR="00644AB2" w:rsidRPr="008177A0">
        <w:rPr>
          <w:b/>
        </w:rPr>
        <w:t>Transpower</w:t>
      </w:r>
      <w:r w:rsidR="00051906" w:rsidRPr="008177A0">
        <w:rPr>
          <w:b/>
        </w:rPr>
        <w:t xml:space="preserve"> </w:t>
      </w:r>
      <w:r w:rsidR="00051906" w:rsidRPr="008177A0">
        <w:t xml:space="preserve">and to the </w:t>
      </w:r>
      <w:r w:rsidR="00051906" w:rsidRPr="008177A0">
        <w:rPr>
          <w:b/>
        </w:rPr>
        <w:t>Commission</w:t>
      </w:r>
      <w:r w:rsidR="00051906" w:rsidRPr="008177A0">
        <w:t xml:space="preserve"> as the intended users of the assurance report;</w:t>
      </w:r>
      <w:r w:rsidR="00DD144B" w:rsidRPr="008177A0">
        <w:t xml:space="preserve"> and</w:t>
      </w:r>
    </w:p>
    <w:p w:rsidR="00051906" w:rsidRPr="008177A0" w:rsidRDefault="00047064" w:rsidP="00BC25C0">
      <w:pPr>
        <w:pStyle w:val="Para4"/>
        <w:numPr>
          <w:ilvl w:val="2"/>
          <w:numId w:val="39"/>
        </w:numPr>
      </w:pPr>
      <w:r w:rsidRPr="008177A0">
        <w:t>s</w:t>
      </w:r>
      <w:r w:rsidR="00051906" w:rsidRPr="008177A0">
        <w:t>tates:</w:t>
      </w:r>
    </w:p>
    <w:p w:rsidR="00051906" w:rsidRPr="00F55E99" w:rsidRDefault="008177A0" w:rsidP="00416972">
      <w:pPr>
        <w:pStyle w:val="Para5"/>
        <w:ind w:hanging="850"/>
      </w:pPr>
      <w:r w:rsidRPr="00F55E99">
        <w:t>that it</w:t>
      </w:r>
      <w:r w:rsidR="00051906" w:rsidRPr="00F55E99">
        <w:t xml:space="preserve"> has been prepared in accordance with Standard on Assurance Engagements 3100 – Compliance Engagements (SAE 3100) and International Standard on Assurance </w:t>
      </w:r>
      <w:r w:rsidR="00644AB2" w:rsidRPr="00F55E99">
        <w:t>Engagements</w:t>
      </w:r>
      <w:r w:rsidR="00051906" w:rsidRPr="00F55E99">
        <w:t xml:space="preserve"> 3000 (ISAE (NZ) 3000) o</w:t>
      </w:r>
      <w:r w:rsidR="00047064" w:rsidRPr="00F55E99">
        <w:t xml:space="preserve">r their successor standards; </w:t>
      </w:r>
    </w:p>
    <w:p w:rsidR="00051906" w:rsidRPr="00F55E99" w:rsidRDefault="00047064" w:rsidP="008E1FE7">
      <w:pPr>
        <w:pStyle w:val="Para5"/>
        <w:ind w:hanging="850"/>
      </w:pPr>
      <w:r w:rsidRPr="00F55E99">
        <w:t xml:space="preserve">the work done by the </w:t>
      </w:r>
      <w:r w:rsidRPr="00416972">
        <w:rPr>
          <w:b/>
        </w:rPr>
        <w:t>i</w:t>
      </w:r>
      <w:r w:rsidR="00051906" w:rsidRPr="00416972">
        <w:rPr>
          <w:b/>
        </w:rPr>
        <w:t>ndepende</w:t>
      </w:r>
      <w:r w:rsidRPr="00416972">
        <w:rPr>
          <w:b/>
        </w:rPr>
        <w:t>nt a</w:t>
      </w:r>
      <w:r w:rsidR="00051906" w:rsidRPr="00416972">
        <w:rPr>
          <w:b/>
        </w:rPr>
        <w:t>uditor</w:t>
      </w:r>
      <w:r w:rsidR="00051906" w:rsidRPr="00F55E99">
        <w:t xml:space="preserve">; </w:t>
      </w:r>
    </w:p>
    <w:p w:rsidR="00051906" w:rsidRPr="00F55E99" w:rsidRDefault="00051906" w:rsidP="008E1FE7">
      <w:pPr>
        <w:pStyle w:val="Para5"/>
        <w:ind w:hanging="850"/>
      </w:pPr>
      <w:r w:rsidRPr="00F55E99">
        <w:t xml:space="preserve">the scope and limitations </w:t>
      </w:r>
      <w:r w:rsidR="00047064" w:rsidRPr="00F55E99">
        <w:t>of the assurance engagement;</w:t>
      </w:r>
    </w:p>
    <w:p w:rsidR="00047064" w:rsidRPr="00F55E99" w:rsidRDefault="00047064" w:rsidP="008E1FE7">
      <w:pPr>
        <w:pStyle w:val="Para5"/>
        <w:ind w:hanging="850"/>
      </w:pPr>
      <w:r w:rsidRPr="00F55E99">
        <w:t xml:space="preserve">the existence of any relationship (other than that of auditor) which the </w:t>
      </w:r>
      <w:r w:rsidRPr="00416972">
        <w:rPr>
          <w:b/>
        </w:rPr>
        <w:t>independent auditor</w:t>
      </w:r>
      <w:r w:rsidRPr="00F55E99">
        <w:t xml:space="preserve"> has with, or any interests which the </w:t>
      </w:r>
      <w:r w:rsidRPr="00416972">
        <w:rPr>
          <w:b/>
        </w:rPr>
        <w:t>independent auditor</w:t>
      </w:r>
      <w:r w:rsidRPr="00F55E99">
        <w:t xml:space="preserve"> has in, </w:t>
      </w:r>
      <w:r w:rsidRPr="00416972">
        <w:rPr>
          <w:b/>
        </w:rPr>
        <w:t>Transpower</w:t>
      </w:r>
      <w:r w:rsidRPr="00F55E99">
        <w:t xml:space="preserve"> and/or any of its subsidiaries; </w:t>
      </w:r>
    </w:p>
    <w:p w:rsidR="00047064" w:rsidRPr="00F55E99" w:rsidRDefault="00047064" w:rsidP="008E1FE7">
      <w:pPr>
        <w:pStyle w:val="Para5"/>
        <w:ind w:hanging="850"/>
      </w:pPr>
      <w:r w:rsidRPr="00F55E99">
        <w:t xml:space="preserve">whether the </w:t>
      </w:r>
      <w:r w:rsidRPr="00416972">
        <w:rPr>
          <w:b/>
        </w:rPr>
        <w:t>independent auditor</w:t>
      </w:r>
      <w:r w:rsidRPr="00F55E99">
        <w:t xml:space="preserve"> has obtained sufficient recorded evidence and explanations that he or she required and, if not, the information and explanations not obtained;</w:t>
      </w:r>
    </w:p>
    <w:p w:rsidR="00047064" w:rsidRPr="008177A0" w:rsidRDefault="00047064" w:rsidP="008E1FE7">
      <w:pPr>
        <w:pStyle w:val="Para5"/>
        <w:ind w:hanging="850"/>
      </w:pPr>
      <w:r w:rsidRPr="00F55E99">
        <w:t xml:space="preserve">whether in the </w:t>
      </w:r>
      <w:r w:rsidRPr="00416972">
        <w:rPr>
          <w:b/>
        </w:rPr>
        <w:t>independent auditor’s</w:t>
      </w:r>
      <w:r w:rsidRPr="008177A0">
        <w:t xml:space="preserve"> opinion, as far as appears from the examination, the information used in the preparation of the </w:t>
      </w:r>
      <w:r w:rsidR="000D1847" w:rsidRPr="008177A0">
        <w:rPr>
          <w:b/>
        </w:rPr>
        <w:t>audited disclosure i</w:t>
      </w:r>
      <w:r w:rsidRPr="008177A0">
        <w:rPr>
          <w:b/>
        </w:rPr>
        <w:t>nformation</w:t>
      </w:r>
      <w:r w:rsidRPr="008177A0">
        <w:t xml:space="preserve"> has been properly extracted from </w:t>
      </w:r>
      <w:r w:rsidRPr="008177A0">
        <w:rPr>
          <w:b/>
        </w:rPr>
        <w:t>Transpower’s</w:t>
      </w:r>
      <w:r w:rsidRPr="008177A0">
        <w:t xml:space="preserve"> accounting and other records, sourced from its financial and non-financial systems;</w:t>
      </w:r>
    </w:p>
    <w:p w:rsidR="00047064" w:rsidRPr="008177A0" w:rsidRDefault="00047064" w:rsidP="008E1FE7">
      <w:pPr>
        <w:pStyle w:val="Para5"/>
        <w:ind w:hanging="850"/>
      </w:pPr>
      <w:r w:rsidRPr="008177A0">
        <w:rPr>
          <w:rFonts w:cs="Calibri"/>
          <w:color w:val="000000"/>
        </w:rPr>
        <w:t xml:space="preserve">whether, in the </w:t>
      </w:r>
      <w:r w:rsidRPr="008177A0">
        <w:rPr>
          <w:rFonts w:cs="Calibri"/>
          <w:b/>
          <w:bCs/>
          <w:color w:val="000000"/>
        </w:rPr>
        <w:t>independent auditor</w:t>
      </w:r>
      <w:r w:rsidRPr="008177A0">
        <w:rPr>
          <w:rFonts w:cs="Calibri"/>
          <w:color w:val="000000"/>
        </w:rPr>
        <w:t xml:space="preserve">’s opinion, as far as appears from an examination of them, proper </w:t>
      </w:r>
      <w:r w:rsidRPr="008177A0">
        <w:rPr>
          <w:rFonts w:cs="Calibri"/>
          <w:b/>
          <w:bCs/>
          <w:color w:val="000000"/>
        </w:rPr>
        <w:t xml:space="preserve">records </w:t>
      </w:r>
      <w:r w:rsidRPr="008177A0">
        <w:rPr>
          <w:rFonts w:cs="Calibri"/>
          <w:color w:val="000000"/>
        </w:rPr>
        <w:t xml:space="preserve">to enable the complete and accurate compilation of the </w:t>
      </w:r>
      <w:r w:rsidR="000D1847" w:rsidRPr="008177A0">
        <w:rPr>
          <w:rFonts w:cs="Calibri"/>
          <w:b/>
          <w:bCs/>
          <w:color w:val="000000"/>
        </w:rPr>
        <w:t>audited disclosure</w:t>
      </w:r>
      <w:r w:rsidRPr="008177A0">
        <w:rPr>
          <w:rFonts w:cs="Calibri"/>
          <w:b/>
          <w:bCs/>
          <w:color w:val="000000"/>
        </w:rPr>
        <w:t xml:space="preserve"> information </w:t>
      </w:r>
      <w:r w:rsidR="00173C44" w:rsidRPr="008177A0">
        <w:rPr>
          <w:rFonts w:cs="Calibri"/>
          <w:color w:val="000000"/>
        </w:rPr>
        <w:t xml:space="preserve">required by </w:t>
      </w:r>
      <w:r w:rsidR="008177A0">
        <w:rPr>
          <w:rFonts w:cs="Calibri"/>
          <w:color w:val="000000"/>
        </w:rPr>
        <w:t xml:space="preserve">this determination </w:t>
      </w:r>
      <w:r w:rsidR="00B00CC1">
        <w:rPr>
          <w:rFonts w:cs="Calibri"/>
          <w:color w:val="000000"/>
        </w:rPr>
        <w:t xml:space="preserve">have been kept by </w:t>
      </w:r>
      <w:r w:rsidR="00DD144B" w:rsidRPr="008177A0">
        <w:rPr>
          <w:rFonts w:cs="Calibri"/>
          <w:b/>
          <w:bCs/>
          <w:color w:val="000000"/>
        </w:rPr>
        <w:t>Transpower</w:t>
      </w:r>
      <w:r w:rsidRPr="008177A0">
        <w:rPr>
          <w:rFonts w:cs="Calibri"/>
          <w:b/>
          <w:bCs/>
          <w:color w:val="000000"/>
        </w:rPr>
        <w:t xml:space="preserve"> </w:t>
      </w:r>
      <w:r w:rsidRPr="008177A0">
        <w:rPr>
          <w:rFonts w:cs="Calibri"/>
          <w:color w:val="000000"/>
        </w:rPr>
        <w:t xml:space="preserve">and, if not, the </w:t>
      </w:r>
      <w:r w:rsidRPr="008177A0">
        <w:rPr>
          <w:rFonts w:cs="Calibri"/>
          <w:b/>
          <w:bCs/>
          <w:color w:val="000000"/>
        </w:rPr>
        <w:t xml:space="preserve">records </w:t>
      </w:r>
      <w:r w:rsidRPr="008177A0">
        <w:rPr>
          <w:rFonts w:cs="Calibri"/>
          <w:color w:val="000000"/>
        </w:rPr>
        <w:t>not so kept; and</w:t>
      </w:r>
    </w:p>
    <w:p w:rsidR="000F2B50" w:rsidRPr="008177A0" w:rsidRDefault="00B00CC1" w:rsidP="008E1FE7">
      <w:pPr>
        <w:pStyle w:val="Para5"/>
        <w:ind w:hanging="850"/>
      </w:pPr>
      <w:r>
        <w:t>whether</w:t>
      </w:r>
      <w:r w:rsidR="00047064" w:rsidRPr="008177A0">
        <w:t xml:space="preserve"> in the </w:t>
      </w:r>
      <w:r w:rsidR="00047064" w:rsidRPr="008177A0">
        <w:rPr>
          <w:b/>
        </w:rPr>
        <w:t xml:space="preserve">independent auditor’s </w:t>
      </w:r>
      <w:r w:rsidR="00047064" w:rsidRPr="008177A0">
        <w:t xml:space="preserve">opinion, </w:t>
      </w:r>
      <w:r w:rsidR="00047064" w:rsidRPr="008177A0">
        <w:rPr>
          <w:b/>
        </w:rPr>
        <w:t>Transpower</w:t>
      </w:r>
      <w:r w:rsidR="00047064" w:rsidRPr="008177A0">
        <w:t xml:space="preserve"> has complied, in </w:t>
      </w:r>
      <w:r w:rsidR="008177A0">
        <w:t xml:space="preserve">all material respects, with this determination </w:t>
      </w:r>
      <w:r w:rsidR="00047064" w:rsidRPr="008177A0">
        <w:t>in prepar</w:t>
      </w:r>
      <w:r w:rsidR="00E47361">
        <w:t xml:space="preserve">ing the </w:t>
      </w:r>
      <w:r w:rsidR="00E47361" w:rsidRPr="008177A0">
        <w:rPr>
          <w:rFonts w:cs="Calibri"/>
          <w:b/>
          <w:bCs/>
          <w:color w:val="000000"/>
        </w:rPr>
        <w:t>audited disclosure information</w:t>
      </w:r>
      <w:r>
        <w:t xml:space="preserve">, </w:t>
      </w:r>
      <w:r w:rsidRPr="008177A0">
        <w:t>and, if not, the respect</w:t>
      </w:r>
      <w:r>
        <w:t>s in which it has not done so</w:t>
      </w:r>
      <w:r w:rsidR="00E47361">
        <w:t>; and</w:t>
      </w:r>
    </w:p>
    <w:p w:rsidR="00192715" w:rsidRPr="008177A0" w:rsidRDefault="00623E9F" w:rsidP="00BC25C0">
      <w:pPr>
        <w:pStyle w:val="Para2"/>
        <w:numPr>
          <w:ilvl w:val="1"/>
          <w:numId w:val="39"/>
        </w:numPr>
        <w:ind w:left="1418" w:hanging="709"/>
      </w:pPr>
      <w:proofErr w:type="gramStart"/>
      <w:r>
        <w:rPr>
          <w:b/>
        </w:rPr>
        <w:t>p</w:t>
      </w:r>
      <w:r w:rsidR="00192715" w:rsidRPr="008177A0">
        <w:rPr>
          <w:b/>
        </w:rPr>
        <w:t>ublicly</w:t>
      </w:r>
      <w:proofErr w:type="gramEnd"/>
      <w:r w:rsidR="00192715" w:rsidRPr="008177A0">
        <w:rPr>
          <w:b/>
        </w:rPr>
        <w:t xml:space="preserve"> disclose</w:t>
      </w:r>
      <w:r w:rsidR="000D1847" w:rsidRPr="008177A0">
        <w:t xml:space="preserve"> th</w:t>
      </w:r>
      <w:r w:rsidR="00DD144B" w:rsidRPr="008177A0">
        <w:t xml:space="preserve">e </w:t>
      </w:r>
      <w:r w:rsidR="00192715" w:rsidRPr="008177A0">
        <w:t>assurance report prepared i</w:t>
      </w:r>
      <w:r w:rsidR="00DD144B" w:rsidRPr="008177A0">
        <w:t xml:space="preserve">n accordance with </w:t>
      </w:r>
      <w:r w:rsidR="00A23D69">
        <w:t>sub-</w:t>
      </w:r>
      <w:r w:rsidR="00B00CC1">
        <w:t>clause 13</w:t>
      </w:r>
      <w:r w:rsidR="00D505A8" w:rsidRPr="008177A0">
        <w:t xml:space="preserve">.1 </w:t>
      </w:r>
      <w:r w:rsidR="00192715" w:rsidRPr="008177A0">
        <w:t xml:space="preserve">above at the same time as </w:t>
      </w:r>
      <w:r w:rsidR="00192715" w:rsidRPr="008177A0">
        <w:rPr>
          <w:b/>
        </w:rPr>
        <w:t>Transpower</w:t>
      </w:r>
      <w:r w:rsidR="00192715" w:rsidRPr="008177A0">
        <w:t xml:space="preserve"> </w:t>
      </w:r>
      <w:r w:rsidR="00DD144B" w:rsidRPr="008177A0">
        <w:rPr>
          <w:b/>
        </w:rPr>
        <w:t>publicly d</w:t>
      </w:r>
      <w:r w:rsidR="00192715" w:rsidRPr="008177A0">
        <w:rPr>
          <w:b/>
        </w:rPr>
        <w:t>iscloses</w:t>
      </w:r>
      <w:r w:rsidR="00192715" w:rsidRPr="008177A0">
        <w:t xml:space="preserve"> the </w:t>
      </w:r>
      <w:r w:rsidR="00D505A8" w:rsidRPr="008177A0">
        <w:rPr>
          <w:b/>
        </w:rPr>
        <w:t>audited disclosure i</w:t>
      </w:r>
      <w:r w:rsidR="00192715" w:rsidRPr="008177A0">
        <w:rPr>
          <w:b/>
        </w:rPr>
        <w:t>nformation</w:t>
      </w:r>
      <w:r w:rsidR="00192715" w:rsidRPr="008177A0">
        <w:t>.</w:t>
      </w:r>
    </w:p>
    <w:p w:rsidR="000B2C4D" w:rsidRPr="008E3848" w:rsidRDefault="00D505A8" w:rsidP="00BC25C0">
      <w:pPr>
        <w:pStyle w:val="Para3"/>
        <w:numPr>
          <w:ilvl w:val="0"/>
          <w:numId w:val="39"/>
        </w:numPr>
      </w:pPr>
      <w:r w:rsidRPr="008177A0">
        <w:t xml:space="preserve">Where </w:t>
      </w:r>
      <w:r w:rsidR="000D1847" w:rsidRPr="008177A0">
        <w:rPr>
          <w:b/>
          <w:bCs/>
        </w:rPr>
        <w:t>Transpower</w:t>
      </w:r>
      <w:r w:rsidRPr="008177A0">
        <w:rPr>
          <w:b/>
          <w:bCs/>
        </w:rPr>
        <w:t xml:space="preserve"> </w:t>
      </w:r>
      <w:r w:rsidRPr="008177A0">
        <w:t xml:space="preserve">is required to </w:t>
      </w:r>
      <w:r w:rsidRPr="008177A0">
        <w:rPr>
          <w:b/>
          <w:bCs/>
        </w:rPr>
        <w:t xml:space="preserve">publicly disclose </w:t>
      </w:r>
      <w:r w:rsidRPr="008177A0">
        <w:t xml:space="preserve">any information under </w:t>
      </w:r>
      <w:r w:rsidR="0064355F">
        <w:t>sub-</w:t>
      </w:r>
      <w:r w:rsidRPr="008177A0">
        <w:t xml:space="preserve">clauses </w:t>
      </w:r>
      <w:r w:rsidR="00003080">
        <w:t>9.1-</w:t>
      </w:r>
      <w:r w:rsidR="00BC25C0">
        <w:t>14</w:t>
      </w:r>
      <w:r w:rsidR="00003080">
        <w:t>.1</w:t>
      </w:r>
      <w:r w:rsidRPr="008177A0">
        <w:t xml:space="preserve">, </w:t>
      </w:r>
      <w:r w:rsidR="000D1847" w:rsidRPr="008177A0">
        <w:rPr>
          <w:b/>
        </w:rPr>
        <w:t xml:space="preserve">Transpower </w:t>
      </w:r>
      <w:r w:rsidRPr="008177A0">
        <w:t xml:space="preserve">must at that time </w:t>
      </w:r>
      <w:r w:rsidRPr="008177A0">
        <w:rPr>
          <w:b/>
          <w:bCs/>
        </w:rPr>
        <w:t xml:space="preserve">publicly disclose </w:t>
      </w:r>
      <w:r w:rsidRPr="008177A0">
        <w:t>a certificate in</w:t>
      </w:r>
      <w:r w:rsidR="00190F00" w:rsidRPr="008177A0">
        <w:t xml:space="preserve"> the form set out in Schedule </w:t>
      </w:r>
      <w:r w:rsidR="00D37A87">
        <w:t>Cert1</w:t>
      </w:r>
      <w:r w:rsidRPr="008177A0">
        <w:t xml:space="preserve"> in respect of that information, duly signed by 2 </w:t>
      </w:r>
      <w:r w:rsidRPr="008177A0">
        <w:rPr>
          <w:b/>
          <w:bCs/>
        </w:rPr>
        <w:t xml:space="preserve">directors </w:t>
      </w:r>
      <w:r w:rsidR="000D1847" w:rsidRPr="008177A0">
        <w:t xml:space="preserve">of </w:t>
      </w:r>
      <w:r w:rsidR="000D1847" w:rsidRPr="008177A0">
        <w:rPr>
          <w:b/>
          <w:bCs/>
        </w:rPr>
        <w:t>Transpower</w:t>
      </w:r>
      <w:r w:rsidRPr="008177A0">
        <w:t>.</w:t>
      </w:r>
    </w:p>
    <w:p w:rsidR="00A26FBD" w:rsidRPr="008E3848" w:rsidRDefault="00A26FBD" w:rsidP="003974F8">
      <w:pPr>
        <w:pStyle w:val="Heading0Chapter"/>
        <w:numPr>
          <w:ilvl w:val="0"/>
          <w:numId w:val="0"/>
        </w:numPr>
        <w:rPr>
          <w:rFonts w:ascii="Calibri" w:hAnsi="Calibri"/>
        </w:rPr>
      </w:pPr>
      <w:bookmarkStart w:id="82" w:name="_Toc379540117"/>
      <w:r w:rsidRPr="008E3848">
        <w:rPr>
          <w:rFonts w:ascii="Calibri" w:hAnsi="Calibri"/>
        </w:rPr>
        <w:t>Re</w:t>
      </w:r>
      <w:r w:rsidR="0077725F" w:rsidRPr="008E3848">
        <w:rPr>
          <w:rFonts w:ascii="Calibri" w:hAnsi="Calibri"/>
        </w:rPr>
        <w:t>lated Party T</w:t>
      </w:r>
      <w:r w:rsidR="004854CB" w:rsidRPr="008E3848">
        <w:rPr>
          <w:rFonts w:ascii="Calibri" w:hAnsi="Calibri"/>
        </w:rPr>
        <w:t>ransactions</w:t>
      </w:r>
      <w:bookmarkEnd w:id="82"/>
    </w:p>
    <w:p w:rsidR="008E1FE7" w:rsidRPr="008055A2" w:rsidRDefault="009061DD" w:rsidP="00BC25C0">
      <w:pPr>
        <w:pStyle w:val="Para1"/>
        <w:numPr>
          <w:ilvl w:val="0"/>
          <w:numId w:val="39"/>
        </w:numPr>
      </w:pPr>
      <w:r w:rsidRPr="008E3848">
        <w:t xml:space="preserve">For the purpose of </w:t>
      </w:r>
      <w:r w:rsidR="008B6E2D">
        <w:t>sub-</w:t>
      </w:r>
      <w:r w:rsidRPr="008E3848">
        <w:t xml:space="preserve">clause </w:t>
      </w:r>
      <w:r w:rsidR="00927F27">
        <w:t>9</w:t>
      </w:r>
      <w:r w:rsidR="008055A2">
        <w:t xml:space="preserve"> </w:t>
      </w:r>
      <w:r w:rsidRPr="008E3848">
        <w:t>t</w:t>
      </w:r>
      <w:r w:rsidR="004854CB" w:rsidRPr="004854CB">
        <w:rPr>
          <w:lang w:eastAsia="en-GB"/>
        </w:rPr>
        <w:t xml:space="preserve">he cost </w:t>
      </w:r>
      <w:r w:rsidR="008055A2">
        <w:rPr>
          <w:lang w:eastAsia="en-GB"/>
        </w:rPr>
        <w:t xml:space="preserve">of any </w:t>
      </w:r>
      <w:r w:rsidR="00DF0463" w:rsidRPr="00DF0463">
        <w:rPr>
          <w:b/>
          <w:lang w:eastAsia="en-GB"/>
        </w:rPr>
        <w:t>commissioned</w:t>
      </w:r>
      <w:r w:rsidR="00DF0463">
        <w:rPr>
          <w:lang w:eastAsia="en-GB"/>
        </w:rPr>
        <w:t xml:space="preserve"> </w:t>
      </w:r>
      <w:r w:rsidR="004854CB" w:rsidRPr="004854CB">
        <w:rPr>
          <w:lang w:eastAsia="en-GB"/>
        </w:rPr>
        <w:t xml:space="preserve">asset </w:t>
      </w:r>
      <w:r w:rsidR="00944B16">
        <w:rPr>
          <w:lang w:eastAsia="en-GB"/>
        </w:rPr>
        <w:t xml:space="preserve">acquired by </w:t>
      </w:r>
      <w:r w:rsidR="00944B16">
        <w:rPr>
          <w:b/>
          <w:lang w:eastAsia="en-GB"/>
        </w:rPr>
        <w:t xml:space="preserve">Transpower </w:t>
      </w:r>
      <w:r w:rsidR="000A2A0D">
        <w:rPr>
          <w:lang w:eastAsia="en-GB"/>
        </w:rPr>
        <w:t xml:space="preserve">from a </w:t>
      </w:r>
      <w:r w:rsidR="000A2A0D" w:rsidRPr="009D640B">
        <w:rPr>
          <w:b/>
          <w:lang w:eastAsia="en-GB"/>
        </w:rPr>
        <w:t>related party</w:t>
      </w:r>
      <w:r w:rsidR="000A2A0D">
        <w:rPr>
          <w:lang w:eastAsia="en-GB"/>
        </w:rPr>
        <w:t xml:space="preserve"> must be</w:t>
      </w:r>
      <w:r w:rsidR="008055A2">
        <w:rPr>
          <w:lang w:eastAsia="en-GB"/>
        </w:rPr>
        <w:t xml:space="preserve"> </w:t>
      </w:r>
      <w:r w:rsidR="008055A2">
        <w:t xml:space="preserve">as determined in accordance with </w:t>
      </w:r>
      <w:r w:rsidR="008B6E2D" w:rsidRPr="008B6E2D">
        <w:t>sub-</w:t>
      </w:r>
      <w:r w:rsidR="008055A2">
        <w:t xml:space="preserve">clause 2.2.7(1)(f)–(h) of the </w:t>
      </w:r>
      <w:r w:rsidR="008055A2">
        <w:rPr>
          <w:b/>
        </w:rPr>
        <w:t xml:space="preserve">Transpower </w:t>
      </w:r>
      <w:r w:rsidR="00FF0390">
        <w:rPr>
          <w:b/>
          <w:bCs/>
        </w:rPr>
        <w:t>IMs</w:t>
      </w:r>
      <w:r w:rsidR="008055A2">
        <w:rPr>
          <w:lang w:eastAsia="en-GB"/>
        </w:rPr>
        <w:t>.</w:t>
      </w:r>
    </w:p>
    <w:p w:rsidR="008055A2" w:rsidRPr="008E1FE7" w:rsidRDefault="008055A2" w:rsidP="00BC25C0">
      <w:pPr>
        <w:pStyle w:val="Para2"/>
        <w:numPr>
          <w:ilvl w:val="0"/>
          <w:numId w:val="39"/>
        </w:numPr>
        <w:ind w:hanging="720"/>
      </w:pPr>
      <w:r w:rsidRPr="008E3848">
        <w:t xml:space="preserve">For the purpose of </w:t>
      </w:r>
      <w:r w:rsidR="008B6E2D" w:rsidRPr="008B6E2D">
        <w:t>sub-</w:t>
      </w:r>
      <w:r w:rsidRPr="008E3848">
        <w:t xml:space="preserve">clause </w:t>
      </w:r>
      <w:r w:rsidR="00927F27">
        <w:t>9</w:t>
      </w:r>
      <w:r w:rsidR="001D7192">
        <w:t>.5.4</w:t>
      </w:r>
      <w:r>
        <w:t xml:space="preserve"> </w:t>
      </w:r>
      <w:r w:rsidRPr="008E3848">
        <w:t>t</w:t>
      </w:r>
      <w:r w:rsidRPr="004854CB">
        <w:rPr>
          <w:lang w:eastAsia="en-GB"/>
        </w:rPr>
        <w:t xml:space="preserve">he cost </w:t>
      </w:r>
      <w:r>
        <w:rPr>
          <w:lang w:eastAsia="en-GB"/>
        </w:rPr>
        <w:t xml:space="preserve">of any service or goods </w:t>
      </w:r>
      <w:r>
        <w:t xml:space="preserve">(other than a transaction relating to a </w:t>
      </w:r>
      <w:r>
        <w:rPr>
          <w:b/>
        </w:rPr>
        <w:t xml:space="preserve">commissioned </w:t>
      </w:r>
      <w:r>
        <w:t xml:space="preserve">asset) </w:t>
      </w:r>
      <w:r>
        <w:rPr>
          <w:lang w:eastAsia="en-GB"/>
        </w:rPr>
        <w:t xml:space="preserve">acquired by </w:t>
      </w:r>
      <w:r>
        <w:rPr>
          <w:b/>
          <w:lang w:eastAsia="en-GB"/>
        </w:rPr>
        <w:t xml:space="preserve">Transpower </w:t>
      </w:r>
      <w:r>
        <w:rPr>
          <w:lang w:eastAsia="en-GB"/>
        </w:rPr>
        <w:t xml:space="preserve">from a </w:t>
      </w:r>
      <w:r w:rsidRPr="009D640B">
        <w:rPr>
          <w:b/>
          <w:lang w:eastAsia="en-GB"/>
        </w:rPr>
        <w:t>related party</w:t>
      </w:r>
      <w:r>
        <w:rPr>
          <w:lang w:eastAsia="en-GB"/>
        </w:rPr>
        <w:t xml:space="preserve"> must be:</w:t>
      </w:r>
    </w:p>
    <w:p w:rsidR="004854CB" w:rsidRDefault="00A23D69" w:rsidP="008055A2">
      <w:pPr>
        <w:pStyle w:val="Para4"/>
        <w:numPr>
          <w:ilvl w:val="0"/>
          <w:numId w:val="0"/>
        </w:numPr>
        <w:ind w:left="1418" w:hanging="709"/>
      </w:pPr>
      <w:r>
        <w:t>1</w:t>
      </w:r>
      <w:r w:rsidR="00BC25C0">
        <w:t>8</w:t>
      </w:r>
      <w:r w:rsidR="008055A2">
        <w:t>.1</w:t>
      </w:r>
      <w:r w:rsidR="008055A2">
        <w:tab/>
      </w:r>
      <w:r w:rsidR="004854CB">
        <w:t xml:space="preserve">the directly attributable cost incurred by the </w:t>
      </w:r>
      <w:r w:rsidR="004854CB">
        <w:rPr>
          <w:b/>
          <w:bCs/>
        </w:rPr>
        <w:t>related party</w:t>
      </w:r>
      <w:r w:rsidR="004854CB">
        <w:t xml:space="preserve"> in accordance with the cost allocation process set out in clause 2.1.1 of the </w:t>
      </w:r>
      <w:r w:rsidR="00AB5EF9">
        <w:rPr>
          <w:b/>
        </w:rPr>
        <w:t xml:space="preserve">Transpower </w:t>
      </w:r>
      <w:r w:rsidR="00927F27">
        <w:rPr>
          <w:b/>
          <w:bCs/>
        </w:rPr>
        <w:t>IMs</w:t>
      </w:r>
      <w:r w:rsidR="004854CB">
        <w:t>, provided that</w:t>
      </w:r>
      <w:r w:rsidR="004854CB" w:rsidRPr="00601BDD">
        <w:t xml:space="preserve"> </w:t>
      </w:r>
      <w:r w:rsidR="004854CB">
        <w:t xml:space="preserve">the cost incurred by the </w:t>
      </w:r>
      <w:r w:rsidR="004854CB" w:rsidRPr="00601BDD">
        <w:rPr>
          <w:b/>
          <w:bCs/>
        </w:rPr>
        <w:t>related party</w:t>
      </w:r>
      <w:r w:rsidR="004854CB">
        <w:t xml:space="preserve"> in providing the service to </w:t>
      </w:r>
      <w:r w:rsidR="004854CB" w:rsidRPr="00BD408C">
        <w:rPr>
          <w:b/>
        </w:rPr>
        <w:t>Transpower</w:t>
      </w:r>
      <w:r w:rsidR="004D08B7">
        <w:rPr>
          <w:bCs/>
        </w:rPr>
        <w:t>:</w:t>
      </w:r>
    </w:p>
    <w:p w:rsidR="004854CB" w:rsidRDefault="00BC25C0" w:rsidP="004F4C82">
      <w:pPr>
        <w:pStyle w:val="Para5"/>
        <w:numPr>
          <w:ilvl w:val="0"/>
          <w:numId w:val="0"/>
        </w:numPr>
        <w:tabs>
          <w:tab w:val="left" w:pos="2977"/>
        </w:tabs>
        <w:ind w:left="2127" w:hanging="709"/>
      </w:pPr>
      <w:r>
        <w:t>18</w:t>
      </w:r>
      <w:r w:rsidR="004F4C82">
        <w:t>.1.1</w:t>
      </w:r>
      <w:r w:rsidR="004F4C82">
        <w:tab/>
      </w:r>
      <w:r w:rsidR="00AB5EF9">
        <w:t xml:space="preserve">is fair and reasonable to </w:t>
      </w:r>
      <w:r w:rsidR="004854CB">
        <w:rPr>
          <w:b/>
          <w:bCs/>
        </w:rPr>
        <w:t>Transpower</w:t>
      </w:r>
      <w:r w:rsidR="004D08B7">
        <w:t>;</w:t>
      </w:r>
      <w:r w:rsidR="004854CB">
        <w:t xml:space="preserve"> and</w:t>
      </w:r>
    </w:p>
    <w:p w:rsidR="004F4C82" w:rsidRDefault="00BC25C0" w:rsidP="00AB5EF9">
      <w:pPr>
        <w:pStyle w:val="Para5"/>
        <w:numPr>
          <w:ilvl w:val="0"/>
          <w:numId w:val="0"/>
        </w:numPr>
        <w:tabs>
          <w:tab w:val="left" w:pos="2977"/>
        </w:tabs>
        <w:ind w:left="2127" w:hanging="709"/>
      </w:pPr>
      <w:r>
        <w:t>18</w:t>
      </w:r>
      <w:r w:rsidR="004F4C82">
        <w:t>.1.2</w:t>
      </w:r>
      <w:r w:rsidR="004F4C82">
        <w:tab/>
      </w:r>
      <w:proofErr w:type="gramStart"/>
      <w:r w:rsidR="004F4C82">
        <w:t>is</w:t>
      </w:r>
      <w:proofErr w:type="gramEnd"/>
      <w:r w:rsidR="004F4C82">
        <w:t xml:space="preserve"> substantially the same as the cost incurred by the </w:t>
      </w:r>
      <w:r w:rsidR="004F4C82" w:rsidRPr="00601BDD">
        <w:rPr>
          <w:b/>
          <w:bCs/>
        </w:rPr>
        <w:t>related party</w:t>
      </w:r>
      <w:r w:rsidR="004F4C82">
        <w:t xml:space="preserve"> in providing the same type of services to third parties</w:t>
      </w:r>
      <w:r w:rsidR="00C72B48">
        <w:t>; or</w:t>
      </w:r>
    </w:p>
    <w:p w:rsidR="00713934" w:rsidRDefault="00713934" w:rsidP="00BC25C0">
      <w:pPr>
        <w:pStyle w:val="Para5"/>
        <w:numPr>
          <w:ilvl w:val="1"/>
          <w:numId w:val="40"/>
        </w:numPr>
      </w:pPr>
      <w:r>
        <w:t xml:space="preserve">the price paid by </w:t>
      </w:r>
      <w:r>
        <w:rPr>
          <w:b/>
        </w:rPr>
        <w:t xml:space="preserve">Transpower </w:t>
      </w:r>
      <w:r w:rsidR="00C72B48">
        <w:t>where:</w:t>
      </w:r>
    </w:p>
    <w:p w:rsidR="00713934" w:rsidRDefault="00713934" w:rsidP="00BC25C0">
      <w:pPr>
        <w:pStyle w:val="Para5"/>
        <w:numPr>
          <w:ilvl w:val="2"/>
          <w:numId w:val="40"/>
        </w:numPr>
      </w:pPr>
      <w:r>
        <w:t xml:space="preserve">the price paid for all services and goods acquired from that </w:t>
      </w:r>
      <w:r w:rsidRPr="00B060EB">
        <w:rPr>
          <w:b/>
        </w:rPr>
        <w:t>related party</w:t>
      </w:r>
      <w:r w:rsidRPr="006E476F">
        <w:t xml:space="preserve"> </w:t>
      </w:r>
      <w:r>
        <w:t xml:space="preserve">is less than 1% of </w:t>
      </w:r>
      <w:r>
        <w:rPr>
          <w:b/>
        </w:rPr>
        <w:t xml:space="preserve">Transpower’s </w:t>
      </w:r>
      <w:r>
        <w:t xml:space="preserve">total revenue from the </w:t>
      </w:r>
      <w:r>
        <w:rPr>
          <w:b/>
        </w:rPr>
        <w:t xml:space="preserve">electricity lines services </w:t>
      </w:r>
      <w:r>
        <w:t>for that year; and</w:t>
      </w:r>
    </w:p>
    <w:p w:rsidR="00E31952" w:rsidRDefault="00E31952" w:rsidP="00BC25C0">
      <w:pPr>
        <w:pStyle w:val="Para5"/>
        <w:numPr>
          <w:ilvl w:val="2"/>
          <w:numId w:val="40"/>
        </w:numPr>
      </w:pPr>
      <w:r>
        <w:t xml:space="preserve">the total price paid for all </w:t>
      </w:r>
      <w:r>
        <w:rPr>
          <w:b/>
        </w:rPr>
        <w:t xml:space="preserve">related party </w:t>
      </w:r>
      <w:r w:rsidRPr="0039721B">
        <w:t>transactions</w:t>
      </w:r>
      <w:r>
        <w:t xml:space="preserve"> is less than 5% of </w:t>
      </w:r>
      <w:r>
        <w:rPr>
          <w:b/>
        </w:rPr>
        <w:t xml:space="preserve">Transpower’s </w:t>
      </w:r>
      <w:r>
        <w:t xml:space="preserve">total revenue from </w:t>
      </w:r>
      <w:r>
        <w:rPr>
          <w:b/>
        </w:rPr>
        <w:t xml:space="preserve">electricity lines services </w:t>
      </w:r>
      <w:r>
        <w:t>for that year;</w:t>
      </w:r>
      <w:r w:rsidR="00C72B48">
        <w:t xml:space="preserve"> or</w:t>
      </w:r>
    </w:p>
    <w:p w:rsidR="006E476F" w:rsidRDefault="000A2A0D" w:rsidP="00BC25C0">
      <w:pPr>
        <w:pStyle w:val="Para5"/>
        <w:numPr>
          <w:ilvl w:val="1"/>
          <w:numId w:val="40"/>
        </w:numPr>
        <w:ind w:left="1418" w:hanging="709"/>
      </w:pPr>
      <w:r>
        <w:t xml:space="preserve">the price paid by </w:t>
      </w:r>
      <w:r w:rsidR="004854CB">
        <w:rPr>
          <w:b/>
        </w:rPr>
        <w:t>Transpower</w:t>
      </w:r>
      <w:r w:rsidR="004854CB" w:rsidRPr="002061CD">
        <w:rPr>
          <w:b/>
        </w:rPr>
        <w:t xml:space="preserve"> </w:t>
      </w:r>
      <w:r w:rsidR="004854CB">
        <w:t xml:space="preserve">to the </w:t>
      </w:r>
      <w:r w:rsidR="004854CB">
        <w:rPr>
          <w:b/>
        </w:rPr>
        <w:t>related party</w:t>
      </w:r>
      <w:r w:rsidR="004854CB">
        <w:t xml:space="preserve"> following a competitive tender process</w:t>
      </w:r>
      <w:bookmarkStart w:id="83" w:name="_Ref329290720"/>
      <w:bookmarkStart w:id="84" w:name="_Ref336599146"/>
      <w:bookmarkStart w:id="85" w:name="_Ref328909809"/>
      <w:r w:rsidR="00824C13">
        <w:t>, provided that-</w:t>
      </w:r>
    </w:p>
    <w:p w:rsidR="00824C13" w:rsidRDefault="00824C13" w:rsidP="00BC25C0">
      <w:pPr>
        <w:pStyle w:val="Para5"/>
        <w:numPr>
          <w:ilvl w:val="2"/>
          <w:numId w:val="40"/>
        </w:numPr>
      </w:pPr>
      <w:r>
        <w:t>the price is no more than 5% higher than the price of the lowest conforming tender received;</w:t>
      </w:r>
    </w:p>
    <w:p w:rsidR="00E31952" w:rsidRDefault="00E31952" w:rsidP="00BC25C0">
      <w:pPr>
        <w:pStyle w:val="Para5"/>
        <w:numPr>
          <w:ilvl w:val="2"/>
          <w:numId w:val="40"/>
        </w:numPr>
      </w:pPr>
      <w:r>
        <w:t>all relevant material to consideration of a proposal was provided to third parties, or made available upon request;</w:t>
      </w:r>
    </w:p>
    <w:p w:rsidR="00895360" w:rsidRDefault="00895360" w:rsidP="00BC25C0">
      <w:pPr>
        <w:pStyle w:val="Para5"/>
        <w:numPr>
          <w:ilvl w:val="2"/>
          <w:numId w:val="40"/>
        </w:numPr>
      </w:pPr>
      <w:r>
        <w:t xml:space="preserve">at least </w:t>
      </w:r>
      <w:r w:rsidR="0018797B">
        <w:t>one other qualifying proposal was received;</w:t>
      </w:r>
    </w:p>
    <w:p w:rsidR="00E31952" w:rsidRDefault="00E31952" w:rsidP="00BC25C0">
      <w:pPr>
        <w:pStyle w:val="Para5"/>
        <w:numPr>
          <w:ilvl w:val="2"/>
          <w:numId w:val="40"/>
        </w:numPr>
      </w:pPr>
      <w:r>
        <w:t xml:space="preserve">the final agreement for the provision of the services or goods by the </w:t>
      </w:r>
      <w:r>
        <w:rPr>
          <w:b/>
        </w:rPr>
        <w:t xml:space="preserve">related party </w:t>
      </w:r>
      <w:r>
        <w:t xml:space="preserve">does not include any </w:t>
      </w:r>
      <w:r w:rsidRPr="002F1A0A">
        <w:rPr>
          <w:b/>
        </w:rPr>
        <w:t>special contract terms</w:t>
      </w:r>
      <w:r>
        <w:t>; and</w:t>
      </w:r>
    </w:p>
    <w:p w:rsidR="002F1A0A" w:rsidRPr="002F1A0A" w:rsidRDefault="00E31952" w:rsidP="00BC25C0">
      <w:pPr>
        <w:pStyle w:val="Para5"/>
        <w:numPr>
          <w:ilvl w:val="2"/>
          <w:numId w:val="40"/>
        </w:numPr>
      </w:pPr>
      <w:r>
        <w:rPr>
          <w:b/>
        </w:rPr>
        <w:t xml:space="preserve">Transpower </w:t>
      </w:r>
      <w:r>
        <w:t xml:space="preserve">retains for a period of 7 years following the closing date of tender proposals a record of the tender and tender process, including the request for </w:t>
      </w:r>
      <w:r w:rsidRPr="00B00CC1">
        <w:t>information</w:t>
      </w:r>
      <w:r>
        <w:t xml:space="preserve"> and/or proposal, the criteria used for the assessment of proposals, reasons for acceptance or rejection of proposals, and all proposals and requests for </w:t>
      </w:r>
      <w:r w:rsidRPr="00B00CC1">
        <w:t>information</w:t>
      </w:r>
      <w:r>
        <w:t xml:space="preserve"> on the tender for the purpose of making proposals;</w:t>
      </w:r>
      <w:r w:rsidR="00365EA6">
        <w:t xml:space="preserve"> or</w:t>
      </w:r>
    </w:p>
    <w:p w:rsidR="002F1A0A" w:rsidRDefault="00BC25C0" w:rsidP="00E31952">
      <w:pPr>
        <w:pStyle w:val="Para5"/>
        <w:numPr>
          <w:ilvl w:val="0"/>
          <w:numId w:val="0"/>
        </w:numPr>
        <w:ind w:left="1418" w:hanging="709"/>
      </w:pPr>
      <w:r>
        <w:t>18</w:t>
      </w:r>
      <w:r w:rsidR="00A23D69">
        <w:t>.4</w:t>
      </w:r>
      <w:r w:rsidR="00E31952">
        <w:tab/>
      </w:r>
      <w:r w:rsidR="00060FB4">
        <w:t xml:space="preserve">if the price cannot otherwise be determined under sub-clauses 16.1–16.3, the price paid by </w:t>
      </w:r>
      <w:r w:rsidR="00060FB4">
        <w:rPr>
          <w:b/>
        </w:rPr>
        <w:t>Transpower</w:t>
      </w:r>
      <w:r w:rsidR="00060FB4">
        <w:t xml:space="preserve">, provided no fewer than 2 </w:t>
      </w:r>
      <w:r w:rsidR="00060FB4">
        <w:rPr>
          <w:b/>
        </w:rPr>
        <w:t xml:space="preserve">Transpower directors </w:t>
      </w:r>
      <w:r w:rsidR="00060FB4">
        <w:t xml:space="preserve">provide a written certification that they </w:t>
      </w:r>
      <w:r w:rsidR="002052CE">
        <w:t xml:space="preserve">are satisfied that the </w:t>
      </w:r>
      <w:r w:rsidR="00060FB4">
        <w:t>price</w:t>
      </w:r>
      <w:r w:rsidR="002052CE">
        <w:t>(</w:t>
      </w:r>
      <w:r w:rsidR="00060FB4">
        <w:t>s</w:t>
      </w:r>
      <w:r w:rsidR="002052CE">
        <w:t>)</w:t>
      </w:r>
      <w:r w:rsidR="00060FB4">
        <w:t xml:space="preserve"> paid for all </w:t>
      </w:r>
      <w:r w:rsidR="00B46123">
        <w:t xml:space="preserve">such </w:t>
      </w:r>
      <w:r w:rsidR="00060FB4">
        <w:t xml:space="preserve">services and, goods </w:t>
      </w:r>
      <w:r w:rsidR="00B46123">
        <w:t xml:space="preserve">acquired from </w:t>
      </w:r>
      <w:r w:rsidR="00B46123" w:rsidRPr="0030277B">
        <w:rPr>
          <w:b/>
        </w:rPr>
        <w:t>related parties</w:t>
      </w:r>
      <w:r w:rsidR="00B46123">
        <w:t xml:space="preserve"> </w:t>
      </w:r>
      <w:r w:rsidR="002052CE">
        <w:t>reflect the</w:t>
      </w:r>
      <w:r w:rsidR="00060FB4">
        <w:t xml:space="preserve"> price</w:t>
      </w:r>
      <w:r w:rsidR="002052CE">
        <w:t>(</w:t>
      </w:r>
      <w:r w:rsidR="00060FB4">
        <w:t>s</w:t>
      </w:r>
      <w:r w:rsidR="002052CE">
        <w:t>)</w:t>
      </w:r>
      <w:r w:rsidR="00060FB4">
        <w:t xml:space="preserve"> that would be paid in an arm’s-length transaction; or</w:t>
      </w:r>
    </w:p>
    <w:p w:rsidR="0039538C" w:rsidRPr="0039538C" w:rsidRDefault="00BC25C0" w:rsidP="00E31952">
      <w:pPr>
        <w:pStyle w:val="Para5"/>
        <w:numPr>
          <w:ilvl w:val="0"/>
          <w:numId w:val="0"/>
        </w:numPr>
        <w:ind w:left="1418" w:hanging="709"/>
      </w:pPr>
      <w:proofErr w:type="gramStart"/>
      <w:r>
        <w:t>18</w:t>
      </w:r>
      <w:r w:rsidR="00A23D69">
        <w:t>.5</w:t>
      </w:r>
      <w:r w:rsidR="00E31952">
        <w:tab/>
      </w:r>
      <w:r w:rsidR="0039538C">
        <w:t>nil.</w:t>
      </w:r>
      <w:proofErr w:type="gramEnd"/>
    </w:p>
    <w:p w:rsidR="00E40457" w:rsidRDefault="00E31952" w:rsidP="00BC25C0">
      <w:pPr>
        <w:pStyle w:val="Para2"/>
        <w:numPr>
          <w:ilvl w:val="0"/>
          <w:numId w:val="39"/>
        </w:numPr>
        <w:ind w:hanging="720"/>
      </w:pPr>
      <w:r>
        <w:t xml:space="preserve">For the purpose of </w:t>
      </w:r>
      <w:r w:rsidR="008B6E2D" w:rsidRPr="008B6E2D">
        <w:t>sub-</w:t>
      </w:r>
      <w:r>
        <w:t xml:space="preserve">clause </w:t>
      </w:r>
      <w:r w:rsidR="00927F27">
        <w:t>9</w:t>
      </w:r>
      <w:r w:rsidR="009061DD" w:rsidRPr="009061DD">
        <w:t xml:space="preserve"> </w:t>
      </w:r>
      <w:r w:rsidR="009061DD">
        <w:t>t</w:t>
      </w:r>
      <w:r w:rsidR="00E40457" w:rsidRPr="00E40457">
        <w:t xml:space="preserve">he price received </w:t>
      </w:r>
      <w:r w:rsidR="009061DD">
        <w:t xml:space="preserve">by </w:t>
      </w:r>
      <w:r w:rsidR="009061DD">
        <w:rPr>
          <w:b/>
        </w:rPr>
        <w:t xml:space="preserve">Transpower </w:t>
      </w:r>
      <w:r w:rsidR="00E40457" w:rsidRPr="00E40457">
        <w:t xml:space="preserve">for any sale or supply of services, goods, or assets to a </w:t>
      </w:r>
      <w:r w:rsidR="00E40457" w:rsidRPr="00E40457">
        <w:rPr>
          <w:b/>
          <w:bCs/>
        </w:rPr>
        <w:t>related party</w:t>
      </w:r>
      <w:r w:rsidR="00E40457" w:rsidRPr="00E40457">
        <w:t xml:space="preserve">, </w:t>
      </w:r>
      <w:r w:rsidR="008A1F89" w:rsidRPr="00E40457">
        <w:t>must be</w:t>
      </w:r>
      <w:r w:rsidR="006D0820">
        <w:t xml:space="preserve"> one of the following</w:t>
      </w:r>
      <w:r w:rsidR="000A2A0D">
        <w:t>:</w:t>
      </w:r>
    </w:p>
    <w:p w:rsidR="000A2A0D" w:rsidRPr="00DC24E6" w:rsidRDefault="00926F8C" w:rsidP="004F3F78">
      <w:pPr>
        <w:pStyle w:val="Para4"/>
        <w:numPr>
          <w:ilvl w:val="0"/>
          <w:numId w:val="0"/>
        </w:numPr>
        <w:ind w:left="1418" w:hanging="698"/>
      </w:pPr>
      <w:r>
        <w:t>1</w:t>
      </w:r>
      <w:r w:rsidR="00BC25C0">
        <w:t>9</w:t>
      </w:r>
      <w:r w:rsidR="000A2A0D">
        <w:t>.1</w:t>
      </w:r>
      <w:r w:rsidR="000A2A0D">
        <w:tab/>
      </w:r>
      <w:r w:rsidR="00750CC1">
        <w:t xml:space="preserve">if the </w:t>
      </w:r>
      <w:r w:rsidR="00750CC1">
        <w:rPr>
          <w:b/>
        </w:rPr>
        <w:t xml:space="preserve">related party </w:t>
      </w:r>
      <w:r w:rsidR="00750CC1">
        <w:t xml:space="preserve">is another </w:t>
      </w:r>
      <w:r w:rsidR="00750CC1" w:rsidRPr="00750CC1">
        <w:rPr>
          <w:b/>
        </w:rPr>
        <w:t>re</w:t>
      </w:r>
      <w:r w:rsidR="00750CC1">
        <w:rPr>
          <w:b/>
        </w:rPr>
        <w:t>gulated supplier</w:t>
      </w:r>
      <w:r w:rsidR="004F3F78">
        <w:rPr>
          <w:b/>
        </w:rPr>
        <w:t xml:space="preserve"> </w:t>
      </w:r>
      <w:r w:rsidR="004F3F78">
        <w:t xml:space="preserve">required to </w:t>
      </w:r>
      <w:r w:rsidR="004F3F78">
        <w:rPr>
          <w:b/>
        </w:rPr>
        <w:t xml:space="preserve">publicly disclose </w:t>
      </w:r>
      <w:r w:rsidR="004F3F78">
        <w:t xml:space="preserve">the price </w:t>
      </w:r>
      <w:r w:rsidR="00DC24E6">
        <w:t xml:space="preserve">paid or cost incurred in accordance with another </w:t>
      </w:r>
      <w:r w:rsidR="00DC24E6">
        <w:rPr>
          <w:b/>
        </w:rPr>
        <w:t xml:space="preserve">Commission </w:t>
      </w:r>
      <w:r w:rsidR="00DC24E6">
        <w:t xml:space="preserve">determination, then the price received must be that disclosed by the </w:t>
      </w:r>
      <w:r w:rsidR="00DC24E6">
        <w:rPr>
          <w:b/>
        </w:rPr>
        <w:t>related party</w:t>
      </w:r>
      <w:r w:rsidR="00365EA6">
        <w:t>; or</w:t>
      </w:r>
    </w:p>
    <w:p w:rsidR="00060FB4" w:rsidRDefault="00BC25C0" w:rsidP="00B46123">
      <w:pPr>
        <w:pStyle w:val="Para4"/>
        <w:numPr>
          <w:ilvl w:val="0"/>
          <w:numId w:val="0"/>
        </w:numPr>
        <w:ind w:left="1418" w:hanging="698"/>
      </w:pPr>
      <w:r>
        <w:t>19</w:t>
      </w:r>
      <w:r w:rsidR="00DC24E6" w:rsidRPr="00DC24E6">
        <w:t>.2</w:t>
      </w:r>
      <w:r w:rsidR="00DC24E6">
        <w:tab/>
        <w:t>if the price received cannot b</w:t>
      </w:r>
      <w:r w:rsidR="001A3EE6">
        <w:t>e determined under sub-cl</w:t>
      </w:r>
      <w:r w:rsidR="007A0AA6">
        <w:t>ause 17</w:t>
      </w:r>
      <w:r w:rsidR="00DC24E6">
        <w:t xml:space="preserve">.1, then </w:t>
      </w:r>
      <w:r w:rsidR="00B46123">
        <w:t xml:space="preserve">at the price received from the </w:t>
      </w:r>
      <w:r w:rsidR="00B46123">
        <w:rPr>
          <w:b/>
        </w:rPr>
        <w:t>related party</w:t>
      </w:r>
      <w:r w:rsidR="00B46123">
        <w:t xml:space="preserve">, provided that no fewer than 2 directors of </w:t>
      </w:r>
      <w:r w:rsidR="00B46123">
        <w:rPr>
          <w:b/>
        </w:rPr>
        <w:t xml:space="preserve">Transpower </w:t>
      </w:r>
      <w:r w:rsidR="00B46123">
        <w:t>provide a written certification that they are satisfied that the price</w:t>
      </w:r>
      <w:r w:rsidR="00B62D6F">
        <w:t>(</w:t>
      </w:r>
      <w:r w:rsidR="00B46123">
        <w:t>s</w:t>
      </w:r>
      <w:r w:rsidR="00B62D6F">
        <w:t>)</w:t>
      </w:r>
      <w:r w:rsidR="00B46123">
        <w:t xml:space="preserve"> received for all services, goods, or assets provided to </w:t>
      </w:r>
      <w:r w:rsidR="00B46123" w:rsidRPr="0030277B">
        <w:rPr>
          <w:b/>
        </w:rPr>
        <w:t>related parties</w:t>
      </w:r>
      <w:r w:rsidR="00B46123">
        <w:t xml:space="preserve"> reflect the price(s) that would be received in an arm’s length transaction; or</w:t>
      </w:r>
    </w:p>
    <w:p w:rsidR="00535B8C" w:rsidRPr="00535B8C" w:rsidRDefault="00BC25C0" w:rsidP="00060FB4">
      <w:pPr>
        <w:pStyle w:val="Para4"/>
        <w:numPr>
          <w:ilvl w:val="0"/>
          <w:numId w:val="0"/>
        </w:numPr>
        <w:ind w:left="1418" w:hanging="709"/>
      </w:pPr>
      <w:r>
        <w:t>19</w:t>
      </w:r>
      <w:r w:rsidR="00060FB4">
        <w:t>.3</w:t>
      </w:r>
      <w:r w:rsidR="00060FB4">
        <w:tab/>
      </w:r>
      <w:proofErr w:type="gramStart"/>
      <w:r w:rsidR="00060FB4">
        <w:t>at</w:t>
      </w:r>
      <w:proofErr w:type="gramEnd"/>
      <w:r w:rsidR="00060FB4">
        <w:t xml:space="preserve"> the cost incurred by </w:t>
      </w:r>
      <w:r w:rsidR="00060FB4">
        <w:rPr>
          <w:b/>
        </w:rPr>
        <w:t xml:space="preserve">Transpower </w:t>
      </w:r>
      <w:r w:rsidR="00060FB4">
        <w:t>in providing the service, good, or asset.</w:t>
      </w:r>
      <w:r w:rsidR="00535B8C">
        <w:t xml:space="preserve"> </w:t>
      </w:r>
    </w:p>
    <w:p w:rsidR="004854CB" w:rsidRPr="004854CB" w:rsidRDefault="004854CB" w:rsidP="004854CB">
      <w:pPr>
        <w:pStyle w:val="Heading0Chapter"/>
        <w:numPr>
          <w:ilvl w:val="0"/>
          <w:numId w:val="0"/>
        </w:numPr>
        <w:rPr>
          <w:rFonts w:ascii="Calibri" w:hAnsi="Calibri"/>
        </w:rPr>
      </w:pPr>
      <w:bookmarkStart w:id="86" w:name="_Toc379540118"/>
      <w:bookmarkEnd w:id="83"/>
      <w:bookmarkEnd w:id="84"/>
      <w:r w:rsidRPr="004854CB">
        <w:rPr>
          <w:rFonts w:ascii="Calibri" w:hAnsi="Calibri"/>
        </w:rPr>
        <w:t>Retention and Continuing Disclosures</w:t>
      </w:r>
      <w:bookmarkEnd w:id="86"/>
    </w:p>
    <w:p w:rsidR="00E65286" w:rsidRPr="00DC3B4F" w:rsidRDefault="004854CB" w:rsidP="00BC25C0">
      <w:pPr>
        <w:pStyle w:val="Para1"/>
        <w:numPr>
          <w:ilvl w:val="0"/>
          <w:numId w:val="39"/>
        </w:numPr>
      </w:pPr>
      <w:r w:rsidRPr="004854CB">
        <w:rPr>
          <w:b/>
        </w:rPr>
        <w:t>Transpower</w:t>
      </w:r>
      <w:r w:rsidRPr="004854CB">
        <w:t xml:space="preserve"> must retain and continuously </w:t>
      </w:r>
      <w:r w:rsidRPr="004854CB">
        <w:rPr>
          <w:b/>
        </w:rPr>
        <w:t>publicly disclose</w:t>
      </w:r>
      <w:r w:rsidRPr="004854CB">
        <w:t xml:space="preserve"> the </w:t>
      </w:r>
      <w:r w:rsidRPr="0064355F">
        <w:rPr>
          <w:b/>
        </w:rPr>
        <w:t>information</w:t>
      </w:r>
      <w:r w:rsidRPr="004854CB">
        <w:t xml:space="preserve"> required to be published by this determination for at least 7 years from the date the</w:t>
      </w:r>
      <w:r w:rsidR="00485F16">
        <w:t xml:space="preserve"> </w:t>
      </w:r>
      <w:r w:rsidR="00485F16" w:rsidRPr="001A3EE6">
        <w:rPr>
          <w:b/>
        </w:rPr>
        <w:t>information</w:t>
      </w:r>
      <w:r w:rsidR="00485F16">
        <w:t xml:space="preserve"> is first required to be </w:t>
      </w:r>
      <w:r w:rsidR="00485F16" w:rsidRPr="00485F16">
        <w:rPr>
          <w:b/>
        </w:rPr>
        <w:t>publicly disclosed</w:t>
      </w:r>
      <w:bookmarkEnd w:id="85"/>
      <w:r w:rsidR="006A3016">
        <w:rPr>
          <w:b/>
        </w:rPr>
        <w:t>.</w:t>
      </w:r>
    </w:p>
    <w:p w:rsidR="001374D5" w:rsidRPr="008E3848" w:rsidRDefault="001374D5" w:rsidP="00927F27">
      <w:pPr>
        <w:pStyle w:val="Heading0Chapter"/>
        <w:numPr>
          <w:ilvl w:val="0"/>
          <w:numId w:val="0"/>
        </w:numPr>
        <w:rPr>
          <w:b w:val="0"/>
        </w:rPr>
      </w:pPr>
      <w:bookmarkStart w:id="87" w:name="_Toc379540119"/>
      <w:r w:rsidRPr="00927F27">
        <w:rPr>
          <w:rFonts w:ascii="Calibri" w:hAnsi="Calibri"/>
        </w:rPr>
        <w:t>Exemptions</w:t>
      </w:r>
      <w:bookmarkEnd w:id="87"/>
    </w:p>
    <w:p w:rsidR="001374D5" w:rsidRPr="008E3848" w:rsidRDefault="001374D5" w:rsidP="00BC25C0">
      <w:pPr>
        <w:pStyle w:val="Para1"/>
        <w:numPr>
          <w:ilvl w:val="0"/>
          <w:numId w:val="39"/>
        </w:numPr>
        <w:ind w:hanging="720"/>
      </w:pPr>
      <w:r w:rsidRPr="008E3848">
        <w:t xml:space="preserve">The Commission may at any time, by way of written notice to </w:t>
      </w:r>
      <w:r w:rsidRPr="008E3848">
        <w:rPr>
          <w:b/>
        </w:rPr>
        <w:t>Transpower</w:t>
      </w:r>
      <w:r w:rsidRPr="008E3848">
        <w:t>:</w:t>
      </w:r>
    </w:p>
    <w:p w:rsidR="001374D5" w:rsidRDefault="001374D5" w:rsidP="00BC25C0">
      <w:pPr>
        <w:pStyle w:val="Para2"/>
        <w:numPr>
          <w:ilvl w:val="1"/>
          <w:numId w:val="39"/>
        </w:numPr>
      </w:pPr>
      <w:r w:rsidRPr="008177A0">
        <w:t xml:space="preserve">Exempt </w:t>
      </w:r>
      <w:r w:rsidR="00AB29B5" w:rsidRPr="00F55E99">
        <w:rPr>
          <w:b/>
        </w:rPr>
        <w:t xml:space="preserve">Transpower </w:t>
      </w:r>
      <w:r w:rsidRPr="008177A0">
        <w:t xml:space="preserve">from any or all of the </w:t>
      </w:r>
      <w:r w:rsidR="00A26FBD" w:rsidRPr="008177A0">
        <w:t>requirements</w:t>
      </w:r>
      <w:r w:rsidRPr="008177A0">
        <w:t xml:space="preserve"> of this determination, for a period and on such terms and conditions as the </w:t>
      </w:r>
      <w:r w:rsidRPr="00F55E99">
        <w:rPr>
          <w:b/>
        </w:rPr>
        <w:t xml:space="preserve">Commission </w:t>
      </w:r>
      <w:r w:rsidRPr="008177A0">
        <w:t>specifies</w:t>
      </w:r>
      <w:r w:rsidR="00A26FBD" w:rsidRPr="008177A0">
        <w:t xml:space="preserve"> in the notice; and</w:t>
      </w:r>
    </w:p>
    <w:p w:rsidR="00A26FBD" w:rsidRPr="008177A0" w:rsidRDefault="00A26FBD" w:rsidP="00BC25C0">
      <w:pPr>
        <w:pStyle w:val="Para2"/>
        <w:numPr>
          <w:ilvl w:val="1"/>
          <w:numId w:val="39"/>
        </w:numPr>
      </w:pPr>
      <w:r w:rsidRPr="008177A0">
        <w:t>Ame</w:t>
      </w:r>
      <w:r w:rsidR="00936CF0" w:rsidRPr="008177A0">
        <w:t>nd or revoke any such exemption.</w:t>
      </w:r>
    </w:p>
    <w:p w:rsidR="00F92CBC" w:rsidRPr="008E3848" w:rsidRDefault="00F92CBC" w:rsidP="00936CF0">
      <w:pPr>
        <w:pStyle w:val="Heading0Chapter"/>
        <w:numPr>
          <w:ilvl w:val="0"/>
          <w:numId w:val="0"/>
        </w:numPr>
        <w:ind w:left="720" w:hanging="720"/>
        <w:rPr>
          <w:rFonts w:ascii="Calibri" w:hAnsi="Calibri"/>
        </w:rPr>
      </w:pPr>
      <w:bookmarkStart w:id="88" w:name="_Toc379540120"/>
      <w:bookmarkEnd w:id="0"/>
      <w:bookmarkEnd w:id="1"/>
      <w:bookmarkEnd w:id="2"/>
      <w:bookmarkEnd w:id="3"/>
      <w:bookmarkEnd w:id="4"/>
      <w:bookmarkEnd w:id="5"/>
      <w:bookmarkEnd w:id="6"/>
      <w:r w:rsidRPr="008E3848">
        <w:rPr>
          <w:rFonts w:ascii="Calibri" w:hAnsi="Calibri"/>
        </w:rPr>
        <w:t>Form of Disclosure</w:t>
      </w:r>
      <w:bookmarkEnd w:id="88"/>
      <w:r w:rsidR="00936CF0" w:rsidRPr="008E3848">
        <w:rPr>
          <w:rFonts w:ascii="Calibri" w:hAnsi="Calibri"/>
        </w:rPr>
        <w:t xml:space="preserve"> </w:t>
      </w:r>
    </w:p>
    <w:p w:rsidR="00F92CBC" w:rsidRPr="008E3848" w:rsidRDefault="00F92CBC" w:rsidP="00BC25C0">
      <w:pPr>
        <w:pStyle w:val="Para1"/>
        <w:numPr>
          <w:ilvl w:val="0"/>
          <w:numId w:val="39"/>
        </w:numPr>
        <w:ind w:hanging="720"/>
      </w:pPr>
      <w:r w:rsidRPr="008E3848">
        <w:t xml:space="preserve">All financial and numerical </w:t>
      </w:r>
      <w:r w:rsidRPr="0064355F">
        <w:rPr>
          <w:b/>
        </w:rPr>
        <w:t>information</w:t>
      </w:r>
      <w:r w:rsidRPr="008E3848">
        <w:t xml:space="preserve"> </w:t>
      </w:r>
      <w:r w:rsidR="006076EB">
        <w:t xml:space="preserve">required to be </w:t>
      </w:r>
      <w:r w:rsidR="005F5BAC" w:rsidRPr="005F5BAC">
        <w:rPr>
          <w:b/>
        </w:rPr>
        <w:t xml:space="preserve">publicly </w:t>
      </w:r>
      <w:r w:rsidR="006076EB" w:rsidRPr="005F5BAC">
        <w:rPr>
          <w:b/>
        </w:rPr>
        <w:t>disclosed</w:t>
      </w:r>
      <w:r w:rsidR="006076EB">
        <w:t xml:space="preserve"> </w:t>
      </w:r>
      <w:r w:rsidRPr="008E3848">
        <w:t xml:space="preserve">must be </w:t>
      </w:r>
      <w:r w:rsidR="00A5096D">
        <w:t>publicly available</w:t>
      </w:r>
      <w:r w:rsidRPr="008E3848">
        <w:t xml:space="preserve"> in an electronic Microsoft Excel file</w:t>
      </w:r>
      <w:r w:rsidR="005F5BAC">
        <w:t xml:space="preserve"> or similar format</w:t>
      </w:r>
      <w:r w:rsidRPr="008E3848">
        <w:t xml:space="preserve"> capable of a ‘copy and paste’ function being applied to it.</w:t>
      </w:r>
    </w:p>
    <w:p w:rsidR="00F92CBC" w:rsidRPr="008E3848" w:rsidRDefault="00F92CBC" w:rsidP="00BC25C0">
      <w:pPr>
        <w:pStyle w:val="Para1"/>
        <w:numPr>
          <w:ilvl w:val="0"/>
          <w:numId w:val="39"/>
        </w:numPr>
        <w:ind w:hanging="720"/>
      </w:pPr>
      <w:r w:rsidRPr="008E3848">
        <w:t xml:space="preserve">All other </w:t>
      </w:r>
      <w:r w:rsidRPr="0064355F">
        <w:rPr>
          <w:b/>
        </w:rPr>
        <w:t>information</w:t>
      </w:r>
      <w:r w:rsidRPr="008E3848">
        <w:t xml:space="preserve"> must be </w:t>
      </w:r>
      <w:r w:rsidR="00A5096D">
        <w:t>made publicly available</w:t>
      </w:r>
      <w:r w:rsidR="00936CF0" w:rsidRPr="008177A0">
        <w:t xml:space="preserve"> </w:t>
      </w:r>
      <w:r w:rsidRPr="008E3848">
        <w:t>in an electronic Microsoft Word, Microsoft Excel or Adobe PDF file capable of a ‘copy and paste’ function being applied to it.</w:t>
      </w:r>
    </w:p>
    <w:p w:rsidR="00F92CBC" w:rsidRPr="008E3848" w:rsidRDefault="00F92CBC" w:rsidP="00BC25C0">
      <w:pPr>
        <w:pStyle w:val="Para1"/>
        <w:numPr>
          <w:ilvl w:val="0"/>
          <w:numId w:val="39"/>
        </w:numPr>
        <w:ind w:hanging="720"/>
      </w:pPr>
      <w:r w:rsidRPr="008E3848">
        <w:t xml:space="preserve">Where data is provided in or derived from a spreadsheet, and has been computed or derived from other values in the spreadsheet through the use of formulae, all   underlying formulae must be </w:t>
      </w:r>
      <w:r w:rsidR="00A5096D">
        <w:t>made publicly available</w:t>
      </w:r>
      <w:r w:rsidRPr="008E3848">
        <w:t>.</w:t>
      </w:r>
    </w:p>
    <w:p w:rsidR="00700D1A" w:rsidRPr="005F5BAC" w:rsidRDefault="005F5BAC" w:rsidP="00BC25C0">
      <w:pPr>
        <w:pStyle w:val="Para1"/>
        <w:numPr>
          <w:ilvl w:val="0"/>
          <w:numId w:val="39"/>
        </w:numPr>
        <w:ind w:hanging="720"/>
      </w:pPr>
      <w:r>
        <w:t xml:space="preserve">The </w:t>
      </w:r>
      <w:r w:rsidR="00700D1A" w:rsidRPr="005F5BAC">
        <w:t>content and/or format of disclosure</w:t>
      </w:r>
      <w:r>
        <w:t>s</w:t>
      </w:r>
      <w:r w:rsidR="00700D1A" w:rsidRPr="005F5BAC">
        <w:t xml:space="preserve"> </w:t>
      </w:r>
      <w:r>
        <w:t>may</w:t>
      </w:r>
      <w:r w:rsidR="00700D1A" w:rsidRPr="005F5BAC">
        <w:t xml:space="preserve"> be changed</w:t>
      </w:r>
      <w:r>
        <w:t xml:space="preserve"> by </w:t>
      </w:r>
      <w:r w:rsidRPr="005F5BAC">
        <w:rPr>
          <w:b/>
        </w:rPr>
        <w:t>Transpower</w:t>
      </w:r>
      <w:r w:rsidR="00700D1A" w:rsidRPr="005F5BAC">
        <w:t xml:space="preserve"> in consultation with the </w:t>
      </w:r>
      <w:r w:rsidR="00700D1A" w:rsidRPr="005F5BAC">
        <w:rPr>
          <w:b/>
        </w:rPr>
        <w:t>Commission</w:t>
      </w:r>
      <w:r>
        <w:rPr>
          <w:b/>
        </w:rPr>
        <w:t>.</w:t>
      </w:r>
    </w:p>
    <w:p w:rsidR="00A5096D" w:rsidRPr="00432240" w:rsidRDefault="00432240" w:rsidP="00BC25C0">
      <w:pPr>
        <w:pStyle w:val="Para1"/>
        <w:numPr>
          <w:ilvl w:val="0"/>
          <w:numId w:val="39"/>
        </w:numPr>
        <w:ind w:hanging="720"/>
      </w:pPr>
      <w:r w:rsidRPr="00432240">
        <w:t xml:space="preserve">The </w:t>
      </w:r>
      <w:r w:rsidR="00A5096D" w:rsidRPr="00432240">
        <w:t>schedules detail the minimum information requirement</w:t>
      </w:r>
      <w:r>
        <w:t>s</w:t>
      </w:r>
      <w:r w:rsidR="00A5096D" w:rsidRPr="00432240">
        <w:t xml:space="preserve">. The format of the disclosures </w:t>
      </w:r>
      <w:r>
        <w:t>can</w:t>
      </w:r>
      <w:r w:rsidR="00A5096D" w:rsidRPr="00432240">
        <w:t xml:space="preserve"> be changed as long as the </w:t>
      </w:r>
      <w:r>
        <w:t>information requirement is met.</w:t>
      </w:r>
    </w:p>
    <w:p w:rsidR="00DD144B" w:rsidRDefault="00DD144B" w:rsidP="00BC25C0">
      <w:pPr>
        <w:pStyle w:val="Para1"/>
        <w:numPr>
          <w:ilvl w:val="0"/>
          <w:numId w:val="39"/>
        </w:numPr>
        <w:ind w:hanging="720"/>
      </w:pPr>
      <w:r w:rsidRPr="008177A0">
        <w:rPr>
          <w:b/>
        </w:rPr>
        <w:t>Transpower</w:t>
      </w:r>
      <w:r w:rsidRPr="008177A0">
        <w:t xml:space="preserve"> may </w:t>
      </w:r>
      <w:r w:rsidRPr="008177A0">
        <w:rPr>
          <w:b/>
        </w:rPr>
        <w:t>publicly disclose</w:t>
      </w:r>
      <w:r w:rsidRPr="008177A0">
        <w:t xml:space="preserve"> additional comments pertaining to </w:t>
      </w:r>
      <w:r w:rsidRPr="0064355F">
        <w:rPr>
          <w:b/>
        </w:rPr>
        <w:t>information</w:t>
      </w:r>
      <w:r w:rsidRPr="008177A0">
        <w:t xml:space="preserve"> disclosed in accordance with this determination.</w:t>
      </w:r>
    </w:p>
    <w:p w:rsidR="00113BB7" w:rsidRDefault="00113BB7" w:rsidP="00113BB7">
      <w:pPr>
        <w:pStyle w:val="Para1"/>
        <w:numPr>
          <w:ilvl w:val="0"/>
          <w:numId w:val="0"/>
        </w:numPr>
        <w:ind w:left="709" w:hanging="709"/>
      </w:pPr>
    </w:p>
    <w:p w:rsidR="00113BB7" w:rsidRDefault="00113BB7" w:rsidP="00113BB7">
      <w:pPr>
        <w:pStyle w:val="Para1"/>
        <w:numPr>
          <w:ilvl w:val="0"/>
          <w:numId w:val="0"/>
        </w:numPr>
        <w:ind w:left="709" w:hanging="709"/>
      </w:pPr>
    </w:p>
    <w:p w:rsidR="00113BB7" w:rsidRDefault="00113BB7" w:rsidP="00113BB7">
      <w:pPr>
        <w:pStyle w:val="Para1"/>
        <w:numPr>
          <w:ilvl w:val="0"/>
          <w:numId w:val="0"/>
        </w:numPr>
        <w:ind w:left="709" w:hanging="709"/>
      </w:pPr>
    </w:p>
    <w:p w:rsidR="00113BB7" w:rsidRDefault="00113BB7" w:rsidP="00113BB7">
      <w:pPr>
        <w:pStyle w:val="Para1"/>
        <w:numPr>
          <w:ilvl w:val="0"/>
          <w:numId w:val="0"/>
        </w:numPr>
        <w:ind w:left="709" w:hanging="709"/>
      </w:pPr>
    </w:p>
    <w:p w:rsidR="00113BB7" w:rsidRDefault="00113BB7" w:rsidP="00113BB7">
      <w:pPr>
        <w:pStyle w:val="Para1"/>
        <w:numPr>
          <w:ilvl w:val="0"/>
          <w:numId w:val="0"/>
        </w:numPr>
        <w:ind w:left="709" w:hanging="709"/>
      </w:pPr>
    </w:p>
    <w:p w:rsidR="00113BB7" w:rsidRDefault="00113BB7" w:rsidP="00113BB7">
      <w:pPr>
        <w:pStyle w:val="Para1"/>
        <w:numPr>
          <w:ilvl w:val="0"/>
          <w:numId w:val="0"/>
        </w:numPr>
        <w:ind w:left="709" w:hanging="709"/>
      </w:pPr>
    </w:p>
    <w:p w:rsidR="00DC3B4F" w:rsidRDefault="00DC3B4F" w:rsidP="00037CBF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:rsidR="00DC3B4F" w:rsidRDefault="00DC3B4F" w:rsidP="00037CBF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:rsidR="00DC3B4F" w:rsidRDefault="00DC3B4F" w:rsidP="00037CBF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:rsidR="00DC3B4F" w:rsidRDefault="00DC3B4F" w:rsidP="00037CBF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:rsidR="00DC3B4F" w:rsidRDefault="00DC3B4F" w:rsidP="00037CBF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:rsidR="00DC3B4F" w:rsidRDefault="00DC3B4F" w:rsidP="00037CBF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:rsidR="00F75A94" w:rsidRDefault="00F75A94" w:rsidP="00037CBF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:rsidR="00F75A94" w:rsidRDefault="00F75A94" w:rsidP="00037CBF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:rsidR="00F75A94" w:rsidRDefault="00F75A94" w:rsidP="00037CBF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:rsidR="00F75A94" w:rsidRDefault="00F75A94" w:rsidP="00037CBF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:rsidR="00F75A94" w:rsidRDefault="00F75A94" w:rsidP="00037CBF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:rsidR="00DC3B4F" w:rsidRDefault="00DC3B4F" w:rsidP="00037CBF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:rsidR="00DC3B4F" w:rsidRDefault="00DC3B4F" w:rsidP="00037CBF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:rsidR="00037CBF" w:rsidRDefault="006670FE" w:rsidP="00037CBF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br w:type="page"/>
      </w:r>
      <w:r w:rsidR="00037CBF">
        <w:rPr>
          <w:rFonts w:cs="Calibri"/>
          <w:b/>
          <w:bCs/>
          <w:color w:val="000000"/>
          <w:sz w:val="28"/>
          <w:szCs w:val="28"/>
        </w:rPr>
        <w:t xml:space="preserve">Schedules </w:t>
      </w:r>
      <w:r>
        <w:rPr>
          <w:rFonts w:cs="Calibri"/>
          <w:b/>
          <w:bCs/>
          <w:color w:val="000000"/>
          <w:sz w:val="28"/>
          <w:szCs w:val="28"/>
        </w:rPr>
        <w:t>F1-S01</w:t>
      </w:r>
    </w:p>
    <w:p w:rsidR="00037CBF" w:rsidRDefault="00037CBF" w:rsidP="00037CBF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:rsidR="00037CBF" w:rsidRPr="00037CBF" w:rsidRDefault="00037CBF" w:rsidP="00037CBF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[See excel workbook of schedules at </w:t>
      </w:r>
      <w:hyperlink r:id="rId14" w:history="1">
        <w:r w:rsidRPr="00DA25BC">
          <w:rPr>
            <w:rStyle w:val="Hyperlink"/>
            <w:rFonts w:cs="Calibri"/>
          </w:rPr>
          <w:t>http://www.comcom.govt.nz/regulated-industries/electricity/electricity-transmission/transpower-information-disclosure/</w:t>
        </w:r>
      </w:hyperlink>
      <w:r>
        <w:rPr>
          <w:rFonts w:cs="Calibri"/>
          <w:color w:val="000000"/>
        </w:rPr>
        <w:t xml:space="preserve"> ]</w:t>
      </w:r>
    </w:p>
    <w:p w:rsidR="00113BB7" w:rsidRDefault="00113BB7" w:rsidP="00113BB7">
      <w:pPr>
        <w:pStyle w:val="Para1"/>
        <w:numPr>
          <w:ilvl w:val="0"/>
          <w:numId w:val="0"/>
        </w:numPr>
        <w:ind w:left="709" w:hanging="709"/>
      </w:pPr>
    </w:p>
    <w:p w:rsidR="00113BB7" w:rsidRDefault="00113BB7" w:rsidP="00113BB7">
      <w:pPr>
        <w:pStyle w:val="Para1"/>
        <w:numPr>
          <w:ilvl w:val="0"/>
          <w:numId w:val="0"/>
        </w:numPr>
        <w:ind w:left="709" w:hanging="709"/>
      </w:pPr>
    </w:p>
    <w:p w:rsidR="00113BB7" w:rsidRDefault="00113BB7" w:rsidP="00113BB7">
      <w:pPr>
        <w:pStyle w:val="Para1"/>
        <w:numPr>
          <w:ilvl w:val="0"/>
          <w:numId w:val="0"/>
        </w:numPr>
        <w:ind w:left="709" w:hanging="709"/>
      </w:pPr>
    </w:p>
    <w:p w:rsidR="00113BB7" w:rsidRDefault="00113BB7" w:rsidP="00113BB7">
      <w:pPr>
        <w:pStyle w:val="Para1"/>
        <w:numPr>
          <w:ilvl w:val="0"/>
          <w:numId w:val="0"/>
        </w:numPr>
        <w:ind w:left="709" w:hanging="709"/>
      </w:pPr>
    </w:p>
    <w:p w:rsidR="00113BB7" w:rsidRDefault="00113BB7" w:rsidP="00113BB7">
      <w:pPr>
        <w:pStyle w:val="Para1"/>
        <w:numPr>
          <w:ilvl w:val="0"/>
          <w:numId w:val="0"/>
        </w:numPr>
        <w:ind w:left="709" w:hanging="709"/>
      </w:pPr>
    </w:p>
    <w:p w:rsidR="00113BB7" w:rsidRDefault="00113BB7" w:rsidP="00113BB7">
      <w:pPr>
        <w:pStyle w:val="Para1"/>
        <w:numPr>
          <w:ilvl w:val="0"/>
          <w:numId w:val="0"/>
        </w:numPr>
        <w:ind w:left="709" w:hanging="709"/>
      </w:pPr>
    </w:p>
    <w:p w:rsidR="00113BB7" w:rsidRDefault="00113BB7" w:rsidP="00113BB7">
      <w:pPr>
        <w:pStyle w:val="Para1"/>
        <w:numPr>
          <w:ilvl w:val="0"/>
          <w:numId w:val="0"/>
        </w:numPr>
        <w:ind w:left="709" w:hanging="709"/>
      </w:pPr>
    </w:p>
    <w:p w:rsidR="00113BB7" w:rsidRDefault="00113BB7" w:rsidP="00113BB7">
      <w:pPr>
        <w:pStyle w:val="Para1"/>
        <w:numPr>
          <w:ilvl w:val="0"/>
          <w:numId w:val="0"/>
        </w:numPr>
        <w:ind w:left="709" w:hanging="709"/>
      </w:pPr>
    </w:p>
    <w:p w:rsidR="00113BB7" w:rsidRDefault="00113BB7" w:rsidP="00113BB7">
      <w:pPr>
        <w:pStyle w:val="Para1"/>
        <w:numPr>
          <w:ilvl w:val="0"/>
          <w:numId w:val="0"/>
        </w:numPr>
        <w:ind w:left="709" w:hanging="709"/>
      </w:pPr>
    </w:p>
    <w:p w:rsidR="00113BB7" w:rsidRDefault="00113BB7" w:rsidP="00113BB7">
      <w:pPr>
        <w:pStyle w:val="Para1"/>
        <w:numPr>
          <w:ilvl w:val="0"/>
          <w:numId w:val="0"/>
        </w:numPr>
        <w:ind w:left="709" w:hanging="709"/>
      </w:pPr>
    </w:p>
    <w:p w:rsidR="00113BB7" w:rsidRDefault="00113BB7" w:rsidP="00113BB7">
      <w:pPr>
        <w:pStyle w:val="Para1"/>
        <w:numPr>
          <w:ilvl w:val="0"/>
          <w:numId w:val="0"/>
        </w:numPr>
        <w:ind w:left="709" w:hanging="709"/>
      </w:pPr>
    </w:p>
    <w:p w:rsidR="00113BB7" w:rsidRDefault="00113BB7" w:rsidP="00113BB7">
      <w:pPr>
        <w:pStyle w:val="Para1"/>
        <w:numPr>
          <w:ilvl w:val="0"/>
          <w:numId w:val="0"/>
        </w:numPr>
        <w:ind w:left="709" w:hanging="709"/>
      </w:pPr>
    </w:p>
    <w:p w:rsidR="00113BB7" w:rsidRDefault="00113BB7" w:rsidP="00113BB7">
      <w:pPr>
        <w:pStyle w:val="Para1"/>
        <w:numPr>
          <w:ilvl w:val="0"/>
          <w:numId w:val="0"/>
        </w:numPr>
        <w:ind w:left="709" w:hanging="709"/>
      </w:pPr>
    </w:p>
    <w:p w:rsidR="00113BB7" w:rsidRDefault="00113BB7" w:rsidP="00113BB7">
      <w:pPr>
        <w:pStyle w:val="Para1"/>
        <w:numPr>
          <w:ilvl w:val="0"/>
          <w:numId w:val="0"/>
        </w:numPr>
        <w:ind w:left="709" w:hanging="709"/>
      </w:pPr>
    </w:p>
    <w:p w:rsidR="0030277B" w:rsidRDefault="0030277B" w:rsidP="0030277B">
      <w:pPr>
        <w:autoSpaceDE w:val="0"/>
        <w:autoSpaceDN w:val="0"/>
        <w:adjustRightInd w:val="0"/>
        <w:rPr>
          <w:lang w:eastAsia="en-US"/>
        </w:rPr>
      </w:pPr>
    </w:p>
    <w:p w:rsidR="0030277B" w:rsidRDefault="0030277B" w:rsidP="0030277B">
      <w:pPr>
        <w:autoSpaceDE w:val="0"/>
        <w:autoSpaceDN w:val="0"/>
        <w:adjustRightInd w:val="0"/>
        <w:rPr>
          <w:lang w:eastAsia="en-US"/>
        </w:rPr>
      </w:pPr>
    </w:p>
    <w:p w:rsidR="00E31952" w:rsidRDefault="00E31952" w:rsidP="0030277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:rsidR="00E31952" w:rsidRDefault="00E31952" w:rsidP="0030277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:rsidR="001A3EE6" w:rsidRDefault="001A3EE6" w:rsidP="0030277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:rsidR="001A3EE6" w:rsidRDefault="001A3EE6" w:rsidP="0030277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:rsidR="00113BB7" w:rsidRPr="0030277B" w:rsidRDefault="00113BB7" w:rsidP="00003080">
      <w:pPr>
        <w:autoSpaceDE w:val="0"/>
        <w:autoSpaceDN w:val="0"/>
        <w:adjustRightInd w:val="0"/>
      </w:pPr>
    </w:p>
    <w:p w:rsidR="00DD144B" w:rsidRPr="008E3848" w:rsidRDefault="00DD144B" w:rsidP="00DD144B">
      <w:pPr>
        <w:pStyle w:val="Para1"/>
        <w:numPr>
          <w:ilvl w:val="0"/>
          <w:numId w:val="0"/>
        </w:numPr>
      </w:pPr>
    </w:p>
    <w:p w:rsidR="00097E65" w:rsidRPr="008E3848" w:rsidRDefault="00097E65" w:rsidP="00C6275A">
      <w:pPr>
        <w:pStyle w:val="BodyText"/>
      </w:pPr>
    </w:p>
    <w:p w:rsidR="00097E65" w:rsidRPr="008E3848" w:rsidRDefault="00097E65" w:rsidP="00C6275A">
      <w:pPr>
        <w:pStyle w:val="BodyText"/>
        <w:rPr>
          <w:sz w:val="28"/>
          <w:szCs w:val="28"/>
        </w:rPr>
      </w:pPr>
    </w:p>
    <w:p w:rsidR="00097E65" w:rsidRPr="008E3848" w:rsidRDefault="00097E65" w:rsidP="00C6275A">
      <w:pPr>
        <w:pStyle w:val="BodyText"/>
        <w:rPr>
          <w:sz w:val="28"/>
          <w:szCs w:val="28"/>
        </w:rPr>
      </w:pPr>
    </w:p>
    <w:p w:rsidR="0030277B" w:rsidRPr="008E3848" w:rsidRDefault="0030277B" w:rsidP="00C6275A">
      <w:pPr>
        <w:pStyle w:val="BodyText"/>
        <w:rPr>
          <w:sz w:val="28"/>
          <w:szCs w:val="28"/>
        </w:rPr>
      </w:pPr>
    </w:p>
    <w:p w:rsidR="0030277B" w:rsidRPr="0030277B" w:rsidRDefault="00F75A94" w:rsidP="008D6C12">
      <w:pPr>
        <w:autoSpaceDE w:val="0"/>
        <w:autoSpaceDN w:val="0"/>
        <w:adjustRightInd w:val="0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S</w:t>
      </w:r>
      <w:r w:rsidR="003F66FF">
        <w:rPr>
          <w:rFonts w:cs="Calibri"/>
          <w:b/>
          <w:bCs/>
          <w:color w:val="000000"/>
          <w:sz w:val="28"/>
          <w:szCs w:val="28"/>
        </w:rPr>
        <w:t xml:space="preserve">chedule </w:t>
      </w:r>
      <w:r w:rsidR="00D37A87">
        <w:rPr>
          <w:rFonts w:cs="Calibri"/>
          <w:b/>
          <w:bCs/>
          <w:color w:val="000000"/>
          <w:sz w:val="28"/>
          <w:szCs w:val="28"/>
        </w:rPr>
        <w:t xml:space="preserve">Cert1: Certification of </w:t>
      </w:r>
      <w:r w:rsidR="0030277B" w:rsidRPr="0030277B">
        <w:rPr>
          <w:rFonts w:cs="Calibri"/>
          <w:b/>
          <w:bCs/>
          <w:color w:val="000000"/>
          <w:sz w:val="28"/>
          <w:szCs w:val="28"/>
        </w:rPr>
        <w:t>Disclosures</w:t>
      </w:r>
    </w:p>
    <w:p w:rsidR="005F5BAC" w:rsidRDefault="005F5BAC" w:rsidP="0030277B">
      <w:pPr>
        <w:autoSpaceDE w:val="0"/>
        <w:autoSpaceDN w:val="0"/>
        <w:adjustRightInd w:val="0"/>
        <w:spacing w:after="240"/>
        <w:rPr>
          <w:rFonts w:cs="Calibri"/>
          <w:color w:val="000000"/>
        </w:rPr>
      </w:pPr>
    </w:p>
    <w:p w:rsidR="0030277B" w:rsidRPr="0030277B" w:rsidRDefault="005F5BAC" w:rsidP="0030277B">
      <w:pPr>
        <w:autoSpaceDE w:val="0"/>
        <w:autoSpaceDN w:val="0"/>
        <w:adjustRightInd w:val="0"/>
        <w:spacing w:after="240"/>
        <w:rPr>
          <w:rFonts w:cs="Calibri"/>
          <w:color w:val="000000"/>
        </w:rPr>
      </w:pPr>
      <w:r>
        <w:rPr>
          <w:rFonts w:cs="Calibri"/>
          <w:color w:val="000000"/>
        </w:rPr>
        <w:t>Clause 16</w:t>
      </w:r>
      <w:r w:rsidR="0030277B" w:rsidRPr="0030277B">
        <w:rPr>
          <w:rFonts w:cs="Calibri"/>
          <w:color w:val="000000"/>
        </w:rPr>
        <w:t xml:space="preserve"> </w:t>
      </w:r>
    </w:p>
    <w:p w:rsidR="0030277B" w:rsidRPr="0030277B" w:rsidRDefault="0030277B" w:rsidP="0030277B">
      <w:pPr>
        <w:autoSpaceDE w:val="0"/>
        <w:autoSpaceDN w:val="0"/>
        <w:adjustRightInd w:val="0"/>
        <w:spacing w:after="240"/>
        <w:rPr>
          <w:rFonts w:cs="Calibri"/>
          <w:color w:val="000000"/>
        </w:rPr>
      </w:pPr>
      <w:r w:rsidRPr="0030277B">
        <w:rPr>
          <w:rFonts w:cs="Calibri"/>
          <w:color w:val="000000"/>
        </w:rPr>
        <w:t xml:space="preserve">We, [insert full names], being directors of </w:t>
      </w:r>
      <w:r w:rsidR="003F66FF">
        <w:rPr>
          <w:rFonts w:cs="Calibri"/>
          <w:color w:val="000000"/>
        </w:rPr>
        <w:t xml:space="preserve">Transpower New Zealand Ltd </w:t>
      </w:r>
      <w:r w:rsidRPr="0030277B">
        <w:rPr>
          <w:rFonts w:cs="Calibri"/>
          <w:color w:val="000000"/>
        </w:rPr>
        <w:t xml:space="preserve">certify that, having made all reasonable enquiry, to the best of our knowledge- </w:t>
      </w:r>
    </w:p>
    <w:p w:rsidR="0030277B" w:rsidRPr="0030277B" w:rsidRDefault="003F66FF" w:rsidP="003F66FF">
      <w:pPr>
        <w:autoSpaceDE w:val="0"/>
        <w:autoSpaceDN w:val="0"/>
        <w:adjustRightInd w:val="0"/>
        <w:spacing w:after="240"/>
        <w:ind w:left="705" w:hanging="705"/>
        <w:rPr>
          <w:rFonts w:cs="Calibri"/>
          <w:color w:val="000000"/>
        </w:rPr>
      </w:pPr>
      <w:r>
        <w:rPr>
          <w:rFonts w:cs="Calibri"/>
          <w:color w:val="000000"/>
        </w:rPr>
        <w:t>(a)</w:t>
      </w:r>
      <w:r>
        <w:rPr>
          <w:rFonts w:cs="Calibri"/>
          <w:color w:val="000000"/>
        </w:rPr>
        <w:tab/>
      </w:r>
      <w:r w:rsidR="0030277B" w:rsidRPr="0030277B">
        <w:rPr>
          <w:rFonts w:cs="Calibri"/>
          <w:color w:val="000000"/>
        </w:rPr>
        <w:t xml:space="preserve">the </w:t>
      </w:r>
      <w:r w:rsidR="0030277B" w:rsidRPr="00003080">
        <w:rPr>
          <w:rFonts w:cs="Calibri"/>
          <w:color w:val="000000"/>
        </w:rPr>
        <w:t>information</w:t>
      </w:r>
      <w:r w:rsidR="0030277B" w:rsidRPr="0030277B">
        <w:rPr>
          <w:rFonts w:cs="Calibri"/>
          <w:color w:val="000000"/>
        </w:rPr>
        <w:t xml:space="preserve"> prepared for the purposes of </w:t>
      </w:r>
      <w:r w:rsidR="00F06D22">
        <w:rPr>
          <w:rFonts w:cs="Calibri"/>
          <w:color w:val="000000"/>
        </w:rPr>
        <w:t>sub-</w:t>
      </w:r>
      <w:r w:rsidR="0030277B" w:rsidRPr="0030277B">
        <w:rPr>
          <w:rFonts w:cs="Calibri"/>
          <w:color w:val="000000"/>
        </w:rPr>
        <w:t xml:space="preserve">clauses </w:t>
      </w:r>
      <w:r w:rsidR="00003080">
        <w:t>9.1-</w:t>
      </w:r>
      <w:r w:rsidR="00D94356">
        <w:t xml:space="preserve"> </w:t>
      </w:r>
      <w:r w:rsidR="00BC25C0">
        <w:t>14</w:t>
      </w:r>
      <w:r w:rsidR="00003080">
        <w:t>.1</w:t>
      </w:r>
      <w:r>
        <w:rPr>
          <w:rFonts w:cs="Calibri"/>
          <w:color w:val="000000"/>
        </w:rPr>
        <w:t xml:space="preserve"> </w:t>
      </w:r>
      <w:r w:rsidR="0030277B" w:rsidRPr="0030277B">
        <w:rPr>
          <w:rFonts w:cs="Calibri"/>
          <w:color w:val="000000"/>
        </w:rPr>
        <w:t xml:space="preserve">of the </w:t>
      </w:r>
      <w:r>
        <w:rPr>
          <w:rFonts w:cs="Calibri"/>
          <w:color w:val="000000"/>
        </w:rPr>
        <w:t xml:space="preserve">Transpower </w:t>
      </w:r>
      <w:r w:rsidR="0030277B" w:rsidRPr="0030277B">
        <w:rPr>
          <w:rFonts w:cs="Calibri"/>
          <w:color w:val="000000"/>
        </w:rPr>
        <w:t>Informati</w:t>
      </w:r>
      <w:r>
        <w:rPr>
          <w:rFonts w:cs="Calibri"/>
          <w:color w:val="000000"/>
        </w:rPr>
        <w:t>on Disclosure Determination 2014</w:t>
      </w:r>
      <w:r w:rsidR="0030277B" w:rsidRPr="0030277B">
        <w:rPr>
          <w:rFonts w:cs="Calibri"/>
          <w:color w:val="000000"/>
        </w:rPr>
        <w:t xml:space="preserve"> in all material respects co</w:t>
      </w:r>
      <w:r w:rsidR="005E60E5">
        <w:rPr>
          <w:rFonts w:cs="Calibri"/>
          <w:color w:val="000000"/>
        </w:rPr>
        <w:t xml:space="preserve">mplies with that determination; </w:t>
      </w:r>
      <w:r w:rsidR="0030277B" w:rsidRPr="0030277B">
        <w:rPr>
          <w:rFonts w:cs="Calibri"/>
          <w:color w:val="000000"/>
        </w:rPr>
        <w:t xml:space="preserve">and </w:t>
      </w:r>
    </w:p>
    <w:p w:rsidR="0030277B" w:rsidRPr="0030277B" w:rsidRDefault="003F66FF" w:rsidP="003F66FF">
      <w:pPr>
        <w:autoSpaceDE w:val="0"/>
        <w:autoSpaceDN w:val="0"/>
        <w:adjustRightInd w:val="0"/>
        <w:spacing w:after="240"/>
        <w:ind w:left="705" w:hanging="705"/>
        <w:rPr>
          <w:rFonts w:cs="Calibri"/>
          <w:color w:val="000000"/>
        </w:rPr>
      </w:pPr>
      <w:r>
        <w:rPr>
          <w:rFonts w:cs="Calibri"/>
          <w:color w:val="000000"/>
        </w:rPr>
        <w:t>(b)</w:t>
      </w:r>
      <w:r>
        <w:rPr>
          <w:rFonts w:cs="Calibri"/>
          <w:color w:val="000000"/>
        </w:rPr>
        <w:tab/>
      </w:r>
      <w:r w:rsidR="0030277B" w:rsidRPr="0030277B">
        <w:rPr>
          <w:rFonts w:cs="Calibri"/>
          <w:color w:val="000000"/>
        </w:rPr>
        <w:t xml:space="preserve">the historical information used in the preparation of </w:t>
      </w:r>
      <w:r w:rsidR="00BC25C0">
        <w:rPr>
          <w:rFonts w:cs="Calibri"/>
          <w:color w:val="000000"/>
        </w:rPr>
        <w:t>F1-</w:t>
      </w:r>
      <w:r w:rsidR="005F5BAC">
        <w:rPr>
          <w:rFonts w:cs="Calibri"/>
          <w:color w:val="000000"/>
        </w:rPr>
        <w:t>6, G1-7</w:t>
      </w:r>
      <w:r w:rsidR="00F872B7">
        <w:rPr>
          <w:rFonts w:cs="Calibri"/>
          <w:color w:val="000000"/>
        </w:rPr>
        <w:t xml:space="preserve"> and SO1</w:t>
      </w:r>
      <w:r w:rsidR="0030277B" w:rsidRPr="0030277B">
        <w:rPr>
          <w:rFonts w:cs="Calibri"/>
          <w:color w:val="000000"/>
        </w:rPr>
        <w:t xml:space="preserve"> has been properly extracted from </w:t>
      </w:r>
      <w:r>
        <w:rPr>
          <w:rFonts w:cs="Calibri"/>
          <w:color w:val="000000"/>
        </w:rPr>
        <w:t xml:space="preserve">Transpower New Zealand </w:t>
      </w:r>
      <w:proofErr w:type="spellStart"/>
      <w:r>
        <w:rPr>
          <w:rFonts w:cs="Calibri"/>
          <w:color w:val="000000"/>
        </w:rPr>
        <w:t>Ltd’s</w:t>
      </w:r>
      <w:proofErr w:type="spellEnd"/>
      <w:r>
        <w:rPr>
          <w:rFonts w:cs="Calibri"/>
          <w:color w:val="000000"/>
        </w:rPr>
        <w:t xml:space="preserve"> </w:t>
      </w:r>
      <w:r w:rsidR="0030277B" w:rsidRPr="0030277B">
        <w:rPr>
          <w:rFonts w:cs="Calibri"/>
          <w:color w:val="000000"/>
        </w:rPr>
        <w:t xml:space="preserve">accounting and other records sourced from its financial and non-financial systems, and that sufficient appropriate records have been retained [and if not, what records and systems were used]; and </w:t>
      </w:r>
    </w:p>
    <w:p w:rsidR="0030277B" w:rsidRPr="0030277B" w:rsidRDefault="003F66FF" w:rsidP="00D94356">
      <w:pPr>
        <w:autoSpaceDE w:val="0"/>
        <w:autoSpaceDN w:val="0"/>
        <w:adjustRightInd w:val="0"/>
        <w:spacing w:after="240"/>
        <w:ind w:left="705" w:hanging="705"/>
        <w:rPr>
          <w:rFonts w:cs="Calibri"/>
          <w:color w:val="000000"/>
        </w:rPr>
      </w:pPr>
      <w:r>
        <w:rPr>
          <w:rFonts w:cs="Calibri"/>
          <w:color w:val="000000"/>
        </w:rPr>
        <w:t>(c)</w:t>
      </w:r>
      <w:r>
        <w:rPr>
          <w:rFonts w:cs="Calibri"/>
          <w:color w:val="000000"/>
        </w:rPr>
        <w:tab/>
      </w:r>
      <w:proofErr w:type="gramStart"/>
      <w:r w:rsidR="0030277B" w:rsidRPr="0030277B">
        <w:rPr>
          <w:rFonts w:cs="Calibri"/>
          <w:color w:val="000000"/>
        </w:rPr>
        <w:t>the</w:t>
      </w:r>
      <w:proofErr w:type="gramEnd"/>
      <w:r w:rsidR="0030277B" w:rsidRPr="0030277B">
        <w:rPr>
          <w:rFonts w:cs="Calibri"/>
          <w:color w:val="000000"/>
        </w:rPr>
        <w:t xml:space="preserve"> forecasts in Schedules </w:t>
      </w:r>
      <w:r w:rsidR="005F5BAC">
        <w:rPr>
          <w:rFonts w:cs="Calibri"/>
          <w:color w:val="000000"/>
        </w:rPr>
        <w:t>F5, F6</w:t>
      </w:r>
      <w:r w:rsidR="00A266E5">
        <w:rPr>
          <w:rFonts w:cs="Calibri"/>
          <w:color w:val="000000"/>
        </w:rPr>
        <w:t xml:space="preserve">, </w:t>
      </w:r>
      <w:r w:rsidR="005F5BAC">
        <w:rPr>
          <w:rFonts w:cs="Calibri"/>
          <w:color w:val="000000"/>
        </w:rPr>
        <w:t>G3, G6</w:t>
      </w:r>
      <w:r w:rsidR="00F872B7">
        <w:rPr>
          <w:rFonts w:cs="Calibri"/>
          <w:color w:val="000000"/>
        </w:rPr>
        <w:t xml:space="preserve"> and SO1</w:t>
      </w:r>
      <w:r>
        <w:rPr>
          <w:rFonts w:cs="Calibri"/>
          <w:color w:val="000000"/>
        </w:rPr>
        <w:t xml:space="preserve"> </w:t>
      </w:r>
      <w:r w:rsidR="0030277B" w:rsidRPr="0030277B">
        <w:rPr>
          <w:rFonts w:cs="Calibri"/>
          <w:color w:val="000000"/>
        </w:rPr>
        <w:t xml:space="preserve">are based on objective and reasonable assumptions which both align with </w:t>
      </w:r>
      <w:r>
        <w:rPr>
          <w:rFonts w:cs="Calibri"/>
          <w:color w:val="000000"/>
        </w:rPr>
        <w:t xml:space="preserve">Transpower New Zealand </w:t>
      </w:r>
      <w:proofErr w:type="spellStart"/>
      <w:r>
        <w:rPr>
          <w:rFonts w:cs="Calibri"/>
          <w:color w:val="000000"/>
        </w:rPr>
        <w:t>Ltd’s</w:t>
      </w:r>
      <w:proofErr w:type="spellEnd"/>
      <w:r>
        <w:rPr>
          <w:rFonts w:cs="Calibri"/>
          <w:color w:val="000000"/>
        </w:rPr>
        <w:t xml:space="preserve"> </w:t>
      </w:r>
      <w:r w:rsidR="0030277B" w:rsidRPr="0030277B">
        <w:rPr>
          <w:rFonts w:cs="Calibri"/>
          <w:color w:val="000000"/>
        </w:rPr>
        <w:t>corporate vision a</w:t>
      </w:r>
      <w:r w:rsidR="00333562">
        <w:rPr>
          <w:rFonts w:cs="Calibri"/>
          <w:color w:val="000000"/>
        </w:rPr>
        <w:t xml:space="preserve">nd strategy, </w:t>
      </w:r>
      <w:r w:rsidR="0030277B" w:rsidRPr="0030277B">
        <w:rPr>
          <w:rFonts w:cs="Calibri"/>
          <w:color w:val="000000"/>
        </w:rPr>
        <w:t>are documented in retained records</w:t>
      </w:r>
      <w:r w:rsidR="00DF1FB2">
        <w:rPr>
          <w:rFonts w:cs="Calibri"/>
          <w:color w:val="000000"/>
        </w:rPr>
        <w:t>,</w:t>
      </w:r>
      <w:r w:rsidR="00333562">
        <w:rPr>
          <w:rFonts w:cs="Calibri"/>
          <w:color w:val="000000"/>
        </w:rPr>
        <w:t xml:space="preserve"> and have been measured on a basis</w:t>
      </w:r>
      <w:r w:rsidR="00A266E5">
        <w:rPr>
          <w:rFonts w:cs="Calibri"/>
          <w:color w:val="000000"/>
        </w:rPr>
        <w:t xml:space="preserve"> consistent with regulatory requirements or recognised industry standards</w:t>
      </w:r>
      <w:r w:rsidR="0030277B" w:rsidRPr="0030277B">
        <w:rPr>
          <w:rFonts w:cs="Calibri"/>
          <w:color w:val="000000"/>
        </w:rPr>
        <w:t xml:space="preserve">. </w:t>
      </w:r>
    </w:p>
    <w:p w:rsidR="0030277B" w:rsidRPr="0030277B" w:rsidRDefault="00504E61" w:rsidP="00504E61">
      <w:pPr>
        <w:autoSpaceDE w:val="0"/>
        <w:autoSpaceDN w:val="0"/>
        <w:adjustRightInd w:val="0"/>
        <w:spacing w:after="240"/>
        <w:ind w:left="705" w:hanging="705"/>
        <w:rPr>
          <w:rFonts w:cs="Calibri"/>
          <w:color w:val="000000"/>
        </w:rPr>
      </w:pPr>
      <w:r>
        <w:rPr>
          <w:rFonts w:cs="Calibri"/>
          <w:color w:val="000000"/>
        </w:rPr>
        <w:t>(d)</w:t>
      </w:r>
      <w:r>
        <w:rPr>
          <w:rFonts w:cs="Calibri"/>
          <w:color w:val="000000"/>
        </w:rPr>
        <w:tab/>
      </w:r>
      <w:r w:rsidR="00D94356">
        <w:rPr>
          <w:rFonts w:cs="Calibri"/>
          <w:color w:val="000000"/>
        </w:rPr>
        <w:t>*</w:t>
      </w:r>
      <w:r w:rsidR="0030277B" w:rsidRPr="0030277B">
        <w:rPr>
          <w:rFonts w:cs="Calibri"/>
          <w:color w:val="000000"/>
        </w:rPr>
        <w:t xml:space="preserve">In </w:t>
      </w:r>
      <w:r w:rsidR="0030277B" w:rsidRPr="00D94356">
        <w:rPr>
          <w:rFonts w:cs="Calibri"/>
          <w:color w:val="000000"/>
        </w:rPr>
        <w:t>respect of related pa</w:t>
      </w:r>
      <w:r w:rsidR="00D94356" w:rsidRPr="00D94356">
        <w:rPr>
          <w:rFonts w:cs="Calibri"/>
          <w:color w:val="000000"/>
        </w:rPr>
        <w:t xml:space="preserve">rty transactions </w:t>
      </w:r>
      <w:r w:rsidR="0030277B" w:rsidRPr="00D94356">
        <w:rPr>
          <w:rFonts w:cs="Calibri"/>
          <w:color w:val="000000"/>
        </w:rPr>
        <w:t xml:space="preserve">valued in accordance with </w:t>
      </w:r>
      <w:r w:rsidR="00D94356" w:rsidRPr="00D94356">
        <w:rPr>
          <w:rFonts w:cs="Calibri"/>
          <w:color w:val="000000"/>
        </w:rPr>
        <w:t>sub-</w:t>
      </w:r>
      <w:r w:rsidR="0030277B" w:rsidRPr="00D94356">
        <w:rPr>
          <w:rFonts w:cs="Calibri"/>
          <w:color w:val="000000"/>
        </w:rPr>
        <w:t>clause</w:t>
      </w:r>
      <w:r w:rsidR="00822AB3">
        <w:rPr>
          <w:rFonts w:cs="Calibri"/>
          <w:color w:val="000000"/>
        </w:rPr>
        <w:t xml:space="preserve">s </w:t>
      </w:r>
      <w:r w:rsidR="005F5BAC">
        <w:rPr>
          <w:rFonts w:cs="Calibri"/>
          <w:color w:val="000000"/>
        </w:rPr>
        <w:t xml:space="preserve">17-19.3 </w:t>
      </w:r>
      <w:r w:rsidR="0030277B" w:rsidRPr="00D94356">
        <w:rPr>
          <w:rFonts w:cs="Calibri"/>
          <w:color w:val="000000"/>
        </w:rPr>
        <w:t xml:space="preserve">of the </w:t>
      </w:r>
      <w:r w:rsidR="003F66FF" w:rsidRPr="00D94356">
        <w:rPr>
          <w:rFonts w:cs="Calibri"/>
          <w:color w:val="000000"/>
        </w:rPr>
        <w:t xml:space="preserve">Transpower </w:t>
      </w:r>
      <w:r w:rsidR="00D94356" w:rsidRPr="00D94356">
        <w:rPr>
          <w:rFonts w:cs="Calibri"/>
          <w:color w:val="000000"/>
        </w:rPr>
        <w:t xml:space="preserve">Information Disclosure Determination 2014 </w:t>
      </w:r>
      <w:r w:rsidR="0030277B" w:rsidRPr="00D94356">
        <w:rPr>
          <w:rFonts w:cs="Calibri"/>
          <w:color w:val="000000"/>
        </w:rPr>
        <w:t>we certify that, having made all reasonable enquiry, including enquiries of our related parties,</w:t>
      </w:r>
      <w:r w:rsidR="0030277B" w:rsidRPr="0030277B">
        <w:rPr>
          <w:rFonts w:cs="Calibri"/>
          <w:color w:val="000000"/>
        </w:rPr>
        <w:t xml:space="preserve"> we are satisfied that to the best of our knowledge and belief the </w:t>
      </w:r>
      <w:r>
        <w:rPr>
          <w:rFonts w:cs="Calibri"/>
          <w:color w:val="000000"/>
        </w:rPr>
        <w:t>price</w:t>
      </w:r>
      <w:r w:rsidR="00A266E5">
        <w:rPr>
          <w:rFonts w:cs="Calibri"/>
          <w:color w:val="000000"/>
        </w:rPr>
        <w:t>(</w:t>
      </w:r>
      <w:r>
        <w:rPr>
          <w:rFonts w:cs="Calibri"/>
          <w:color w:val="000000"/>
        </w:rPr>
        <w:t>s</w:t>
      </w:r>
      <w:r w:rsidR="00A266E5">
        <w:rPr>
          <w:rFonts w:cs="Calibri"/>
          <w:color w:val="000000"/>
        </w:rPr>
        <w:t>)</w:t>
      </w:r>
      <w:r>
        <w:rPr>
          <w:rFonts w:cs="Calibri"/>
          <w:color w:val="000000"/>
        </w:rPr>
        <w:t xml:space="preserve"> </w:t>
      </w:r>
      <w:r w:rsidR="0030277B" w:rsidRPr="0030277B">
        <w:rPr>
          <w:rFonts w:cs="Calibri"/>
          <w:color w:val="000000"/>
        </w:rPr>
        <w:t>recorded for related party transactions</w:t>
      </w:r>
      <w:r w:rsidR="00A266E5">
        <w:rPr>
          <w:rFonts w:cs="Calibri"/>
          <w:color w:val="000000"/>
        </w:rPr>
        <w:t xml:space="preserve"> reasonably reflect the </w:t>
      </w:r>
      <w:r w:rsidR="0030277B" w:rsidRPr="0030277B">
        <w:rPr>
          <w:rFonts w:cs="Calibri"/>
          <w:color w:val="000000"/>
        </w:rPr>
        <w:t>price</w:t>
      </w:r>
      <w:r w:rsidR="00A266E5">
        <w:rPr>
          <w:rFonts w:cs="Calibri"/>
          <w:color w:val="000000"/>
        </w:rPr>
        <w:t>(</w:t>
      </w:r>
      <w:r w:rsidR="0030277B" w:rsidRPr="0030277B">
        <w:rPr>
          <w:rFonts w:cs="Calibri"/>
          <w:color w:val="000000"/>
        </w:rPr>
        <w:t>s</w:t>
      </w:r>
      <w:r w:rsidR="00A266E5">
        <w:rPr>
          <w:rFonts w:cs="Calibri"/>
          <w:color w:val="000000"/>
        </w:rPr>
        <w:t>)</w:t>
      </w:r>
      <w:r w:rsidR="00F06D22">
        <w:rPr>
          <w:rFonts w:cs="Calibri"/>
          <w:color w:val="000000"/>
        </w:rPr>
        <w:t xml:space="preserve"> that would </w:t>
      </w:r>
      <w:r w:rsidR="0030277B" w:rsidRPr="0030277B">
        <w:rPr>
          <w:rFonts w:cs="Calibri"/>
          <w:color w:val="000000"/>
        </w:rPr>
        <w:t>have been paid or received had these tran</w:t>
      </w:r>
      <w:r>
        <w:rPr>
          <w:rFonts w:cs="Calibri"/>
          <w:color w:val="000000"/>
        </w:rPr>
        <w:t>sactions been at arm’s-length.</w:t>
      </w:r>
    </w:p>
    <w:p w:rsidR="0030277B" w:rsidRPr="0030277B" w:rsidRDefault="0030277B" w:rsidP="0030277B">
      <w:pPr>
        <w:autoSpaceDE w:val="0"/>
        <w:autoSpaceDN w:val="0"/>
        <w:adjustRightInd w:val="0"/>
        <w:spacing w:after="240"/>
        <w:rPr>
          <w:rFonts w:cs="Calibri"/>
          <w:color w:val="000000"/>
        </w:rPr>
      </w:pPr>
      <w:r w:rsidRPr="0030277B">
        <w:rPr>
          <w:rFonts w:cs="Calibri"/>
          <w:color w:val="000000"/>
        </w:rPr>
        <w:t xml:space="preserve">* Delete if inapplicable </w:t>
      </w:r>
    </w:p>
    <w:p w:rsidR="0030277B" w:rsidRPr="0030277B" w:rsidRDefault="0030277B" w:rsidP="0030277B">
      <w:pPr>
        <w:autoSpaceDE w:val="0"/>
        <w:autoSpaceDN w:val="0"/>
        <w:adjustRightInd w:val="0"/>
        <w:spacing w:after="240"/>
        <w:rPr>
          <w:rFonts w:cs="Calibri"/>
          <w:color w:val="000000"/>
        </w:rPr>
      </w:pPr>
      <w:r w:rsidRPr="0030277B">
        <w:rPr>
          <w:rFonts w:cs="Calibri"/>
          <w:color w:val="000000"/>
        </w:rPr>
        <w:t xml:space="preserve">[Signatures of 2 directors] </w:t>
      </w:r>
    </w:p>
    <w:p w:rsidR="0030277B" w:rsidRPr="0030277B" w:rsidRDefault="0030277B" w:rsidP="0030277B">
      <w:pPr>
        <w:pStyle w:val="BodyText"/>
        <w:rPr>
          <w:rFonts w:cs="Calibri"/>
          <w:color w:val="000000"/>
          <w:lang w:eastAsia="en-NZ"/>
        </w:rPr>
      </w:pPr>
      <w:r w:rsidRPr="0030277B">
        <w:rPr>
          <w:rFonts w:cs="Calibri"/>
          <w:color w:val="000000"/>
          <w:lang w:eastAsia="en-NZ"/>
        </w:rPr>
        <w:t>[Date]</w:t>
      </w:r>
    </w:p>
    <w:p w:rsidR="0030277B" w:rsidRDefault="0030277B" w:rsidP="0030277B">
      <w:pPr>
        <w:pStyle w:val="BodyText"/>
        <w:rPr>
          <w:rFonts w:cs="Calibri"/>
          <w:color w:val="000000"/>
          <w:sz w:val="23"/>
          <w:szCs w:val="23"/>
          <w:lang w:eastAsia="en-NZ"/>
        </w:rPr>
      </w:pPr>
    </w:p>
    <w:p w:rsidR="0030277B" w:rsidRDefault="0030277B" w:rsidP="0030277B">
      <w:pPr>
        <w:pStyle w:val="BodyText"/>
        <w:rPr>
          <w:rFonts w:cs="Calibri"/>
          <w:color w:val="000000"/>
          <w:sz w:val="23"/>
          <w:szCs w:val="23"/>
          <w:lang w:eastAsia="en-NZ"/>
        </w:rPr>
      </w:pPr>
    </w:p>
    <w:p w:rsidR="0030277B" w:rsidRDefault="0030277B" w:rsidP="0030277B">
      <w:pPr>
        <w:pStyle w:val="BodyText"/>
        <w:rPr>
          <w:rFonts w:cs="Calibri"/>
          <w:color w:val="000000"/>
          <w:sz w:val="23"/>
          <w:szCs w:val="23"/>
          <w:lang w:eastAsia="en-NZ"/>
        </w:rPr>
      </w:pPr>
    </w:p>
    <w:p w:rsidR="0030277B" w:rsidRDefault="0030277B" w:rsidP="0030277B">
      <w:pPr>
        <w:pStyle w:val="BodyText"/>
        <w:rPr>
          <w:rFonts w:cs="Calibri"/>
          <w:color w:val="000000"/>
          <w:sz w:val="23"/>
          <w:szCs w:val="23"/>
          <w:lang w:eastAsia="en-NZ"/>
        </w:rPr>
      </w:pPr>
    </w:p>
    <w:p w:rsidR="0030277B" w:rsidRDefault="0030277B" w:rsidP="0030277B">
      <w:pPr>
        <w:pStyle w:val="BodyText"/>
        <w:rPr>
          <w:rFonts w:cs="Calibri"/>
          <w:color w:val="000000"/>
          <w:sz w:val="23"/>
          <w:szCs w:val="23"/>
          <w:lang w:eastAsia="en-NZ"/>
        </w:rPr>
      </w:pPr>
    </w:p>
    <w:p w:rsidR="0030277B" w:rsidRDefault="0030277B" w:rsidP="0030277B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</w:p>
    <w:p w:rsidR="0030277B" w:rsidRDefault="0030277B" w:rsidP="0030277B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</w:p>
    <w:p w:rsidR="0030277B" w:rsidRPr="008E3848" w:rsidRDefault="0030277B" w:rsidP="0030277B">
      <w:pPr>
        <w:pStyle w:val="BodyText"/>
      </w:pPr>
    </w:p>
    <w:sectPr w:rsidR="0030277B" w:rsidRPr="008E3848" w:rsidSect="00187962">
      <w:footerReference w:type="default" r:id="rId15"/>
      <w:headerReference w:type="first" r:id="rId16"/>
      <w:type w:val="continuous"/>
      <w:pgSz w:w="11907" w:h="16840" w:code="9"/>
      <w:pgMar w:top="1440" w:right="1440" w:bottom="1440" w:left="144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F27" w:rsidRDefault="00927F27">
      <w:r>
        <w:separator/>
      </w:r>
    </w:p>
    <w:p w:rsidR="00927F27" w:rsidRDefault="00927F27"/>
    <w:p w:rsidR="00927F27" w:rsidRDefault="00927F27"/>
    <w:p w:rsidR="00927F27" w:rsidRDefault="00927F27"/>
  </w:endnote>
  <w:endnote w:type="continuationSeparator" w:id="0">
    <w:p w:rsidR="00927F27" w:rsidRDefault="00927F27">
      <w:r>
        <w:continuationSeparator/>
      </w:r>
    </w:p>
    <w:p w:rsidR="00927F27" w:rsidRDefault="00927F27"/>
    <w:p w:rsidR="00927F27" w:rsidRDefault="00927F27"/>
    <w:p w:rsidR="00927F27" w:rsidRDefault="00927F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Bold">
    <w:panose1 w:val="020F070203040403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27" w:rsidRPr="009D0870" w:rsidRDefault="00927F27" w:rsidP="000336BE">
    <w:pPr>
      <w:pStyle w:val="Footer"/>
      <w:jc w:val="right"/>
    </w:pPr>
    <w:r w:rsidRPr="00B77ADD">
      <w:t>1</w:t>
    </w:r>
    <w:r>
      <w:t>588826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F27" w:rsidRDefault="00927F27">
      <w:r>
        <w:separator/>
      </w:r>
    </w:p>
    <w:p w:rsidR="00927F27" w:rsidRDefault="00927F27"/>
  </w:footnote>
  <w:footnote w:type="continuationSeparator" w:id="0">
    <w:p w:rsidR="00927F27" w:rsidRDefault="00927F27">
      <w:r>
        <w:continuationSeparator/>
      </w:r>
    </w:p>
    <w:p w:rsidR="00927F27" w:rsidRDefault="00927F27"/>
  </w:footnote>
  <w:footnote w:type="continuationNotice" w:id="1">
    <w:p w:rsidR="00927F27" w:rsidRPr="00771F11" w:rsidRDefault="00927F27" w:rsidP="003E24A4"/>
    <w:p w:rsidR="00927F27" w:rsidRDefault="00927F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27" w:rsidRDefault="00927F27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5E60E5">
      <w:rPr>
        <w:noProof/>
      </w:rPr>
      <w:t>2</w:t>
    </w:r>
    <w:r>
      <w:rPr>
        <w:noProof/>
      </w:rPr>
      <w:fldChar w:fldCharType="end"/>
    </w:r>
  </w:p>
  <w:p w:rsidR="00927F27" w:rsidRDefault="00927F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27" w:rsidRDefault="00927F27" w:rsidP="007C7EA7">
    <w:pPr>
      <w:pStyle w:val="Header"/>
    </w:pPr>
    <w:r>
      <w:t xml:space="preserve">Revised Draft Transpower New Zealand Limited Information Disclosure </w:t>
    </w:r>
    <w:r w:rsidRPr="007C7EA7">
      <w:t>D</w:t>
    </w:r>
    <w:r>
      <w:t>etermination 2014</w:t>
    </w:r>
  </w:p>
  <w:p w:rsidR="00927F27" w:rsidRPr="007C7EA7" w:rsidRDefault="00927F27" w:rsidP="007C7E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27" w:rsidRPr="008F49CB" w:rsidRDefault="00927F27" w:rsidP="008F49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108C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B43F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4416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C92D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1"/>
    <w:multiLevelType w:val="singleLevel"/>
    <w:tmpl w:val="7C40FF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8DEE5D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437EAFF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A852D0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9A6CAA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9651078"/>
    <w:multiLevelType w:val="hybridMultilevel"/>
    <w:tmpl w:val="83A4BE7C"/>
    <w:lvl w:ilvl="0" w:tplc="6B5048A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303B70"/>
    <w:multiLevelType w:val="multilevel"/>
    <w:tmpl w:val="F2BE0780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>
    <w:nsid w:val="10BA6B77"/>
    <w:multiLevelType w:val="multilevel"/>
    <w:tmpl w:val="00F652C8"/>
    <w:lvl w:ilvl="0">
      <w:start w:val="1"/>
      <w:numFmt w:val="decimal"/>
      <w:pStyle w:val="TOCHeaders"/>
      <w:lvlText w:val="SECTION %1: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13E202FB"/>
    <w:multiLevelType w:val="hybridMultilevel"/>
    <w:tmpl w:val="469AE3CC"/>
    <w:lvl w:ilvl="0" w:tplc="16449324">
      <w:start w:val="2"/>
      <w:numFmt w:val="lowerLetter"/>
      <w:lvlText w:val="(%1)"/>
      <w:lvlJc w:val="left"/>
      <w:pPr>
        <w:ind w:left="1069" w:hanging="360"/>
      </w:pPr>
      <w:rPr>
        <w:rFonts w:cs="Calibri" w:hint="default"/>
        <w:color w:val="000000"/>
      </w:rPr>
    </w:lvl>
    <w:lvl w:ilvl="1" w:tplc="14090019">
      <w:start w:val="1"/>
      <w:numFmt w:val="lowerLetter"/>
      <w:lvlText w:val="%2."/>
      <w:lvlJc w:val="left"/>
      <w:pPr>
        <w:ind w:left="1789" w:hanging="360"/>
      </w:pPr>
    </w:lvl>
    <w:lvl w:ilvl="2" w:tplc="1409001B" w:tentative="1">
      <w:start w:val="1"/>
      <w:numFmt w:val="lowerRoman"/>
      <w:lvlText w:val="%3."/>
      <w:lvlJc w:val="right"/>
      <w:pPr>
        <w:ind w:left="2509" w:hanging="180"/>
      </w:pPr>
    </w:lvl>
    <w:lvl w:ilvl="3" w:tplc="1409000F" w:tentative="1">
      <w:start w:val="1"/>
      <w:numFmt w:val="decimal"/>
      <w:lvlText w:val="%4."/>
      <w:lvlJc w:val="left"/>
      <w:pPr>
        <w:ind w:left="3229" w:hanging="360"/>
      </w:pPr>
    </w:lvl>
    <w:lvl w:ilvl="4" w:tplc="14090019" w:tentative="1">
      <w:start w:val="1"/>
      <w:numFmt w:val="lowerLetter"/>
      <w:lvlText w:val="%5."/>
      <w:lvlJc w:val="left"/>
      <w:pPr>
        <w:ind w:left="3949" w:hanging="360"/>
      </w:pPr>
    </w:lvl>
    <w:lvl w:ilvl="5" w:tplc="1409001B" w:tentative="1">
      <w:start w:val="1"/>
      <w:numFmt w:val="lowerRoman"/>
      <w:lvlText w:val="%6."/>
      <w:lvlJc w:val="right"/>
      <w:pPr>
        <w:ind w:left="4669" w:hanging="180"/>
      </w:pPr>
    </w:lvl>
    <w:lvl w:ilvl="6" w:tplc="1409000F" w:tentative="1">
      <w:start w:val="1"/>
      <w:numFmt w:val="decimal"/>
      <w:lvlText w:val="%7."/>
      <w:lvlJc w:val="left"/>
      <w:pPr>
        <w:ind w:left="5389" w:hanging="360"/>
      </w:pPr>
    </w:lvl>
    <w:lvl w:ilvl="7" w:tplc="14090019" w:tentative="1">
      <w:start w:val="1"/>
      <w:numFmt w:val="lowerLetter"/>
      <w:lvlText w:val="%8."/>
      <w:lvlJc w:val="left"/>
      <w:pPr>
        <w:ind w:left="6109" w:hanging="360"/>
      </w:pPr>
    </w:lvl>
    <w:lvl w:ilvl="8" w:tplc="1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5E2503"/>
    <w:multiLevelType w:val="multilevel"/>
    <w:tmpl w:val="58C625A4"/>
    <w:styleLink w:val="Tablebulletlis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D2244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>
    <w:nsid w:val="20EA75CC"/>
    <w:multiLevelType w:val="multilevel"/>
    <w:tmpl w:val="40A66D2C"/>
    <w:lvl w:ilvl="0">
      <w:start w:val="1"/>
      <w:numFmt w:val="upperLetter"/>
      <w:pStyle w:val="Heading0Attachment"/>
      <w:suff w:val="nothing"/>
      <w:lvlText w:val="Attachment %1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6"/>
        <w:szCs w:val="32"/>
        <w:vertAlign w:val="baseline"/>
      </w:rPr>
    </w:lvl>
    <w:lvl w:ilvl="1">
      <w:start w:val="1"/>
      <w:numFmt w:val="decimal"/>
      <w:pStyle w:val="Apara1"/>
      <w:lvlText w:val="%1%2"/>
      <w:lvlJc w:val="left"/>
      <w:pPr>
        <w:tabs>
          <w:tab w:val="num" w:pos="709"/>
        </w:tabs>
        <w:ind w:left="709" w:hanging="709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pStyle w:val="Apara2"/>
      <w:lvlText w:val="%1%2.%3"/>
      <w:lvlJc w:val="left"/>
      <w:pPr>
        <w:tabs>
          <w:tab w:val="num" w:pos="1559"/>
        </w:tabs>
        <w:ind w:left="1559" w:hanging="85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Apara3"/>
      <w:lvlText w:val="%1%2.%3.%4"/>
      <w:lvlJc w:val="left"/>
      <w:pPr>
        <w:tabs>
          <w:tab w:val="num" w:pos="2552"/>
        </w:tabs>
        <w:ind w:left="2552" w:hanging="993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decimal"/>
      <w:pStyle w:val="Apara4"/>
      <w:lvlText w:val="%1%2.%3.%4.%5"/>
      <w:lvlJc w:val="left"/>
      <w:pPr>
        <w:tabs>
          <w:tab w:val="num" w:pos="3686"/>
        </w:tabs>
        <w:ind w:left="3686" w:hanging="1134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decimal"/>
      <w:pStyle w:val="Apara5"/>
      <w:lvlText w:val="%1%2.%3.%4.%5.%6"/>
      <w:lvlJc w:val="left"/>
      <w:pPr>
        <w:tabs>
          <w:tab w:val="num" w:pos="4961"/>
        </w:tabs>
        <w:ind w:left="4961" w:hanging="1275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6">
      <w:start w:val="1"/>
      <w:numFmt w:val="decimal"/>
      <w:lvlRestart w:val="1"/>
      <w:pStyle w:val="Atitle-Box"/>
      <w:suff w:val="nothing"/>
      <w:lvlText w:val="Box %1%7"/>
      <w:lvlJc w:val="left"/>
      <w:pPr>
        <w:ind w:left="0" w:firstLine="0"/>
      </w:pPr>
      <w:rPr>
        <w:rFonts w:ascii="Calibri Bold" w:hAnsi="Calibri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Restart w:val="1"/>
      <w:pStyle w:val="Atitle-Figure"/>
      <w:suff w:val="nothing"/>
      <w:lvlText w:val="Figure %1%8"/>
      <w:lvlJc w:val="left"/>
      <w:pPr>
        <w:ind w:left="709" w:hanging="709"/>
      </w:pPr>
      <w:rPr>
        <w:rFonts w:ascii="Calibri Bold" w:hAnsi="Calibri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8">
      <w:start w:val="1"/>
      <w:numFmt w:val="decimal"/>
      <w:lvlRestart w:val="1"/>
      <w:pStyle w:val="Atitle-Table"/>
      <w:suff w:val="nothing"/>
      <w:lvlText w:val="Table %1%9"/>
      <w:lvlJc w:val="left"/>
      <w:pPr>
        <w:ind w:left="709" w:hanging="709"/>
      </w:pPr>
      <w:rPr>
        <w:rFonts w:ascii="Calibri Bold" w:hAnsi="Calibri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15">
    <w:nsid w:val="212F3C0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4033E61"/>
    <w:multiLevelType w:val="multilevel"/>
    <w:tmpl w:val="74344A08"/>
    <w:lvl w:ilvl="0">
      <w:start w:val="1"/>
      <w:numFmt w:val="decimal"/>
      <w:pStyle w:val="NumberedL1-Indent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249F0FB3"/>
    <w:multiLevelType w:val="multilevel"/>
    <w:tmpl w:val="F6465EC6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294D20DC"/>
    <w:multiLevelType w:val="multilevel"/>
    <w:tmpl w:val="B7C694E8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2A717DC7"/>
    <w:multiLevelType w:val="multilevel"/>
    <w:tmpl w:val="408A44A6"/>
    <w:lvl w:ilvl="0">
      <w:start w:val="1"/>
      <w:numFmt w:val="none"/>
      <w:pStyle w:val="Heading0ExecSummary"/>
      <w:suff w:val="nothing"/>
      <w:lvlText w:val="Executive Summary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6"/>
        <w:szCs w:val="32"/>
        <w:vertAlign w:val="baseline"/>
      </w:rPr>
    </w:lvl>
    <w:lvl w:ilvl="1">
      <w:start w:val="1"/>
      <w:numFmt w:val="decimal"/>
      <w:lvlRestart w:val="0"/>
      <w:pStyle w:val="Xpara1"/>
      <w:lvlText w:val="X%2"/>
      <w:lvlJc w:val="left"/>
      <w:pPr>
        <w:tabs>
          <w:tab w:val="num" w:pos="709"/>
        </w:tabs>
        <w:ind w:left="709" w:hanging="709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pStyle w:val="Xpara2"/>
      <w:lvlText w:val="X%2.%3"/>
      <w:lvlJc w:val="left"/>
      <w:pPr>
        <w:tabs>
          <w:tab w:val="num" w:pos="1559"/>
        </w:tabs>
        <w:ind w:left="1559" w:hanging="85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Xpara3"/>
      <w:lvlText w:val="X%2.%3.%4"/>
      <w:lvlJc w:val="left"/>
      <w:pPr>
        <w:tabs>
          <w:tab w:val="num" w:pos="2552"/>
        </w:tabs>
        <w:ind w:left="2552" w:hanging="993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decimal"/>
      <w:pStyle w:val="Xpara4"/>
      <w:lvlText w:val="X%2.%3.%4.%5"/>
      <w:lvlJc w:val="left"/>
      <w:pPr>
        <w:tabs>
          <w:tab w:val="num" w:pos="3686"/>
        </w:tabs>
        <w:ind w:left="3686" w:hanging="1134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decimal"/>
      <w:pStyle w:val="Xpara5"/>
      <w:lvlText w:val="X%2.%3.%4.%5.%6"/>
      <w:lvlJc w:val="left"/>
      <w:pPr>
        <w:tabs>
          <w:tab w:val="num" w:pos="4961"/>
        </w:tabs>
        <w:ind w:left="4961" w:hanging="1275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Restart w:val="1"/>
      <w:pStyle w:val="Xtitle-Figure"/>
      <w:suff w:val="nothing"/>
      <w:lvlText w:val="Figure X%8"/>
      <w:lvlJc w:val="left"/>
      <w:pPr>
        <w:ind w:left="709" w:hanging="709"/>
      </w:pPr>
      <w:rPr>
        <w:rFonts w:ascii="Calibri Bold" w:hAnsi="Calibri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8">
      <w:start w:val="1"/>
      <w:numFmt w:val="decimal"/>
      <w:lvlRestart w:val="1"/>
      <w:pStyle w:val="Xtitle-Table"/>
      <w:suff w:val="nothing"/>
      <w:lvlText w:val="Table X%9"/>
      <w:lvlJc w:val="left"/>
      <w:pPr>
        <w:ind w:left="709" w:hanging="709"/>
      </w:pPr>
      <w:rPr>
        <w:rFonts w:ascii="Calibri Bold" w:hAnsi="Calibri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20">
    <w:nsid w:val="2F3C5601"/>
    <w:multiLevelType w:val="multilevel"/>
    <w:tmpl w:val="BADAEA56"/>
    <w:lvl w:ilvl="0">
      <w:start w:val="1"/>
      <w:numFmt w:val="none"/>
      <w:pStyle w:val="UnnumberedL1-Indent"/>
      <w:suff w:val="nothing"/>
      <w:lvlText w:val=""/>
      <w:lvlJc w:val="left"/>
      <w:pPr>
        <w:ind w:left="709" w:hanging="709"/>
      </w:pPr>
      <w:rPr>
        <w:rFonts w:hint="default"/>
      </w:rPr>
    </w:lvl>
    <w:lvl w:ilvl="1">
      <w:start w:val="1"/>
      <w:numFmt w:val="none"/>
      <w:lvlRestart w:val="0"/>
      <w:pStyle w:val="UnnumberedL2-Indent"/>
      <w:suff w:val="nothing"/>
      <w:lvlText w:val=""/>
      <w:lvlJc w:val="left"/>
      <w:pPr>
        <w:ind w:left="1559" w:hanging="850"/>
      </w:pPr>
      <w:rPr>
        <w:rFonts w:hint="default"/>
      </w:rPr>
    </w:lvl>
    <w:lvl w:ilvl="2">
      <w:start w:val="1"/>
      <w:numFmt w:val="none"/>
      <w:lvlRestart w:val="0"/>
      <w:pStyle w:val="UnnumberedL3-Indent"/>
      <w:suff w:val="nothing"/>
      <w:lvlText w:val=""/>
      <w:lvlJc w:val="left"/>
      <w:pPr>
        <w:ind w:left="2552" w:hanging="993"/>
      </w:pPr>
      <w:rPr>
        <w:rFonts w:hint="default"/>
      </w:rPr>
    </w:lvl>
    <w:lvl w:ilvl="3">
      <w:start w:val="1"/>
      <w:numFmt w:val="none"/>
      <w:lvlRestart w:val="0"/>
      <w:pStyle w:val="UnnumberedL4-Indent"/>
      <w:suff w:val="nothing"/>
      <w:lvlText w:val=""/>
      <w:lvlJc w:val="left"/>
      <w:pPr>
        <w:ind w:left="3686" w:hanging="1134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3686" w:hanging="113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686" w:hanging="1134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3686" w:hanging="1134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3686" w:hanging="113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3686" w:hanging="1134"/>
      </w:pPr>
      <w:rPr>
        <w:rFonts w:hint="default"/>
      </w:rPr>
    </w:lvl>
  </w:abstractNum>
  <w:abstractNum w:abstractNumId="21">
    <w:nsid w:val="328553F0"/>
    <w:multiLevelType w:val="hybridMultilevel"/>
    <w:tmpl w:val="C5861812"/>
    <w:lvl w:ilvl="0" w:tplc="91C24392">
      <w:start w:val="1"/>
      <w:numFmt w:val="decimal"/>
      <w:pStyle w:val="Box-Questions"/>
      <w:lvlText w:val="Q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A62BAE"/>
    <w:multiLevelType w:val="multilevel"/>
    <w:tmpl w:val="102E164E"/>
    <w:styleLink w:val="Outlinestyl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>
    <w:nsid w:val="371D020D"/>
    <w:multiLevelType w:val="multilevel"/>
    <w:tmpl w:val="C406A0A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0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24">
    <w:nsid w:val="3CAC4158"/>
    <w:multiLevelType w:val="multilevel"/>
    <w:tmpl w:val="F5E03C2E"/>
    <w:lvl w:ilvl="0">
      <w:start w:val="1"/>
      <w:numFmt w:val="decimal"/>
      <w:pStyle w:val="Heading0Chapter"/>
      <w:lvlText w:val="%1."/>
      <w:lvlJc w:val="left"/>
      <w:pPr>
        <w:tabs>
          <w:tab w:val="num" w:pos="709"/>
        </w:tabs>
        <w:ind w:left="709" w:hanging="709"/>
      </w:pPr>
      <w:rPr>
        <w:rFonts w:ascii="Calibri Bold" w:hAnsi="Calibri Bold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32"/>
        <w:vertAlign w:val="baseline"/>
      </w:rPr>
    </w:lvl>
    <w:lvl w:ilvl="1">
      <w:start w:val="1"/>
      <w:numFmt w:val="decimal"/>
      <w:pStyle w:val="Para1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trike w:val="0"/>
        <w:outline w:val="0"/>
        <w:shadow w:val="0"/>
      </w:rPr>
    </w:lvl>
    <w:lvl w:ilvl="2">
      <w:start w:val="1"/>
      <w:numFmt w:val="lowerLetter"/>
      <w:pStyle w:val="Para2"/>
      <w:lvlText w:val="(%3)"/>
      <w:lvlJc w:val="left"/>
      <w:pPr>
        <w:tabs>
          <w:tab w:val="num" w:pos="1843"/>
        </w:tabs>
        <w:ind w:left="1843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Para3"/>
      <w:lvlText w:val="(%4)"/>
      <w:lvlJc w:val="left"/>
      <w:pPr>
        <w:tabs>
          <w:tab w:val="num" w:pos="2268"/>
        </w:tabs>
        <w:ind w:left="2268" w:hanging="709"/>
      </w:pPr>
      <w:rPr>
        <w:rFonts w:ascii="Calibri" w:eastAsia="Times New Roman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lowerLetter"/>
      <w:pStyle w:val="Para4"/>
      <w:lvlText w:val="(%5)"/>
      <w:lvlJc w:val="left"/>
      <w:pPr>
        <w:tabs>
          <w:tab w:val="num" w:pos="2835"/>
        </w:tabs>
        <w:ind w:left="2835" w:hanging="992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lowerLetter"/>
      <w:pStyle w:val="Para5"/>
      <w:lvlText w:val="(%6)"/>
      <w:lvlJc w:val="left"/>
      <w:pPr>
        <w:tabs>
          <w:tab w:val="num" w:pos="2977"/>
        </w:tabs>
        <w:ind w:left="2977" w:hanging="709"/>
      </w:pPr>
      <w:rPr>
        <w:rFonts w:ascii="Calibri" w:eastAsia="Times New Roman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Restart w:val="1"/>
      <w:pStyle w:val="Title-Figure"/>
      <w:suff w:val="nothing"/>
      <w:lvlText w:val="Figure %1.%8"/>
      <w:lvlJc w:val="left"/>
      <w:pPr>
        <w:ind w:left="709" w:hanging="709"/>
      </w:pPr>
      <w:rPr>
        <w:rFonts w:ascii="Calibri Bold" w:hAnsi="Calibri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8">
      <w:start w:val="1"/>
      <w:numFmt w:val="decimal"/>
      <w:lvlRestart w:val="1"/>
      <w:pStyle w:val="Title-Table"/>
      <w:suff w:val="nothing"/>
      <w:lvlText w:val="Table %9"/>
      <w:lvlJc w:val="left"/>
      <w:pPr>
        <w:ind w:left="5104" w:hanging="709"/>
      </w:pPr>
      <w:rPr>
        <w:rFonts w:ascii="Calibri Bold" w:hAnsi="Calibri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25">
    <w:nsid w:val="457C5739"/>
    <w:multiLevelType w:val="hybridMultilevel"/>
    <w:tmpl w:val="F7C8702A"/>
    <w:lvl w:ilvl="0" w:tplc="F6A4B41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89" w:hanging="360"/>
      </w:pPr>
    </w:lvl>
    <w:lvl w:ilvl="2" w:tplc="1409001B" w:tentative="1">
      <w:start w:val="1"/>
      <w:numFmt w:val="lowerRoman"/>
      <w:lvlText w:val="%3."/>
      <w:lvlJc w:val="right"/>
      <w:pPr>
        <w:ind w:left="2509" w:hanging="180"/>
      </w:pPr>
    </w:lvl>
    <w:lvl w:ilvl="3" w:tplc="1409000F" w:tentative="1">
      <w:start w:val="1"/>
      <w:numFmt w:val="decimal"/>
      <w:lvlText w:val="%4."/>
      <w:lvlJc w:val="left"/>
      <w:pPr>
        <w:ind w:left="3229" w:hanging="360"/>
      </w:pPr>
    </w:lvl>
    <w:lvl w:ilvl="4" w:tplc="14090019" w:tentative="1">
      <w:start w:val="1"/>
      <w:numFmt w:val="lowerLetter"/>
      <w:lvlText w:val="%5."/>
      <w:lvlJc w:val="left"/>
      <w:pPr>
        <w:ind w:left="3949" w:hanging="360"/>
      </w:pPr>
    </w:lvl>
    <w:lvl w:ilvl="5" w:tplc="1409001B" w:tentative="1">
      <w:start w:val="1"/>
      <w:numFmt w:val="lowerRoman"/>
      <w:lvlText w:val="%6."/>
      <w:lvlJc w:val="right"/>
      <w:pPr>
        <w:ind w:left="4669" w:hanging="180"/>
      </w:pPr>
    </w:lvl>
    <w:lvl w:ilvl="6" w:tplc="1409000F" w:tentative="1">
      <w:start w:val="1"/>
      <w:numFmt w:val="decimal"/>
      <w:lvlText w:val="%7."/>
      <w:lvlJc w:val="left"/>
      <w:pPr>
        <w:ind w:left="5389" w:hanging="360"/>
      </w:pPr>
    </w:lvl>
    <w:lvl w:ilvl="7" w:tplc="14090019" w:tentative="1">
      <w:start w:val="1"/>
      <w:numFmt w:val="lowerLetter"/>
      <w:lvlText w:val="%8."/>
      <w:lvlJc w:val="left"/>
      <w:pPr>
        <w:ind w:left="6109" w:hanging="360"/>
      </w:pPr>
    </w:lvl>
    <w:lvl w:ilvl="8" w:tplc="1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0B4B35"/>
    <w:multiLevelType w:val="multilevel"/>
    <w:tmpl w:val="CD54CF0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552D68E9"/>
    <w:multiLevelType w:val="hybridMultilevel"/>
    <w:tmpl w:val="AE0EC5D4"/>
    <w:lvl w:ilvl="0" w:tplc="D548C34C">
      <w:start w:val="1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3D144C"/>
    <w:multiLevelType w:val="multilevel"/>
    <w:tmpl w:val="ACAA7F5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>
    <w:nsid w:val="6CDE4568"/>
    <w:multiLevelType w:val="multilevel"/>
    <w:tmpl w:val="B088C69C"/>
    <w:lvl w:ilvl="0">
      <w:start w:val="1"/>
      <w:numFmt w:val="bullet"/>
      <w:pStyle w:val="Tabletext-BulletSolidRound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Restart w:val="0"/>
      <w:pStyle w:val="Tabletext-BulletBorderedRound"/>
      <w:lvlText w:val=""/>
      <w:lvlJc w:val="left"/>
      <w:pPr>
        <w:ind w:left="340" w:hanging="170"/>
      </w:pPr>
      <w:rPr>
        <w:rFonts w:ascii="Symbol" w:hAnsi="Symbol" w:hint="default"/>
      </w:rPr>
    </w:lvl>
    <w:lvl w:ilvl="2">
      <w:start w:val="1"/>
      <w:numFmt w:val="none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EDE107B"/>
    <w:multiLevelType w:val="multilevel"/>
    <w:tmpl w:val="D4C66956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>
    <w:nsid w:val="74941E3C"/>
    <w:multiLevelType w:val="hybridMultilevel"/>
    <w:tmpl w:val="5A389A0C"/>
    <w:lvl w:ilvl="0" w:tplc="4B020B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FC7CD18A">
      <w:start w:val="1"/>
      <w:numFmt w:val="lowerLetter"/>
      <w:lvlText w:val="(%3)"/>
      <w:lvlJc w:val="right"/>
      <w:pPr>
        <w:ind w:left="2160" w:hanging="180"/>
      </w:pPr>
      <w:rPr>
        <w:rFonts w:ascii="Calibri" w:eastAsia="Times New Roman" w:hAnsi="Calibri"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4046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853017"/>
    <w:multiLevelType w:val="multilevel"/>
    <w:tmpl w:val="370E9F5C"/>
    <w:lvl w:ilvl="0">
      <w:start w:val="1"/>
      <w:numFmt w:val="none"/>
      <w:pStyle w:val="Tabletext-Cent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3">
      <w:start w:val="1"/>
      <w:numFmt w:val="bullet"/>
      <w:lvlRestart w:val="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4">
      <w:start w:val="1"/>
      <w:numFmt w:val="bullet"/>
      <w:lvlText w:val="­"/>
      <w:lvlJc w:val="left"/>
      <w:pPr>
        <w:tabs>
          <w:tab w:val="num" w:pos="227"/>
        </w:tabs>
        <w:ind w:left="510" w:hanging="226"/>
      </w:pPr>
      <w:rPr>
        <w:rFonts w:ascii="Courier New" w:hAnsi="Courier New" w:hint="default"/>
      </w:rPr>
    </w:lvl>
    <w:lvl w:ilvl="5">
      <w:start w:val="1"/>
      <w:numFmt w:val="none"/>
      <w:lvlText w:val="xxxxxxxxxxxxxxxx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>
    <w:nsid w:val="7BF82239"/>
    <w:multiLevelType w:val="multilevel"/>
    <w:tmpl w:val="2A1CE8B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21"/>
  </w:num>
  <w:num w:numId="4">
    <w:abstractNumId w:val="19"/>
  </w:num>
  <w:num w:numId="5">
    <w:abstractNumId w:val="32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14"/>
  </w:num>
  <w:num w:numId="17">
    <w:abstractNumId w:val="20"/>
  </w:num>
  <w:num w:numId="18">
    <w:abstractNumId w:val="22"/>
  </w:num>
  <w:num w:numId="19">
    <w:abstractNumId w:val="13"/>
  </w:num>
  <w:num w:numId="20">
    <w:abstractNumId w:val="16"/>
  </w:num>
  <w:num w:numId="21">
    <w:abstractNumId w:val="31"/>
  </w:num>
  <w:num w:numId="22">
    <w:abstractNumId w:val="25"/>
  </w:num>
  <w:num w:numId="23">
    <w:abstractNumId w:val="12"/>
  </w:num>
  <w:num w:numId="24">
    <w:abstractNumId w:val="24"/>
  </w:num>
  <w:num w:numId="25">
    <w:abstractNumId w:val="30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6"/>
    </w:lvlOverride>
  </w:num>
  <w:num w:numId="27">
    <w:abstractNumId w:val="28"/>
  </w:num>
  <w:num w:numId="28">
    <w:abstractNumId w:val="17"/>
  </w:num>
  <w:num w:numId="29">
    <w:abstractNumId w:val="23"/>
  </w:num>
  <w:num w:numId="30">
    <w:abstractNumId w:val="10"/>
  </w:num>
  <w:num w:numId="31">
    <w:abstractNumId w:val="24"/>
  </w:num>
  <w:num w:numId="32">
    <w:abstractNumId w:val="27"/>
  </w:num>
  <w:num w:numId="33">
    <w:abstractNumId w:val="24"/>
  </w:num>
  <w:num w:numId="34">
    <w:abstractNumId w:val="26"/>
  </w:num>
  <w:num w:numId="35">
    <w:abstractNumId w:val="24"/>
  </w:num>
  <w:num w:numId="36">
    <w:abstractNumId w:val="24"/>
  </w:num>
  <w:num w:numId="37">
    <w:abstractNumId w:val="9"/>
  </w:num>
  <w:num w:numId="38">
    <w:abstractNumId w:val="24"/>
  </w:num>
  <w:num w:numId="39">
    <w:abstractNumId w:val="18"/>
  </w:num>
  <w:num w:numId="40">
    <w:abstractNumId w:val="33"/>
  </w:num>
  <w:num w:numId="41">
    <w:abstractNumId w:val="24"/>
  </w:num>
  <w:num w:numId="42">
    <w:abstractNumId w:val="24"/>
  </w:num>
  <w:num w:numId="43">
    <w:abstractNumId w:val="24"/>
  </w:num>
  <w:num w:numId="44">
    <w:abstractNumId w:val="24"/>
  </w:num>
  <w:num w:numId="45">
    <w:abstractNumId w:val="24"/>
  </w:num>
  <w:num w:numId="46">
    <w:abstractNumId w:val="24"/>
  </w:num>
  <w:num w:numId="47">
    <w:abstractNumId w:val="24"/>
  </w:num>
  <w:num w:numId="48">
    <w:abstractNumId w:val="24"/>
  </w:num>
  <w:num w:numId="49">
    <w:abstractNumId w:val="24"/>
  </w:num>
  <w:num w:numId="50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oNotTrackMoves/>
  <w:doNotTrackFormatting/>
  <w:documentProtection w:formatting="1" w:enforcement="0"/>
  <w:styleLockTheme/>
  <w:styleLockQFSet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06497"/>
  </w:hdrShapeDefaults>
  <w:footnotePr>
    <w:footnote w:id="-1"/>
    <w:footnote w:id="0"/>
    <w:footnote w:id="1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astSavedAs" w:val="1501400.1"/>
  </w:docVars>
  <w:rsids>
    <w:rsidRoot w:val="00A704FA"/>
    <w:rsid w:val="00003080"/>
    <w:rsid w:val="00003F59"/>
    <w:rsid w:val="000071DD"/>
    <w:rsid w:val="00007F04"/>
    <w:rsid w:val="0001115B"/>
    <w:rsid w:val="00012A73"/>
    <w:rsid w:val="00013F9F"/>
    <w:rsid w:val="00016033"/>
    <w:rsid w:val="00016B11"/>
    <w:rsid w:val="00020ABC"/>
    <w:rsid w:val="00022753"/>
    <w:rsid w:val="00023AB5"/>
    <w:rsid w:val="0002428A"/>
    <w:rsid w:val="00024840"/>
    <w:rsid w:val="00024BAB"/>
    <w:rsid w:val="0002589F"/>
    <w:rsid w:val="00025F5B"/>
    <w:rsid w:val="00026CC0"/>
    <w:rsid w:val="000321C1"/>
    <w:rsid w:val="000336BE"/>
    <w:rsid w:val="0003375B"/>
    <w:rsid w:val="000346BD"/>
    <w:rsid w:val="00035AEE"/>
    <w:rsid w:val="00037CBF"/>
    <w:rsid w:val="00040031"/>
    <w:rsid w:val="00040EA3"/>
    <w:rsid w:val="00042095"/>
    <w:rsid w:val="0004413A"/>
    <w:rsid w:val="00044549"/>
    <w:rsid w:val="00047064"/>
    <w:rsid w:val="00047E1B"/>
    <w:rsid w:val="00050864"/>
    <w:rsid w:val="00051460"/>
    <w:rsid w:val="00051906"/>
    <w:rsid w:val="0005191A"/>
    <w:rsid w:val="00052597"/>
    <w:rsid w:val="0005332B"/>
    <w:rsid w:val="00055F10"/>
    <w:rsid w:val="0005652C"/>
    <w:rsid w:val="00057238"/>
    <w:rsid w:val="00060F6C"/>
    <w:rsid w:val="00060FB4"/>
    <w:rsid w:val="00061802"/>
    <w:rsid w:val="00061AE3"/>
    <w:rsid w:val="0006210D"/>
    <w:rsid w:val="0006213E"/>
    <w:rsid w:val="00062E1E"/>
    <w:rsid w:val="00063773"/>
    <w:rsid w:val="00065ACC"/>
    <w:rsid w:val="00071FCC"/>
    <w:rsid w:val="00072E07"/>
    <w:rsid w:val="00075125"/>
    <w:rsid w:val="00076D41"/>
    <w:rsid w:val="00077AE1"/>
    <w:rsid w:val="00080831"/>
    <w:rsid w:val="000815F8"/>
    <w:rsid w:val="00081708"/>
    <w:rsid w:val="000822DB"/>
    <w:rsid w:val="00084640"/>
    <w:rsid w:val="00084A88"/>
    <w:rsid w:val="000857DD"/>
    <w:rsid w:val="00086710"/>
    <w:rsid w:val="00086E4F"/>
    <w:rsid w:val="000950A3"/>
    <w:rsid w:val="00096B8F"/>
    <w:rsid w:val="00096CDA"/>
    <w:rsid w:val="000973C9"/>
    <w:rsid w:val="00097C66"/>
    <w:rsid w:val="00097E65"/>
    <w:rsid w:val="000A1C73"/>
    <w:rsid w:val="000A267E"/>
    <w:rsid w:val="000A2A0D"/>
    <w:rsid w:val="000A2EDC"/>
    <w:rsid w:val="000A3735"/>
    <w:rsid w:val="000A42B8"/>
    <w:rsid w:val="000A5965"/>
    <w:rsid w:val="000A630A"/>
    <w:rsid w:val="000A7022"/>
    <w:rsid w:val="000A785B"/>
    <w:rsid w:val="000A7DD4"/>
    <w:rsid w:val="000B1DF1"/>
    <w:rsid w:val="000B2C4D"/>
    <w:rsid w:val="000B3560"/>
    <w:rsid w:val="000B3B93"/>
    <w:rsid w:val="000B6871"/>
    <w:rsid w:val="000B7D72"/>
    <w:rsid w:val="000C0BDC"/>
    <w:rsid w:val="000C19C8"/>
    <w:rsid w:val="000C1DA7"/>
    <w:rsid w:val="000C28E7"/>
    <w:rsid w:val="000C47D8"/>
    <w:rsid w:val="000C4995"/>
    <w:rsid w:val="000C4F64"/>
    <w:rsid w:val="000D0515"/>
    <w:rsid w:val="000D0C09"/>
    <w:rsid w:val="000D1847"/>
    <w:rsid w:val="000D2D3E"/>
    <w:rsid w:val="000D6A72"/>
    <w:rsid w:val="000E1B56"/>
    <w:rsid w:val="000E2E04"/>
    <w:rsid w:val="000E3756"/>
    <w:rsid w:val="000E5B11"/>
    <w:rsid w:val="000E66F9"/>
    <w:rsid w:val="000E6D07"/>
    <w:rsid w:val="000F0A0E"/>
    <w:rsid w:val="000F0B1C"/>
    <w:rsid w:val="000F1B97"/>
    <w:rsid w:val="000F1CC8"/>
    <w:rsid w:val="000F2B50"/>
    <w:rsid w:val="000F2BD9"/>
    <w:rsid w:val="000F50AB"/>
    <w:rsid w:val="000F5804"/>
    <w:rsid w:val="000F6BB3"/>
    <w:rsid w:val="0010029D"/>
    <w:rsid w:val="00100BA9"/>
    <w:rsid w:val="00101454"/>
    <w:rsid w:val="001033FC"/>
    <w:rsid w:val="00103D4D"/>
    <w:rsid w:val="001042F4"/>
    <w:rsid w:val="00106CDD"/>
    <w:rsid w:val="00106FDF"/>
    <w:rsid w:val="00107692"/>
    <w:rsid w:val="00110016"/>
    <w:rsid w:val="00110E4F"/>
    <w:rsid w:val="00110E6A"/>
    <w:rsid w:val="001127A0"/>
    <w:rsid w:val="00112A62"/>
    <w:rsid w:val="00113A6A"/>
    <w:rsid w:val="00113BB7"/>
    <w:rsid w:val="00113EEC"/>
    <w:rsid w:val="0011444F"/>
    <w:rsid w:val="00115328"/>
    <w:rsid w:val="0011662C"/>
    <w:rsid w:val="001205DC"/>
    <w:rsid w:val="00123407"/>
    <w:rsid w:val="00125D99"/>
    <w:rsid w:val="0012676C"/>
    <w:rsid w:val="00126942"/>
    <w:rsid w:val="00132564"/>
    <w:rsid w:val="00132FB2"/>
    <w:rsid w:val="00133030"/>
    <w:rsid w:val="001348DF"/>
    <w:rsid w:val="00136352"/>
    <w:rsid w:val="001374D5"/>
    <w:rsid w:val="00144E0B"/>
    <w:rsid w:val="00144E20"/>
    <w:rsid w:val="00145AD7"/>
    <w:rsid w:val="0014651A"/>
    <w:rsid w:val="00147EE6"/>
    <w:rsid w:val="0015005D"/>
    <w:rsid w:val="0015050B"/>
    <w:rsid w:val="00150BB0"/>
    <w:rsid w:val="00150C92"/>
    <w:rsid w:val="00151DC0"/>
    <w:rsid w:val="00152188"/>
    <w:rsid w:val="00153E06"/>
    <w:rsid w:val="001564E9"/>
    <w:rsid w:val="00157429"/>
    <w:rsid w:val="00157D21"/>
    <w:rsid w:val="00160ADF"/>
    <w:rsid w:val="00160E57"/>
    <w:rsid w:val="001616DB"/>
    <w:rsid w:val="001639E4"/>
    <w:rsid w:val="0016407A"/>
    <w:rsid w:val="00164C0F"/>
    <w:rsid w:val="00165A40"/>
    <w:rsid w:val="00166C2E"/>
    <w:rsid w:val="00170F51"/>
    <w:rsid w:val="001731D1"/>
    <w:rsid w:val="00173468"/>
    <w:rsid w:val="00173C44"/>
    <w:rsid w:val="00174EB1"/>
    <w:rsid w:val="00176778"/>
    <w:rsid w:val="00180ACB"/>
    <w:rsid w:val="00180B02"/>
    <w:rsid w:val="00181B5E"/>
    <w:rsid w:val="00184B9A"/>
    <w:rsid w:val="0018779E"/>
    <w:rsid w:val="00187962"/>
    <w:rsid w:val="0018797B"/>
    <w:rsid w:val="001906E8"/>
    <w:rsid w:val="00190F00"/>
    <w:rsid w:val="00192715"/>
    <w:rsid w:val="00196EB7"/>
    <w:rsid w:val="00197390"/>
    <w:rsid w:val="001A0C05"/>
    <w:rsid w:val="001A2D61"/>
    <w:rsid w:val="001A3EE6"/>
    <w:rsid w:val="001A4F33"/>
    <w:rsid w:val="001B0B49"/>
    <w:rsid w:val="001B19AF"/>
    <w:rsid w:val="001B206B"/>
    <w:rsid w:val="001B2465"/>
    <w:rsid w:val="001B291E"/>
    <w:rsid w:val="001B3468"/>
    <w:rsid w:val="001B3E90"/>
    <w:rsid w:val="001B5B75"/>
    <w:rsid w:val="001B6097"/>
    <w:rsid w:val="001B7596"/>
    <w:rsid w:val="001C0571"/>
    <w:rsid w:val="001C1BDC"/>
    <w:rsid w:val="001C1DA2"/>
    <w:rsid w:val="001C47B5"/>
    <w:rsid w:val="001C7CAE"/>
    <w:rsid w:val="001D0325"/>
    <w:rsid w:val="001D0449"/>
    <w:rsid w:val="001D0692"/>
    <w:rsid w:val="001D0A84"/>
    <w:rsid w:val="001D2709"/>
    <w:rsid w:val="001D2C55"/>
    <w:rsid w:val="001D3E48"/>
    <w:rsid w:val="001D4871"/>
    <w:rsid w:val="001D4D8F"/>
    <w:rsid w:val="001D7192"/>
    <w:rsid w:val="001D7FEC"/>
    <w:rsid w:val="001E001B"/>
    <w:rsid w:val="001E0283"/>
    <w:rsid w:val="001E0623"/>
    <w:rsid w:val="001E0B80"/>
    <w:rsid w:val="001E0DF0"/>
    <w:rsid w:val="001E1BD8"/>
    <w:rsid w:val="001E4BD8"/>
    <w:rsid w:val="001E4BE2"/>
    <w:rsid w:val="001E5F0E"/>
    <w:rsid w:val="001E7E4A"/>
    <w:rsid w:val="001F3372"/>
    <w:rsid w:val="001F369C"/>
    <w:rsid w:val="001F4302"/>
    <w:rsid w:val="001F4844"/>
    <w:rsid w:val="001F4893"/>
    <w:rsid w:val="001F7B9D"/>
    <w:rsid w:val="00200993"/>
    <w:rsid w:val="00200CA8"/>
    <w:rsid w:val="00201653"/>
    <w:rsid w:val="00203D7B"/>
    <w:rsid w:val="00204988"/>
    <w:rsid w:val="002052CE"/>
    <w:rsid w:val="00205FF5"/>
    <w:rsid w:val="002060A8"/>
    <w:rsid w:val="002065FD"/>
    <w:rsid w:val="00206D01"/>
    <w:rsid w:val="002103B0"/>
    <w:rsid w:val="0021085C"/>
    <w:rsid w:val="00210CB1"/>
    <w:rsid w:val="00210E00"/>
    <w:rsid w:val="002120E2"/>
    <w:rsid w:val="0021342E"/>
    <w:rsid w:val="00213B3C"/>
    <w:rsid w:val="00215D95"/>
    <w:rsid w:val="002162E3"/>
    <w:rsid w:val="00216CF8"/>
    <w:rsid w:val="0022057E"/>
    <w:rsid w:val="00220713"/>
    <w:rsid w:val="00220773"/>
    <w:rsid w:val="00224451"/>
    <w:rsid w:val="002252ED"/>
    <w:rsid w:val="00225BD8"/>
    <w:rsid w:val="002264C5"/>
    <w:rsid w:val="00226F96"/>
    <w:rsid w:val="00227490"/>
    <w:rsid w:val="002278B1"/>
    <w:rsid w:val="00227913"/>
    <w:rsid w:val="00231427"/>
    <w:rsid w:val="00231760"/>
    <w:rsid w:val="00233556"/>
    <w:rsid w:val="002339AE"/>
    <w:rsid w:val="00233F77"/>
    <w:rsid w:val="00234828"/>
    <w:rsid w:val="00236A7C"/>
    <w:rsid w:val="00236ABC"/>
    <w:rsid w:val="00242C19"/>
    <w:rsid w:val="00243F5B"/>
    <w:rsid w:val="00244F67"/>
    <w:rsid w:val="002462CD"/>
    <w:rsid w:val="00253B0B"/>
    <w:rsid w:val="00254C3C"/>
    <w:rsid w:val="002615A8"/>
    <w:rsid w:val="0026771D"/>
    <w:rsid w:val="00271163"/>
    <w:rsid w:val="0027128E"/>
    <w:rsid w:val="002716F3"/>
    <w:rsid w:val="002770AB"/>
    <w:rsid w:val="00280499"/>
    <w:rsid w:val="00280BDB"/>
    <w:rsid w:val="00284149"/>
    <w:rsid w:val="0028431F"/>
    <w:rsid w:val="0028467C"/>
    <w:rsid w:val="00284B3D"/>
    <w:rsid w:val="00284D47"/>
    <w:rsid w:val="00286FB6"/>
    <w:rsid w:val="00291E47"/>
    <w:rsid w:val="002921CC"/>
    <w:rsid w:val="00293921"/>
    <w:rsid w:val="002945E4"/>
    <w:rsid w:val="00294B53"/>
    <w:rsid w:val="00294F52"/>
    <w:rsid w:val="00295959"/>
    <w:rsid w:val="00296E6A"/>
    <w:rsid w:val="002975BF"/>
    <w:rsid w:val="002A0A4C"/>
    <w:rsid w:val="002A1A49"/>
    <w:rsid w:val="002A3368"/>
    <w:rsid w:val="002A479E"/>
    <w:rsid w:val="002A4F6C"/>
    <w:rsid w:val="002A6848"/>
    <w:rsid w:val="002A7B00"/>
    <w:rsid w:val="002B11A9"/>
    <w:rsid w:val="002B205B"/>
    <w:rsid w:val="002B21F6"/>
    <w:rsid w:val="002B28DD"/>
    <w:rsid w:val="002B2F2F"/>
    <w:rsid w:val="002B4BBB"/>
    <w:rsid w:val="002B4F4A"/>
    <w:rsid w:val="002B61A8"/>
    <w:rsid w:val="002B6227"/>
    <w:rsid w:val="002B69C8"/>
    <w:rsid w:val="002B6BCA"/>
    <w:rsid w:val="002C0250"/>
    <w:rsid w:val="002C09D4"/>
    <w:rsid w:val="002C1204"/>
    <w:rsid w:val="002C22EF"/>
    <w:rsid w:val="002C395A"/>
    <w:rsid w:val="002C4196"/>
    <w:rsid w:val="002C437F"/>
    <w:rsid w:val="002C66E1"/>
    <w:rsid w:val="002C784B"/>
    <w:rsid w:val="002D0AB5"/>
    <w:rsid w:val="002D2BCA"/>
    <w:rsid w:val="002D40A9"/>
    <w:rsid w:val="002D54CA"/>
    <w:rsid w:val="002D5530"/>
    <w:rsid w:val="002D71DE"/>
    <w:rsid w:val="002E0431"/>
    <w:rsid w:val="002E084C"/>
    <w:rsid w:val="002E0CBE"/>
    <w:rsid w:val="002E0F77"/>
    <w:rsid w:val="002E21B9"/>
    <w:rsid w:val="002E23C9"/>
    <w:rsid w:val="002E484D"/>
    <w:rsid w:val="002E79AC"/>
    <w:rsid w:val="002E7B2B"/>
    <w:rsid w:val="002F1821"/>
    <w:rsid w:val="002F1A0A"/>
    <w:rsid w:val="002F1FB7"/>
    <w:rsid w:val="002F2E78"/>
    <w:rsid w:val="002F303D"/>
    <w:rsid w:val="002F40E0"/>
    <w:rsid w:val="002F4656"/>
    <w:rsid w:val="002F5871"/>
    <w:rsid w:val="002F68A7"/>
    <w:rsid w:val="0030130C"/>
    <w:rsid w:val="0030277B"/>
    <w:rsid w:val="00302926"/>
    <w:rsid w:val="00302B4A"/>
    <w:rsid w:val="003040CA"/>
    <w:rsid w:val="003053B8"/>
    <w:rsid w:val="00312A27"/>
    <w:rsid w:val="0031491B"/>
    <w:rsid w:val="00314FA3"/>
    <w:rsid w:val="00315C9F"/>
    <w:rsid w:val="00315F55"/>
    <w:rsid w:val="00316CA9"/>
    <w:rsid w:val="003174B3"/>
    <w:rsid w:val="00321372"/>
    <w:rsid w:val="00321DCB"/>
    <w:rsid w:val="0032280B"/>
    <w:rsid w:val="003262FF"/>
    <w:rsid w:val="0032702F"/>
    <w:rsid w:val="0032716F"/>
    <w:rsid w:val="00327794"/>
    <w:rsid w:val="00330078"/>
    <w:rsid w:val="00333562"/>
    <w:rsid w:val="00333F48"/>
    <w:rsid w:val="00334807"/>
    <w:rsid w:val="0033520A"/>
    <w:rsid w:val="00335DDA"/>
    <w:rsid w:val="00336712"/>
    <w:rsid w:val="003368A5"/>
    <w:rsid w:val="00336CF1"/>
    <w:rsid w:val="00336D02"/>
    <w:rsid w:val="00337620"/>
    <w:rsid w:val="00337804"/>
    <w:rsid w:val="00340747"/>
    <w:rsid w:val="00340AEA"/>
    <w:rsid w:val="00340C07"/>
    <w:rsid w:val="00340DA6"/>
    <w:rsid w:val="00340E47"/>
    <w:rsid w:val="00341098"/>
    <w:rsid w:val="0034136E"/>
    <w:rsid w:val="00343876"/>
    <w:rsid w:val="003448F6"/>
    <w:rsid w:val="003457CE"/>
    <w:rsid w:val="00345F6B"/>
    <w:rsid w:val="00353FFE"/>
    <w:rsid w:val="00354573"/>
    <w:rsid w:val="00354A6A"/>
    <w:rsid w:val="00357074"/>
    <w:rsid w:val="003610F4"/>
    <w:rsid w:val="00363AF4"/>
    <w:rsid w:val="003643AC"/>
    <w:rsid w:val="003646DC"/>
    <w:rsid w:val="003657C6"/>
    <w:rsid w:val="00365EA6"/>
    <w:rsid w:val="0036633C"/>
    <w:rsid w:val="003665D5"/>
    <w:rsid w:val="00374FA2"/>
    <w:rsid w:val="00376755"/>
    <w:rsid w:val="0037698F"/>
    <w:rsid w:val="00376D22"/>
    <w:rsid w:val="00376D85"/>
    <w:rsid w:val="00376E9C"/>
    <w:rsid w:val="00377C93"/>
    <w:rsid w:val="00377EB0"/>
    <w:rsid w:val="00384639"/>
    <w:rsid w:val="003846DD"/>
    <w:rsid w:val="0038703C"/>
    <w:rsid w:val="003875E4"/>
    <w:rsid w:val="00387CDE"/>
    <w:rsid w:val="00390283"/>
    <w:rsid w:val="0039376C"/>
    <w:rsid w:val="00393D60"/>
    <w:rsid w:val="0039538C"/>
    <w:rsid w:val="00396097"/>
    <w:rsid w:val="00396930"/>
    <w:rsid w:val="0039721B"/>
    <w:rsid w:val="003974F8"/>
    <w:rsid w:val="003A18EE"/>
    <w:rsid w:val="003A1AF3"/>
    <w:rsid w:val="003A21E5"/>
    <w:rsid w:val="003A2BC1"/>
    <w:rsid w:val="003A30E2"/>
    <w:rsid w:val="003A4C79"/>
    <w:rsid w:val="003A5DB5"/>
    <w:rsid w:val="003A6697"/>
    <w:rsid w:val="003B3A31"/>
    <w:rsid w:val="003B4624"/>
    <w:rsid w:val="003B5035"/>
    <w:rsid w:val="003B56F4"/>
    <w:rsid w:val="003B5E58"/>
    <w:rsid w:val="003B6A80"/>
    <w:rsid w:val="003C0493"/>
    <w:rsid w:val="003C2499"/>
    <w:rsid w:val="003C2D12"/>
    <w:rsid w:val="003C39A6"/>
    <w:rsid w:val="003C460E"/>
    <w:rsid w:val="003C6AE4"/>
    <w:rsid w:val="003C707C"/>
    <w:rsid w:val="003D12BC"/>
    <w:rsid w:val="003D2361"/>
    <w:rsid w:val="003D36AD"/>
    <w:rsid w:val="003D389E"/>
    <w:rsid w:val="003D68C9"/>
    <w:rsid w:val="003D6DC6"/>
    <w:rsid w:val="003E0C23"/>
    <w:rsid w:val="003E1EDD"/>
    <w:rsid w:val="003E24A4"/>
    <w:rsid w:val="003E3323"/>
    <w:rsid w:val="003E35B0"/>
    <w:rsid w:val="003E4E80"/>
    <w:rsid w:val="003E60B6"/>
    <w:rsid w:val="003E6C82"/>
    <w:rsid w:val="003E7C5A"/>
    <w:rsid w:val="003F1C71"/>
    <w:rsid w:val="003F66FF"/>
    <w:rsid w:val="00400898"/>
    <w:rsid w:val="00401DA7"/>
    <w:rsid w:val="004023BD"/>
    <w:rsid w:val="00402D29"/>
    <w:rsid w:val="00404F2F"/>
    <w:rsid w:val="00405634"/>
    <w:rsid w:val="0040661B"/>
    <w:rsid w:val="00406CF5"/>
    <w:rsid w:val="004071CE"/>
    <w:rsid w:val="00407348"/>
    <w:rsid w:val="004106C9"/>
    <w:rsid w:val="00410BB3"/>
    <w:rsid w:val="00411F0D"/>
    <w:rsid w:val="004124DD"/>
    <w:rsid w:val="004168A8"/>
    <w:rsid w:val="00416972"/>
    <w:rsid w:val="00420574"/>
    <w:rsid w:val="00420C28"/>
    <w:rsid w:val="00420C59"/>
    <w:rsid w:val="00420CDF"/>
    <w:rsid w:val="00423102"/>
    <w:rsid w:val="0042416F"/>
    <w:rsid w:val="00424D63"/>
    <w:rsid w:val="0042608D"/>
    <w:rsid w:val="00426A0D"/>
    <w:rsid w:val="0042748D"/>
    <w:rsid w:val="00427AF2"/>
    <w:rsid w:val="00432103"/>
    <w:rsid w:val="00432240"/>
    <w:rsid w:val="00432A68"/>
    <w:rsid w:val="00436F53"/>
    <w:rsid w:val="00437585"/>
    <w:rsid w:val="004402BD"/>
    <w:rsid w:val="00440E9D"/>
    <w:rsid w:val="00441B99"/>
    <w:rsid w:val="00441DDB"/>
    <w:rsid w:val="004441F1"/>
    <w:rsid w:val="0044662F"/>
    <w:rsid w:val="004476C9"/>
    <w:rsid w:val="00450080"/>
    <w:rsid w:val="00450149"/>
    <w:rsid w:val="00454310"/>
    <w:rsid w:val="004555A3"/>
    <w:rsid w:val="00457116"/>
    <w:rsid w:val="00460704"/>
    <w:rsid w:val="00461065"/>
    <w:rsid w:val="0046330F"/>
    <w:rsid w:val="00464882"/>
    <w:rsid w:val="00464E00"/>
    <w:rsid w:val="00465218"/>
    <w:rsid w:val="004663D5"/>
    <w:rsid w:val="0046730E"/>
    <w:rsid w:val="00467864"/>
    <w:rsid w:val="004702B7"/>
    <w:rsid w:val="004705B3"/>
    <w:rsid w:val="00471F38"/>
    <w:rsid w:val="0047358B"/>
    <w:rsid w:val="00473DF8"/>
    <w:rsid w:val="00473F4B"/>
    <w:rsid w:val="0047704D"/>
    <w:rsid w:val="00485342"/>
    <w:rsid w:val="004854CB"/>
    <w:rsid w:val="00485BFF"/>
    <w:rsid w:val="00485F16"/>
    <w:rsid w:val="00486DE2"/>
    <w:rsid w:val="00487BFE"/>
    <w:rsid w:val="00487D83"/>
    <w:rsid w:val="00492536"/>
    <w:rsid w:val="00495F0E"/>
    <w:rsid w:val="00497F1E"/>
    <w:rsid w:val="004A1E3F"/>
    <w:rsid w:val="004A27DD"/>
    <w:rsid w:val="004A3158"/>
    <w:rsid w:val="004A4028"/>
    <w:rsid w:val="004A613C"/>
    <w:rsid w:val="004A7499"/>
    <w:rsid w:val="004A7B51"/>
    <w:rsid w:val="004A7F92"/>
    <w:rsid w:val="004B1988"/>
    <w:rsid w:val="004B3D25"/>
    <w:rsid w:val="004B5C23"/>
    <w:rsid w:val="004B679D"/>
    <w:rsid w:val="004B7B02"/>
    <w:rsid w:val="004C003D"/>
    <w:rsid w:val="004C0A67"/>
    <w:rsid w:val="004C0DA3"/>
    <w:rsid w:val="004C2F84"/>
    <w:rsid w:val="004C5E35"/>
    <w:rsid w:val="004D08B7"/>
    <w:rsid w:val="004D10DF"/>
    <w:rsid w:val="004D11F0"/>
    <w:rsid w:val="004D1E4B"/>
    <w:rsid w:val="004D429B"/>
    <w:rsid w:val="004D47F5"/>
    <w:rsid w:val="004D4896"/>
    <w:rsid w:val="004D4A1A"/>
    <w:rsid w:val="004D5D18"/>
    <w:rsid w:val="004D659D"/>
    <w:rsid w:val="004E051B"/>
    <w:rsid w:val="004E1516"/>
    <w:rsid w:val="004E47AA"/>
    <w:rsid w:val="004E657A"/>
    <w:rsid w:val="004F211D"/>
    <w:rsid w:val="004F3F78"/>
    <w:rsid w:val="004F4C82"/>
    <w:rsid w:val="004F6C5C"/>
    <w:rsid w:val="004F78D2"/>
    <w:rsid w:val="0050252D"/>
    <w:rsid w:val="00502FBD"/>
    <w:rsid w:val="00503DD0"/>
    <w:rsid w:val="0050487C"/>
    <w:rsid w:val="00504E61"/>
    <w:rsid w:val="00505A95"/>
    <w:rsid w:val="00514143"/>
    <w:rsid w:val="0051517E"/>
    <w:rsid w:val="00515F84"/>
    <w:rsid w:val="005167E2"/>
    <w:rsid w:val="005169E2"/>
    <w:rsid w:val="00516E56"/>
    <w:rsid w:val="005212CF"/>
    <w:rsid w:val="00521D07"/>
    <w:rsid w:val="00522212"/>
    <w:rsid w:val="0052467C"/>
    <w:rsid w:val="005260A0"/>
    <w:rsid w:val="005266E9"/>
    <w:rsid w:val="00526E15"/>
    <w:rsid w:val="005272E5"/>
    <w:rsid w:val="005274F6"/>
    <w:rsid w:val="00530935"/>
    <w:rsid w:val="00532B79"/>
    <w:rsid w:val="00532EAD"/>
    <w:rsid w:val="00533F5E"/>
    <w:rsid w:val="005351A9"/>
    <w:rsid w:val="00535B8C"/>
    <w:rsid w:val="00540457"/>
    <w:rsid w:val="005405F6"/>
    <w:rsid w:val="00541A6C"/>
    <w:rsid w:val="00541FF9"/>
    <w:rsid w:val="00542901"/>
    <w:rsid w:val="00543EB5"/>
    <w:rsid w:val="00547527"/>
    <w:rsid w:val="00550924"/>
    <w:rsid w:val="00551923"/>
    <w:rsid w:val="00552AD1"/>
    <w:rsid w:val="00555008"/>
    <w:rsid w:val="005552B5"/>
    <w:rsid w:val="00555951"/>
    <w:rsid w:val="0055600F"/>
    <w:rsid w:val="005562CF"/>
    <w:rsid w:val="0055654C"/>
    <w:rsid w:val="005568C6"/>
    <w:rsid w:val="00556D66"/>
    <w:rsid w:val="005571BC"/>
    <w:rsid w:val="005578FB"/>
    <w:rsid w:val="00557EA5"/>
    <w:rsid w:val="00557FB4"/>
    <w:rsid w:val="005613F3"/>
    <w:rsid w:val="00561C46"/>
    <w:rsid w:val="005623C2"/>
    <w:rsid w:val="005631D1"/>
    <w:rsid w:val="00564038"/>
    <w:rsid w:val="00564B7C"/>
    <w:rsid w:val="005664A2"/>
    <w:rsid w:val="005667A6"/>
    <w:rsid w:val="00567CD0"/>
    <w:rsid w:val="00572237"/>
    <w:rsid w:val="005737C3"/>
    <w:rsid w:val="00573A78"/>
    <w:rsid w:val="00573B95"/>
    <w:rsid w:val="00580546"/>
    <w:rsid w:val="00581AC3"/>
    <w:rsid w:val="005824B9"/>
    <w:rsid w:val="00582B9A"/>
    <w:rsid w:val="005832C5"/>
    <w:rsid w:val="00583FC4"/>
    <w:rsid w:val="0058612C"/>
    <w:rsid w:val="00590383"/>
    <w:rsid w:val="00591283"/>
    <w:rsid w:val="005923ED"/>
    <w:rsid w:val="0059485A"/>
    <w:rsid w:val="00594B1A"/>
    <w:rsid w:val="005950F4"/>
    <w:rsid w:val="00597656"/>
    <w:rsid w:val="00597936"/>
    <w:rsid w:val="005A1427"/>
    <w:rsid w:val="005A3651"/>
    <w:rsid w:val="005A4387"/>
    <w:rsid w:val="005A4ADF"/>
    <w:rsid w:val="005A63F6"/>
    <w:rsid w:val="005A7262"/>
    <w:rsid w:val="005A7E24"/>
    <w:rsid w:val="005B189A"/>
    <w:rsid w:val="005B1A0B"/>
    <w:rsid w:val="005B1E68"/>
    <w:rsid w:val="005B27C3"/>
    <w:rsid w:val="005B407D"/>
    <w:rsid w:val="005B41EB"/>
    <w:rsid w:val="005C1A08"/>
    <w:rsid w:val="005C21FD"/>
    <w:rsid w:val="005C3D6D"/>
    <w:rsid w:val="005C43A2"/>
    <w:rsid w:val="005C4434"/>
    <w:rsid w:val="005C5216"/>
    <w:rsid w:val="005C7BC8"/>
    <w:rsid w:val="005D0180"/>
    <w:rsid w:val="005D30BE"/>
    <w:rsid w:val="005D4275"/>
    <w:rsid w:val="005D6EC7"/>
    <w:rsid w:val="005E1D33"/>
    <w:rsid w:val="005E2FD1"/>
    <w:rsid w:val="005E3853"/>
    <w:rsid w:val="005E5D20"/>
    <w:rsid w:val="005E60E5"/>
    <w:rsid w:val="005E6F21"/>
    <w:rsid w:val="005F4D03"/>
    <w:rsid w:val="005F5A8A"/>
    <w:rsid w:val="005F5BAC"/>
    <w:rsid w:val="005F6BCD"/>
    <w:rsid w:val="005F70C3"/>
    <w:rsid w:val="005F7D14"/>
    <w:rsid w:val="005F7E80"/>
    <w:rsid w:val="0060516B"/>
    <w:rsid w:val="00606EF5"/>
    <w:rsid w:val="006076EB"/>
    <w:rsid w:val="00607D86"/>
    <w:rsid w:val="00607FBC"/>
    <w:rsid w:val="00611873"/>
    <w:rsid w:val="00612F1C"/>
    <w:rsid w:val="00614E73"/>
    <w:rsid w:val="00614E81"/>
    <w:rsid w:val="0061586A"/>
    <w:rsid w:val="006159BF"/>
    <w:rsid w:val="0061609A"/>
    <w:rsid w:val="00620840"/>
    <w:rsid w:val="0062134D"/>
    <w:rsid w:val="00621BB7"/>
    <w:rsid w:val="00621DB2"/>
    <w:rsid w:val="00622235"/>
    <w:rsid w:val="006236CD"/>
    <w:rsid w:val="00623E9F"/>
    <w:rsid w:val="00625754"/>
    <w:rsid w:val="00625885"/>
    <w:rsid w:val="00626898"/>
    <w:rsid w:val="00626AFD"/>
    <w:rsid w:val="0062778B"/>
    <w:rsid w:val="00627A50"/>
    <w:rsid w:val="00627EED"/>
    <w:rsid w:val="006301C9"/>
    <w:rsid w:val="0063062B"/>
    <w:rsid w:val="006326BF"/>
    <w:rsid w:val="00632B58"/>
    <w:rsid w:val="00633092"/>
    <w:rsid w:val="006334CE"/>
    <w:rsid w:val="00633B7C"/>
    <w:rsid w:val="0063429A"/>
    <w:rsid w:val="0063653C"/>
    <w:rsid w:val="00636876"/>
    <w:rsid w:val="006372C4"/>
    <w:rsid w:val="00640DD6"/>
    <w:rsid w:val="00641836"/>
    <w:rsid w:val="00642012"/>
    <w:rsid w:val="00642BF5"/>
    <w:rsid w:val="0064355F"/>
    <w:rsid w:val="006435F7"/>
    <w:rsid w:val="00644926"/>
    <w:rsid w:val="00644AB2"/>
    <w:rsid w:val="006469BA"/>
    <w:rsid w:val="00647808"/>
    <w:rsid w:val="00651707"/>
    <w:rsid w:val="00652898"/>
    <w:rsid w:val="006566E6"/>
    <w:rsid w:val="00656985"/>
    <w:rsid w:val="00656A58"/>
    <w:rsid w:val="0065792E"/>
    <w:rsid w:val="00661567"/>
    <w:rsid w:val="00664336"/>
    <w:rsid w:val="00664A5A"/>
    <w:rsid w:val="00664C52"/>
    <w:rsid w:val="00664FE5"/>
    <w:rsid w:val="00665EBC"/>
    <w:rsid w:val="006670FE"/>
    <w:rsid w:val="00667728"/>
    <w:rsid w:val="006716CA"/>
    <w:rsid w:val="006723CC"/>
    <w:rsid w:val="00672805"/>
    <w:rsid w:val="006737BB"/>
    <w:rsid w:val="006743DA"/>
    <w:rsid w:val="00674690"/>
    <w:rsid w:val="00675502"/>
    <w:rsid w:val="0067561E"/>
    <w:rsid w:val="006761B1"/>
    <w:rsid w:val="0068087C"/>
    <w:rsid w:val="00680BB2"/>
    <w:rsid w:val="00680BFA"/>
    <w:rsid w:val="0068140D"/>
    <w:rsid w:val="0068183B"/>
    <w:rsid w:val="0068252D"/>
    <w:rsid w:val="006832EF"/>
    <w:rsid w:val="00684827"/>
    <w:rsid w:val="0068641C"/>
    <w:rsid w:val="00686529"/>
    <w:rsid w:val="00690EBE"/>
    <w:rsid w:val="00691E55"/>
    <w:rsid w:val="006925E7"/>
    <w:rsid w:val="00692A0D"/>
    <w:rsid w:val="00694C87"/>
    <w:rsid w:val="00694DD9"/>
    <w:rsid w:val="00695647"/>
    <w:rsid w:val="006A037A"/>
    <w:rsid w:val="006A03D2"/>
    <w:rsid w:val="006A1914"/>
    <w:rsid w:val="006A29FB"/>
    <w:rsid w:val="006A2AC3"/>
    <w:rsid w:val="006A3016"/>
    <w:rsid w:val="006A5B66"/>
    <w:rsid w:val="006B00FB"/>
    <w:rsid w:val="006B02CB"/>
    <w:rsid w:val="006B040E"/>
    <w:rsid w:val="006B0A3E"/>
    <w:rsid w:val="006B2212"/>
    <w:rsid w:val="006B61FC"/>
    <w:rsid w:val="006C2764"/>
    <w:rsid w:val="006C2C8A"/>
    <w:rsid w:val="006C2CFC"/>
    <w:rsid w:val="006C39C4"/>
    <w:rsid w:val="006C4651"/>
    <w:rsid w:val="006C48C7"/>
    <w:rsid w:val="006C48E7"/>
    <w:rsid w:val="006C4FB4"/>
    <w:rsid w:val="006C5CBA"/>
    <w:rsid w:val="006C6168"/>
    <w:rsid w:val="006C7262"/>
    <w:rsid w:val="006C754A"/>
    <w:rsid w:val="006C7834"/>
    <w:rsid w:val="006C7C45"/>
    <w:rsid w:val="006D02CE"/>
    <w:rsid w:val="006D04C1"/>
    <w:rsid w:val="006D0820"/>
    <w:rsid w:val="006D0B07"/>
    <w:rsid w:val="006D2555"/>
    <w:rsid w:val="006D2854"/>
    <w:rsid w:val="006D67F6"/>
    <w:rsid w:val="006E0C24"/>
    <w:rsid w:val="006E1193"/>
    <w:rsid w:val="006E30A0"/>
    <w:rsid w:val="006E385F"/>
    <w:rsid w:val="006E3AD4"/>
    <w:rsid w:val="006E476F"/>
    <w:rsid w:val="006E5884"/>
    <w:rsid w:val="006E68E5"/>
    <w:rsid w:val="006E77E2"/>
    <w:rsid w:val="006F0ABA"/>
    <w:rsid w:val="006F1577"/>
    <w:rsid w:val="006F3A95"/>
    <w:rsid w:val="006F428F"/>
    <w:rsid w:val="006F4324"/>
    <w:rsid w:val="006F6835"/>
    <w:rsid w:val="00700078"/>
    <w:rsid w:val="00700D1A"/>
    <w:rsid w:val="00701E9A"/>
    <w:rsid w:val="007032BB"/>
    <w:rsid w:val="007040D4"/>
    <w:rsid w:val="007043F5"/>
    <w:rsid w:val="0070525E"/>
    <w:rsid w:val="007052A9"/>
    <w:rsid w:val="007058FF"/>
    <w:rsid w:val="00706417"/>
    <w:rsid w:val="0070761D"/>
    <w:rsid w:val="007113F9"/>
    <w:rsid w:val="007134C3"/>
    <w:rsid w:val="00713934"/>
    <w:rsid w:val="0071497D"/>
    <w:rsid w:val="0071693A"/>
    <w:rsid w:val="00716CB9"/>
    <w:rsid w:val="007218BE"/>
    <w:rsid w:val="00721B89"/>
    <w:rsid w:val="00722266"/>
    <w:rsid w:val="00724413"/>
    <w:rsid w:val="00726E58"/>
    <w:rsid w:val="00730D52"/>
    <w:rsid w:val="007326FC"/>
    <w:rsid w:val="00733931"/>
    <w:rsid w:val="007345B1"/>
    <w:rsid w:val="00734674"/>
    <w:rsid w:val="00736605"/>
    <w:rsid w:val="00737BA7"/>
    <w:rsid w:val="00740FC2"/>
    <w:rsid w:val="00741F32"/>
    <w:rsid w:val="007435CB"/>
    <w:rsid w:val="007437A1"/>
    <w:rsid w:val="00746E73"/>
    <w:rsid w:val="00750050"/>
    <w:rsid w:val="007500BA"/>
    <w:rsid w:val="0075014D"/>
    <w:rsid w:val="00750532"/>
    <w:rsid w:val="00750CC1"/>
    <w:rsid w:val="00750F25"/>
    <w:rsid w:val="007516BB"/>
    <w:rsid w:val="007518D9"/>
    <w:rsid w:val="00752BDD"/>
    <w:rsid w:val="00753DA4"/>
    <w:rsid w:val="007571F5"/>
    <w:rsid w:val="00761BDE"/>
    <w:rsid w:val="00761C50"/>
    <w:rsid w:val="00763B3A"/>
    <w:rsid w:val="0076422C"/>
    <w:rsid w:val="00765EC7"/>
    <w:rsid w:val="00765F94"/>
    <w:rsid w:val="0076710F"/>
    <w:rsid w:val="0076730B"/>
    <w:rsid w:val="00767780"/>
    <w:rsid w:val="00770DFD"/>
    <w:rsid w:val="00771F11"/>
    <w:rsid w:val="00772471"/>
    <w:rsid w:val="00772F64"/>
    <w:rsid w:val="007743DB"/>
    <w:rsid w:val="00774BF1"/>
    <w:rsid w:val="00775A4D"/>
    <w:rsid w:val="0077725F"/>
    <w:rsid w:val="00780747"/>
    <w:rsid w:val="00780E7A"/>
    <w:rsid w:val="00783C82"/>
    <w:rsid w:val="0079134F"/>
    <w:rsid w:val="00791EDF"/>
    <w:rsid w:val="00791FE9"/>
    <w:rsid w:val="0079236C"/>
    <w:rsid w:val="00793C88"/>
    <w:rsid w:val="00795A50"/>
    <w:rsid w:val="00795CE4"/>
    <w:rsid w:val="00796C87"/>
    <w:rsid w:val="00797E74"/>
    <w:rsid w:val="007A08F8"/>
    <w:rsid w:val="007A0981"/>
    <w:rsid w:val="007A0AA6"/>
    <w:rsid w:val="007A0D9A"/>
    <w:rsid w:val="007A1558"/>
    <w:rsid w:val="007B06A9"/>
    <w:rsid w:val="007B06BD"/>
    <w:rsid w:val="007B087E"/>
    <w:rsid w:val="007B725A"/>
    <w:rsid w:val="007B784F"/>
    <w:rsid w:val="007B7A6D"/>
    <w:rsid w:val="007C0CA1"/>
    <w:rsid w:val="007C10CD"/>
    <w:rsid w:val="007C2A6C"/>
    <w:rsid w:val="007C48CD"/>
    <w:rsid w:val="007C50C1"/>
    <w:rsid w:val="007C5B39"/>
    <w:rsid w:val="007C6A3D"/>
    <w:rsid w:val="007C70AC"/>
    <w:rsid w:val="007C7124"/>
    <w:rsid w:val="007C7BB2"/>
    <w:rsid w:val="007C7EA7"/>
    <w:rsid w:val="007D004C"/>
    <w:rsid w:val="007D0771"/>
    <w:rsid w:val="007D0F16"/>
    <w:rsid w:val="007D15DF"/>
    <w:rsid w:val="007D2049"/>
    <w:rsid w:val="007D2609"/>
    <w:rsid w:val="007D410B"/>
    <w:rsid w:val="007D57A4"/>
    <w:rsid w:val="007E1643"/>
    <w:rsid w:val="007E34A7"/>
    <w:rsid w:val="007E4A68"/>
    <w:rsid w:val="007E52E9"/>
    <w:rsid w:val="007E533E"/>
    <w:rsid w:val="007E5C31"/>
    <w:rsid w:val="007E66B7"/>
    <w:rsid w:val="007E6737"/>
    <w:rsid w:val="007E7470"/>
    <w:rsid w:val="007F05BE"/>
    <w:rsid w:val="007F074D"/>
    <w:rsid w:val="007F2300"/>
    <w:rsid w:val="007F2DEE"/>
    <w:rsid w:val="007F32F9"/>
    <w:rsid w:val="007F3828"/>
    <w:rsid w:val="007F3E06"/>
    <w:rsid w:val="007F3F7A"/>
    <w:rsid w:val="007F6144"/>
    <w:rsid w:val="007F6486"/>
    <w:rsid w:val="007F7099"/>
    <w:rsid w:val="007F799C"/>
    <w:rsid w:val="0080132F"/>
    <w:rsid w:val="0080135E"/>
    <w:rsid w:val="008016FC"/>
    <w:rsid w:val="0080259E"/>
    <w:rsid w:val="00802695"/>
    <w:rsid w:val="00804584"/>
    <w:rsid w:val="008055A2"/>
    <w:rsid w:val="00805615"/>
    <w:rsid w:val="00810B35"/>
    <w:rsid w:val="0081141C"/>
    <w:rsid w:val="008135B9"/>
    <w:rsid w:val="00813F29"/>
    <w:rsid w:val="00814079"/>
    <w:rsid w:val="008177A0"/>
    <w:rsid w:val="008215D1"/>
    <w:rsid w:val="00822AB3"/>
    <w:rsid w:val="00824C13"/>
    <w:rsid w:val="00825FBA"/>
    <w:rsid w:val="00826F52"/>
    <w:rsid w:val="00827418"/>
    <w:rsid w:val="00827FB7"/>
    <w:rsid w:val="00830324"/>
    <w:rsid w:val="008319E1"/>
    <w:rsid w:val="00832B00"/>
    <w:rsid w:val="008355AF"/>
    <w:rsid w:val="008357E9"/>
    <w:rsid w:val="00835D3B"/>
    <w:rsid w:val="00836CEC"/>
    <w:rsid w:val="00836E55"/>
    <w:rsid w:val="00837742"/>
    <w:rsid w:val="008379F7"/>
    <w:rsid w:val="0084135E"/>
    <w:rsid w:val="008421D9"/>
    <w:rsid w:val="0084252A"/>
    <w:rsid w:val="00842A3C"/>
    <w:rsid w:val="00842F24"/>
    <w:rsid w:val="00843310"/>
    <w:rsid w:val="00846A31"/>
    <w:rsid w:val="00850AEE"/>
    <w:rsid w:val="008513BB"/>
    <w:rsid w:val="00853D6F"/>
    <w:rsid w:val="0086089D"/>
    <w:rsid w:val="00860DFD"/>
    <w:rsid w:val="00863945"/>
    <w:rsid w:val="00866FA6"/>
    <w:rsid w:val="00867209"/>
    <w:rsid w:val="00867517"/>
    <w:rsid w:val="00867DBD"/>
    <w:rsid w:val="00871917"/>
    <w:rsid w:val="00872DF5"/>
    <w:rsid w:val="00873C18"/>
    <w:rsid w:val="008752A2"/>
    <w:rsid w:val="00875B27"/>
    <w:rsid w:val="00876938"/>
    <w:rsid w:val="00880985"/>
    <w:rsid w:val="00880A2D"/>
    <w:rsid w:val="00881082"/>
    <w:rsid w:val="00882572"/>
    <w:rsid w:val="00883CA9"/>
    <w:rsid w:val="00884231"/>
    <w:rsid w:val="00884286"/>
    <w:rsid w:val="0088582C"/>
    <w:rsid w:val="00886006"/>
    <w:rsid w:val="0088627C"/>
    <w:rsid w:val="00891B28"/>
    <w:rsid w:val="00895360"/>
    <w:rsid w:val="008971E5"/>
    <w:rsid w:val="008978FE"/>
    <w:rsid w:val="008A0774"/>
    <w:rsid w:val="008A0FEF"/>
    <w:rsid w:val="008A1F89"/>
    <w:rsid w:val="008A36A6"/>
    <w:rsid w:val="008A4404"/>
    <w:rsid w:val="008A6C67"/>
    <w:rsid w:val="008B154B"/>
    <w:rsid w:val="008B6E2D"/>
    <w:rsid w:val="008B7718"/>
    <w:rsid w:val="008B7935"/>
    <w:rsid w:val="008C1B77"/>
    <w:rsid w:val="008C3BBF"/>
    <w:rsid w:val="008C3E97"/>
    <w:rsid w:val="008C4A3E"/>
    <w:rsid w:val="008C4E1D"/>
    <w:rsid w:val="008C6D54"/>
    <w:rsid w:val="008C77D5"/>
    <w:rsid w:val="008D2DDF"/>
    <w:rsid w:val="008D52A9"/>
    <w:rsid w:val="008D696F"/>
    <w:rsid w:val="008D6C12"/>
    <w:rsid w:val="008E1D6F"/>
    <w:rsid w:val="008E1D9E"/>
    <w:rsid w:val="008E1FE7"/>
    <w:rsid w:val="008E254B"/>
    <w:rsid w:val="008E36EB"/>
    <w:rsid w:val="008E3848"/>
    <w:rsid w:val="008E4DF4"/>
    <w:rsid w:val="008F01CD"/>
    <w:rsid w:val="008F0AD0"/>
    <w:rsid w:val="008F1373"/>
    <w:rsid w:val="008F3D6D"/>
    <w:rsid w:val="008F49CB"/>
    <w:rsid w:val="008F5F88"/>
    <w:rsid w:val="00900833"/>
    <w:rsid w:val="0090142F"/>
    <w:rsid w:val="00901603"/>
    <w:rsid w:val="00902836"/>
    <w:rsid w:val="009034E3"/>
    <w:rsid w:val="0090396F"/>
    <w:rsid w:val="00904F63"/>
    <w:rsid w:val="00905235"/>
    <w:rsid w:val="009061DD"/>
    <w:rsid w:val="00906338"/>
    <w:rsid w:val="00906996"/>
    <w:rsid w:val="00910971"/>
    <w:rsid w:val="0091166D"/>
    <w:rsid w:val="00911B07"/>
    <w:rsid w:val="00912130"/>
    <w:rsid w:val="0091310B"/>
    <w:rsid w:val="00917381"/>
    <w:rsid w:val="0091741B"/>
    <w:rsid w:val="0091793C"/>
    <w:rsid w:val="009208D5"/>
    <w:rsid w:val="009209EB"/>
    <w:rsid w:val="00920FC5"/>
    <w:rsid w:val="009211EB"/>
    <w:rsid w:val="00921337"/>
    <w:rsid w:val="00921C45"/>
    <w:rsid w:val="009229AF"/>
    <w:rsid w:val="009231CE"/>
    <w:rsid w:val="0092443E"/>
    <w:rsid w:val="009244AF"/>
    <w:rsid w:val="00924CCC"/>
    <w:rsid w:val="00926F8C"/>
    <w:rsid w:val="00927F27"/>
    <w:rsid w:val="00931756"/>
    <w:rsid w:val="00931BEB"/>
    <w:rsid w:val="00932164"/>
    <w:rsid w:val="00932EF7"/>
    <w:rsid w:val="00934144"/>
    <w:rsid w:val="00936CF0"/>
    <w:rsid w:val="00940C23"/>
    <w:rsid w:val="00940CF8"/>
    <w:rsid w:val="00941A98"/>
    <w:rsid w:val="00942183"/>
    <w:rsid w:val="009429E7"/>
    <w:rsid w:val="00942DE8"/>
    <w:rsid w:val="0094429E"/>
    <w:rsid w:val="00944B16"/>
    <w:rsid w:val="00945287"/>
    <w:rsid w:val="00945C86"/>
    <w:rsid w:val="0094697E"/>
    <w:rsid w:val="00947A69"/>
    <w:rsid w:val="00950A7B"/>
    <w:rsid w:val="009514B4"/>
    <w:rsid w:val="00951854"/>
    <w:rsid w:val="00953A7B"/>
    <w:rsid w:val="009548A2"/>
    <w:rsid w:val="00955CE2"/>
    <w:rsid w:val="00955E66"/>
    <w:rsid w:val="00956436"/>
    <w:rsid w:val="00956BB3"/>
    <w:rsid w:val="00960646"/>
    <w:rsid w:val="009655BC"/>
    <w:rsid w:val="009659C1"/>
    <w:rsid w:val="00966691"/>
    <w:rsid w:val="00971775"/>
    <w:rsid w:val="0097206C"/>
    <w:rsid w:val="00974F0E"/>
    <w:rsid w:val="00977F68"/>
    <w:rsid w:val="00982FB0"/>
    <w:rsid w:val="009842DA"/>
    <w:rsid w:val="00984378"/>
    <w:rsid w:val="00984459"/>
    <w:rsid w:val="00985B5B"/>
    <w:rsid w:val="009942C6"/>
    <w:rsid w:val="00995F85"/>
    <w:rsid w:val="009963E9"/>
    <w:rsid w:val="009A1B40"/>
    <w:rsid w:val="009A24F6"/>
    <w:rsid w:val="009A37F3"/>
    <w:rsid w:val="009B1769"/>
    <w:rsid w:val="009B3BCD"/>
    <w:rsid w:val="009B4F07"/>
    <w:rsid w:val="009B6398"/>
    <w:rsid w:val="009C1246"/>
    <w:rsid w:val="009C41AB"/>
    <w:rsid w:val="009D0687"/>
    <w:rsid w:val="009D0870"/>
    <w:rsid w:val="009D0900"/>
    <w:rsid w:val="009D158D"/>
    <w:rsid w:val="009D2721"/>
    <w:rsid w:val="009D3835"/>
    <w:rsid w:val="009D3AB9"/>
    <w:rsid w:val="009D63DD"/>
    <w:rsid w:val="009D640B"/>
    <w:rsid w:val="009E164F"/>
    <w:rsid w:val="009E2647"/>
    <w:rsid w:val="009E345F"/>
    <w:rsid w:val="009E3A46"/>
    <w:rsid w:val="009E3CFB"/>
    <w:rsid w:val="009E3D6C"/>
    <w:rsid w:val="009E6529"/>
    <w:rsid w:val="009E7484"/>
    <w:rsid w:val="009F2014"/>
    <w:rsid w:val="009F5490"/>
    <w:rsid w:val="00A05640"/>
    <w:rsid w:val="00A1233E"/>
    <w:rsid w:val="00A164D2"/>
    <w:rsid w:val="00A1704A"/>
    <w:rsid w:val="00A21AC4"/>
    <w:rsid w:val="00A21C05"/>
    <w:rsid w:val="00A2212A"/>
    <w:rsid w:val="00A227CC"/>
    <w:rsid w:val="00A22E5E"/>
    <w:rsid w:val="00A23D69"/>
    <w:rsid w:val="00A2427E"/>
    <w:rsid w:val="00A266E5"/>
    <w:rsid w:val="00A26FBD"/>
    <w:rsid w:val="00A2721C"/>
    <w:rsid w:val="00A27A7F"/>
    <w:rsid w:val="00A30B98"/>
    <w:rsid w:val="00A31A48"/>
    <w:rsid w:val="00A31C71"/>
    <w:rsid w:val="00A33914"/>
    <w:rsid w:val="00A33E52"/>
    <w:rsid w:val="00A3738D"/>
    <w:rsid w:val="00A41D99"/>
    <w:rsid w:val="00A422D2"/>
    <w:rsid w:val="00A42CDD"/>
    <w:rsid w:val="00A42EF1"/>
    <w:rsid w:val="00A44E18"/>
    <w:rsid w:val="00A45394"/>
    <w:rsid w:val="00A45427"/>
    <w:rsid w:val="00A462FC"/>
    <w:rsid w:val="00A470D0"/>
    <w:rsid w:val="00A5046A"/>
    <w:rsid w:val="00A5096D"/>
    <w:rsid w:val="00A525BB"/>
    <w:rsid w:val="00A532F6"/>
    <w:rsid w:val="00A53E0C"/>
    <w:rsid w:val="00A5523F"/>
    <w:rsid w:val="00A558C5"/>
    <w:rsid w:val="00A571A9"/>
    <w:rsid w:val="00A577E9"/>
    <w:rsid w:val="00A600F9"/>
    <w:rsid w:val="00A611F7"/>
    <w:rsid w:val="00A61A56"/>
    <w:rsid w:val="00A621E8"/>
    <w:rsid w:val="00A62BF2"/>
    <w:rsid w:val="00A6419A"/>
    <w:rsid w:val="00A661AB"/>
    <w:rsid w:val="00A6775B"/>
    <w:rsid w:val="00A704FA"/>
    <w:rsid w:val="00A70D1F"/>
    <w:rsid w:val="00A7124D"/>
    <w:rsid w:val="00A71F2E"/>
    <w:rsid w:val="00A7298A"/>
    <w:rsid w:val="00A72EDB"/>
    <w:rsid w:val="00A73B82"/>
    <w:rsid w:val="00A73D96"/>
    <w:rsid w:val="00A74896"/>
    <w:rsid w:val="00A74E94"/>
    <w:rsid w:val="00A77820"/>
    <w:rsid w:val="00A81149"/>
    <w:rsid w:val="00A82AF8"/>
    <w:rsid w:val="00A85773"/>
    <w:rsid w:val="00A863CB"/>
    <w:rsid w:val="00A87300"/>
    <w:rsid w:val="00A95F4C"/>
    <w:rsid w:val="00AA1CD5"/>
    <w:rsid w:val="00AA467B"/>
    <w:rsid w:val="00AA5F3D"/>
    <w:rsid w:val="00AA742B"/>
    <w:rsid w:val="00AB29B5"/>
    <w:rsid w:val="00AB4AC7"/>
    <w:rsid w:val="00AB5227"/>
    <w:rsid w:val="00AB5EF9"/>
    <w:rsid w:val="00AB7DDD"/>
    <w:rsid w:val="00AC1250"/>
    <w:rsid w:val="00AC14B8"/>
    <w:rsid w:val="00AC1A0E"/>
    <w:rsid w:val="00AC1F7C"/>
    <w:rsid w:val="00AC228C"/>
    <w:rsid w:val="00AC4EEB"/>
    <w:rsid w:val="00AC5245"/>
    <w:rsid w:val="00AC7BC1"/>
    <w:rsid w:val="00AD2A7D"/>
    <w:rsid w:val="00AD3BA3"/>
    <w:rsid w:val="00AD3BD4"/>
    <w:rsid w:val="00AD3FAF"/>
    <w:rsid w:val="00AD458F"/>
    <w:rsid w:val="00AE0A85"/>
    <w:rsid w:val="00AE33D1"/>
    <w:rsid w:val="00AE3A0D"/>
    <w:rsid w:val="00AE42B8"/>
    <w:rsid w:val="00AE4714"/>
    <w:rsid w:val="00AE5E19"/>
    <w:rsid w:val="00AF1A46"/>
    <w:rsid w:val="00AF2BBD"/>
    <w:rsid w:val="00AF312B"/>
    <w:rsid w:val="00AF31DF"/>
    <w:rsid w:val="00AF4C31"/>
    <w:rsid w:val="00AF709A"/>
    <w:rsid w:val="00B00C81"/>
    <w:rsid w:val="00B00CC1"/>
    <w:rsid w:val="00B01758"/>
    <w:rsid w:val="00B0190F"/>
    <w:rsid w:val="00B0267E"/>
    <w:rsid w:val="00B0407F"/>
    <w:rsid w:val="00B051C0"/>
    <w:rsid w:val="00B060EB"/>
    <w:rsid w:val="00B07C98"/>
    <w:rsid w:val="00B13B48"/>
    <w:rsid w:val="00B13E86"/>
    <w:rsid w:val="00B1438B"/>
    <w:rsid w:val="00B1488E"/>
    <w:rsid w:val="00B14DCD"/>
    <w:rsid w:val="00B15B9A"/>
    <w:rsid w:val="00B174D7"/>
    <w:rsid w:val="00B17C2A"/>
    <w:rsid w:val="00B21D44"/>
    <w:rsid w:val="00B21FEA"/>
    <w:rsid w:val="00B224F6"/>
    <w:rsid w:val="00B237FC"/>
    <w:rsid w:val="00B246BF"/>
    <w:rsid w:val="00B24E8D"/>
    <w:rsid w:val="00B321C0"/>
    <w:rsid w:val="00B326D4"/>
    <w:rsid w:val="00B33BE3"/>
    <w:rsid w:val="00B36425"/>
    <w:rsid w:val="00B37548"/>
    <w:rsid w:val="00B37B2A"/>
    <w:rsid w:val="00B41782"/>
    <w:rsid w:val="00B41E2B"/>
    <w:rsid w:val="00B42436"/>
    <w:rsid w:val="00B44A4B"/>
    <w:rsid w:val="00B44CBF"/>
    <w:rsid w:val="00B4542F"/>
    <w:rsid w:val="00B45B38"/>
    <w:rsid w:val="00B46123"/>
    <w:rsid w:val="00B47C38"/>
    <w:rsid w:val="00B507B5"/>
    <w:rsid w:val="00B507EC"/>
    <w:rsid w:val="00B5163E"/>
    <w:rsid w:val="00B51B1C"/>
    <w:rsid w:val="00B52DF3"/>
    <w:rsid w:val="00B54254"/>
    <w:rsid w:val="00B54A92"/>
    <w:rsid w:val="00B553DE"/>
    <w:rsid w:val="00B55FBF"/>
    <w:rsid w:val="00B56158"/>
    <w:rsid w:val="00B56164"/>
    <w:rsid w:val="00B575DB"/>
    <w:rsid w:val="00B57CA2"/>
    <w:rsid w:val="00B61934"/>
    <w:rsid w:val="00B62730"/>
    <w:rsid w:val="00B62D6F"/>
    <w:rsid w:val="00B63089"/>
    <w:rsid w:val="00B638C9"/>
    <w:rsid w:val="00B64457"/>
    <w:rsid w:val="00B64B56"/>
    <w:rsid w:val="00B6555E"/>
    <w:rsid w:val="00B67EA8"/>
    <w:rsid w:val="00B702D0"/>
    <w:rsid w:val="00B70B3B"/>
    <w:rsid w:val="00B70CB1"/>
    <w:rsid w:val="00B71CF2"/>
    <w:rsid w:val="00B71D1A"/>
    <w:rsid w:val="00B75290"/>
    <w:rsid w:val="00B76A32"/>
    <w:rsid w:val="00B77ADD"/>
    <w:rsid w:val="00B81660"/>
    <w:rsid w:val="00B8185B"/>
    <w:rsid w:val="00B83617"/>
    <w:rsid w:val="00B839AA"/>
    <w:rsid w:val="00B8530B"/>
    <w:rsid w:val="00B85497"/>
    <w:rsid w:val="00B86508"/>
    <w:rsid w:val="00B86531"/>
    <w:rsid w:val="00B872B2"/>
    <w:rsid w:val="00B875E9"/>
    <w:rsid w:val="00B87866"/>
    <w:rsid w:val="00B90314"/>
    <w:rsid w:val="00B92FC7"/>
    <w:rsid w:val="00B93977"/>
    <w:rsid w:val="00B956D4"/>
    <w:rsid w:val="00B97CC2"/>
    <w:rsid w:val="00B97CE4"/>
    <w:rsid w:val="00B97E2F"/>
    <w:rsid w:val="00BA0AD3"/>
    <w:rsid w:val="00BA0B40"/>
    <w:rsid w:val="00BA14F2"/>
    <w:rsid w:val="00BA1E25"/>
    <w:rsid w:val="00BA3CD4"/>
    <w:rsid w:val="00BA4E42"/>
    <w:rsid w:val="00BA5BA0"/>
    <w:rsid w:val="00BA72CD"/>
    <w:rsid w:val="00BB21A2"/>
    <w:rsid w:val="00BB2E23"/>
    <w:rsid w:val="00BB41B6"/>
    <w:rsid w:val="00BB4834"/>
    <w:rsid w:val="00BB6B52"/>
    <w:rsid w:val="00BB6DF7"/>
    <w:rsid w:val="00BB72B2"/>
    <w:rsid w:val="00BC23EA"/>
    <w:rsid w:val="00BC25C0"/>
    <w:rsid w:val="00BC2639"/>
    <w:rsid w:val="00BC3AF2"/>
    <w:rsid w:val="00BC4FCE"/>
    <w:rsid w:val="00BC5788"/>
    <w:rsid w:val="00BC5E00"/>
    <w:rsid w:val="00BC6B3F"/>
    <w:rsid w:val="00BD1950"/>
    <w:rsid w:val="00BD2CDE"/>
    <w:rsid w:val="00BD408C"/>
    <w:rsid w:val="00BD5E62"/>
    <w:rsid w:val="00BD68BF"/>
    <w:rsid w:val="00BE1186"/>
    <w:rsid w:val="00BE3D58"/>
    <w:rsid w:val="00BE516B"/>
    <w:rsid w:val="00BE7CF7"/>
    <w:rsid w:val="00BF0D27"/>
    <w:rsid w:val="00BF1433"/>
    <w:rsid w:val="00BF2128"/>
    <w:rsid w:val="00BF3B58"/>
    <w:rsid w:val="00BF45B5"/>
    <w:rsid w:val="00BF4EBE"/>
    <w:rsid w:val="00BF5A82"/>
    <w:rsid w:val="00C01FDC"/>
    <w:rsid w:val="00C02C5D"/>
    <w:rsid w:val="00C069DC"/>
    <w:rsid w:val="00C0757B"/>
    <w:rsid w:val="00C0766E"/>
    <w:rsid w:val="00C11222"/>
    <w:rsid w:val="00C1226C"/>
    <w:rsid w:val="00C132F9"/>
    <w:rsid w:val="00C13D99"/>
    <w:rsid w:val="00C14711"/>
    <w:rsid w:val="00C15558"/>
    <w:rsid w:val="00C16AB4"/>
    <w:rsid w:val="00C1784E"/>
    <w:rsid w:val="00C17DA0"/>
    <w:rsid w:val="00C20497"/>
    <w:rsid w:val="00C21CA6"/>
    <w:rsid w:val="00C221EF"/>
    <w:rsid w:val="00C235E6"/>
    <w:rsid w:val="00C23A0D"/>
    <w:rsid w:val="00C2558F"/>
    <w:rsid w:val="00C257FB"/>
    <w:rsid w:val="00C25BA0"/>
    <w:rsid w:val="00C25F3D"/>
    <w:rsid w:val="00C310DD"/>
    <w:rsid w:val="00C36215"/>
    <w:rsid w:val="00C37876"/>
    <w:rsid w:val="00C37E7B"/>
    <w:rsid w:val="00C4214E"/>
    <w:rsid w:val="00C426B3"/>
    <w:rsid w:val="00C42B0E"/>
    <w:rsid w:val="00C434E6"/>
    <w:rsid w:val="00C436FB"/>
    <w:rsid w:val="00C440EF"/>
    <w:rsid w:val="00C44693"/>
    <w:rsid w:val="00C44D96"/>
    <w:rsid w:val="00C44DC4"/>
    <w:rsid w:val="00C45350"/>
    <w:rsid w:val="00C458FC"/>
    <w:rsid w:val="00C5230E"/>
    <w:rsid w:val="00C52944"/>
    <w:rsid w:val="00C54833"/>
    <w:rsid w:val="00C6275A"/>
    <w:rsid w:val="00C64A52"/>
    <w:rsid w:val="00C675DB"/>
    <w:rsid w:val="00C678D4"/>
    <w:rsid w:val="00C726FB"/>
    <w:rsid w:val="00C72B48"/>
    <w:rsid w:val="00C737CA"/>
    <w:rsid w:val="00C74CF4"/>
    <w:rsid w:val="00C7542E"/>
    <w:rsid w:val="00C76214"/>
    <w:rsid w:val="00C76E70"/>
    <w:rsid w:val="00C81125"/>
    <w:rsid w:val="00C81B57"/>
    <w:rsid w:val="00C81CA5"/>
    <w:rsid w:val="00C82C5B"/>
    <w:rsid w:val="00C841A6"/>
    <w:rsid w:val="00C8637A"/>
    <w:rsid w:val="00C90473"/>
    <w:rsid w:val="00C91025"/>
    <w:rsid w:val="00C91A2C"/>
    <w:rsid w:val="00C927A3"/>
    <w:rsid w:val="00C9313D"/>
    <w:rsid w:val="00C93696"/>
    <w:rsid w:val="00C93B62"/>
    <w:rsid w:val="00C93CE6"/>
    <w:rsid w:val="00C958F9"/>
    <w:rsid w:val="00C96A50"/>
    <w:rsid w:val="00C9781F"/>
    <w:rsid w:val="00C97FE5"/>
    <w:rsid w:val="00CA1CAD"/>
    <w:rsid w:val="00CA30B3"/>
    <w:rsid w:val="00CA6272"/>
    <w:rsid w:val="00CA793B"/>
    <w:rsid w:val="00CB152D"/>
    <w:rsid w:val="00CB434C"/>
    <w:rsid w:val="00CB53CD"/>
    <w:rsid w:val="00CB58A4"/>
    <w:rsid w:val="00CC0258"/>
    <w:rsid w:val="00CC04EC"/>
    <w:rsid w:val="00CC0C5B"/>
    <w:rsid w:val="00CC0FF6"/>
    <w:rsid w:val="00CC3F15"/>
    <w:rsid w:val="00CC42A6"/>
    <w:rsid w:val="00CC55BA"/>
    <w:rsid w:val="00CC7393"/>
    <w:rsid w:val="00CC7E16"/>
    <w:rsid w:val="00CD12A8"/>
    <w:rsid w:val="00CD29EC"/>
    <w:rsid w:val="00CD397E"/>
    <w:rsid w:val="00CD6FCF"/>
    <w:rsid w:val="00CE111D"/>
    <w:rsid w:val="00CE3008"/>
    <w:rsid w:val="00CE320B"/>
    <w:rsid w:val="00CE54B4"/>
    <w:rsid w:val="00CE5C05"/>
    <w:rsid w:val="00CE6C06"/>
    <w:rsid w:val="00CF02C3"/>
    <w:rsid w:val="00CF0E99"/>
    <w:rsid w:val="00CF3658"/>
    <w:rsid w:val="00CF39E9"/>
    <w:rsid w:val="00CF4D7A"/>
    <w:rsid w:val="00CF6F91"/>
    <w:rsid w:val="00CF7AF2"/>
    <w:rsid w:val="00D00654"/>
    <w:rsid w:val="00D00DD0"/>
    <w:rsid w:val="00D012C8"/>
    <w:rsid w:val="00D02D13"/>
    <w:rsid w:val="00D02DB6"/>
    <w:rsid w:val="00D034B4"/>
    <w:rsid w:val="00D03DA7"/>
    <w:rsid w:val="00D040CA"/>
    <w:rsid w:val="00D04228"/>
    <w:rsid w:val="00D04D86"/>
    <w:rsid w:val="00D0660A"/>
    <w:rsid w:val="00D0739A"/>
    <w:rsid w:val="00D07F20"/>
    <w:rsid w:val="00D1009F"/>
    <w:rsid w:val="00D1025E"/>
    <w:rsid w:val="00D11DD3"/>
    <w:rsid w:val="00D143AE"/>
    <w:rsid w:val="00D155FF"/>
    <w:rsid w:val="00D15D20"/>
    <w:rsid w:val="00D17062"/>
    <w:rsid w:val="00D17365"/>
    <w:rsid w:val="00D20750"/>
    <w:rsid w:val="00D2550F"/>
    <w:rsid w:val="00D300E5"/>
    <w:rsid w:val="00D30464"/>
    <w:rsid w:val="00D30817"/>
    <w:rsid w:val="00D30A36"/>
    <w:rsid w:val="00D31BBF"/>
    <w:rsid w:val="00D331F0"/>
    <w:rsid w:val="00D35E0A"/>
    <w:rsid w:val="00D371F2"/>
    <w:rsid w:val="00D37A87"/>
    <w:rsid w:val="00D40D16"/>
    <w:rsid w:val="00D41607"/>
    <w:rsid w:val="00D43058"/>
    <w:rsid w:val="00D44F28"/>
    <w:rsid w:val="00D4577F"/>
    <w:rsid w:val="00D500E5"/>
    <w:rsid w:val="00D505A8"/>
    <w:rsid w:val="00D5102D"/>
    <w:rsid w:val="00D52C7B"/>
    <w:rsid w:val="00D52F0D"/>
    <w:rsid w:val="00D53CE2"/>
    <w:rsid w:val="00D544B1"/>
    <w:rsid w:val="00D56112"/>
    <w:rsid w:val="00D574FD"/>
    <w:rsid w:val="00D617F6"/>
    <w:rsid w:val="00D61E2C"/>
    <w:rsid w:val="00D67214"/>
    <w:rsid w:val="00D718D2"/>
    <w:rsid w:val="00D727FE"/>
    <w:rsid w:val="00D74BA2"/>
    <w:rsid w:val="00D80B6B"/>
    <w:rsid w:val="00D81368"/>
    <w:rsid w:val="00D81635"/>
    <w:rsid w:val="00D81E28"/>
    <w:rsid w:val="00D8219C"/>
    <w:rsid w:val="00D8272F"/>
    <w:rsid w:val="00D850E2"/>
    <w:rsid w:val="00D8764F"/>
    <w:rsid w:val="00D87939"/>
    <w:rsid w:val="00D87EFC"/>
    <w:rsid w:val="00D90A90"/>
    <w:rsid w:val="00D90FB5"/>
    <w:rsid w:val="00D913E8"/>
    <w:rsid w:val="00D93021"/>
    <w:rsid w:val="00D93338"/>
    <w:rsid w:val="00D94356"/>
    <w:rsid w:val="00D9708F"/>
    <w:rsid w:val="00DA23E5"/>
    <w:rsid w:val="00DA31D8"/>
    <w:rsid w:val="00DA3475"/>
    <w:rsid w:val="00DA3B26"/>
    <w:rsid w:val="00DA43B8"/>
    <w:rsid w:val="00DA53FC"/>
    <w:rsid w:val="00DA5662"/>
    <w:rsid w:val="00DB0A80"/>
    <w:rsid w:val="00DB321E"/>
    <w:rsid w:val="00DB383F"/>
    <w:rsid w:val="00DB3AD6"/>
    <w:rsid w:val="00DB540E"/>
    <w:rsid w:val="00DB7327"/>
    <w:rsid w:val="00DB7AA2"/>
    <w:rsid w:val="00DC00F8"/>
    <w:rsid w:val="00DC049D"/>
    <w:rsid w:val="00DC0AD5"/>
    <w:rsid w:val="00DC13E8"/>
    <w:rsid w:val="00DC1578"/>
    <w:rsid w:val="00DC1E8D"/>
    <w:rsid w:val="00DC24E6"/>
    <w:rsid w:val="00DC2F14"/>
    <w:rsid w:val="00DC3B4F"/>
    <w:rsid w:val="00DC58FB"/>
    <w:rsid w:val="00DC644D"/>
    <w:rsid w:val="00DC64C3"/>
    <w:rsid w:val="00DD12EA"/>
    <w:rsid w:val="00DD144B"/>
    <w:rsid w:val="00DD2903"/>
    <w:rsid w:val="00DD2F35"/>
    <w:rsid w:val="00DD312C"/>
    <w:rsid w:val="00DD3DD8"/>
    <w:rsid w:val="00DD451F"/>
    <w:rsid w:val="00DD6CB9"/>
    <w:rsid w:val="00DD74A9"/>
    <w:rsid w:val="00DE0D92"/>
    <w:rsid w:val="00DE0DAB"/>
    <w:rsid w:val="00DE11A9"/>
    <w:rsid w:val="00DE2422"/>
    <w:rsid w:val="00DE24EE"/>
    <w:rsid w:val="00DE3243"/>
    <w:rsid w:val="00DE34BD"/>
    <w:rsid w:val="00DE7263"/>
    <w:rsid w:val="00DE7841"/>
    <w:rsid w:val="00DE7C26"/>
    <w:rsid w:val="00DF0463"/>
    <w:rsid w:val="00DF0E3F"/>
    <w:rsid w:val="00DF1FB2"/>
    <w:rsid w:val="00DF412A"/>
    <w:rsid w:val="00DF4860"/>
    <w:rsid w:val="00DF5CFF"/>
    <w:rsid w:val="00DF5D63"/>
    <w:rsid w:val="00DF5F53"/>
    <w:rsid w:val="00DF6CC0"/>
    <w:rsid w:val="00DF73B5"/>
    <w:rsid w:val="00E026BE"/>
    <w:rsid w:val="00E03699"/>
    <w:rsid w:val="00E03D45"/>
    <w:rsid w:val="00E03DBF"/>
    <w:rsid w:val="00E054AD"/>
    <w:rsid w:val="00E05851"/>
    <w:rsid w:val="00E06369"/>
    <w:rsid w:val="00E06E6B"/>
    <w:rsid w:val="00E1393F"/>
    <w:rsid w:val="00E15141"/>
    <w:rsid w:val="00E1530D"/>
    <w:rsid w:val="00E16317"/>
    <w:rsid w:val="00E171EF"/>
    <w:rsid w:val="00E179D5"/>
    <w:rsid w:val="00E20A50"/>
    <w:rsid w:val="00E21588"/>
    <w:rsid w:val="00E2536A"/>
    <w:rsid w:val="00E25CC0"/>
    <w:rsid w:val="00E260D2"/>
    <w:rsid w:val="00E26A9C"/>
    <w:rsid w:val="00E2748D"/>
    <w:rsid w:val="00E27BE8"/>
    <w:rsid w:val="00E30437"/>
    <w:rsid w:val="00E30732"/>
    <w:rsid w:val="00E31586"/>
    <w:rsid w:val="00E31902"/>
    <w:rsid w:val="00E31952"/>
    <w:rsid w:val="00E32261"/>
    <w:rsid w:val="00E337F8"/>
    <w:rsid w:val="00E33E20"/>
    <w:rsid w:val="00E36867"/>
    <w:rsid w:val="00E40457"/>
    <w:rsid w:val="00E427CD"/>
    <w:rsid w:val="00E42E06"/>
    <w:rsid w:val="00E4481C"/>
    <w:rsid w:val="00E468BE"/>
    <w:rsid w:val="00E468E9"/>
    <w:rsid w:val="00E47361"/>
    <w:rsid w:val="00E4773C"/>
    <w:rsid w:val="00E50895"/>
    <w:rsid w:val="00E5209C"/>
    <w:rsid w:val="00E53718"/>
    <w:rsid w:val="00E539BA"/>
    <w:rsid w:val="00E54DA5"/>
    <w:rsid w:val="00E55A9B"/>
    <w:rsid w:val="00E56108"/>
    <w:rsid w:val="00E56769"/>
    <w:rsid w:val="00E571E8"/>
    <w:rsid w:val="00E609F8"/>
    <w:rsid w:val="00E614D4"/>
    <w:rsid w:val="00E62F6B"/>
    <w:rsid w:val="00E6365B"/>
    <w:rsid w:val="00E64E61"/>
    <w:rsid w:val="00E65286"/>
    <w:rsid w:val="00E66D59"/>
    <w:rsid w:val="00E702E1"/>
    <w:rsid w:val="00E719B7"/>
    <w:rsid w:val="00E722DE"/>
    <w:rsid w:val="00E725DB"/>
    <w:rsid w:val="00E72A84"/>
    <w:rsid w:val="00E73006"/>
    <w:rsid w:val="00E73247"/>
    <w:rsid w:val="00E733B7"/>
    <w:rsid w:val="00E74401"/>
    <w:rsid w:val="00E747FE"/>
    <w:rsid w:val="00E7496F"/>
    <w:rsid w:val="00E760A1"/>
    <w:rsid w:val="00E820D7"/>
    <w:rsid w:val="00E8220F"/>
    <w:rsid w:val="00E8239A"/>
    <w:rsid w:val="00E833F6"/>
    <w:rsid w:val="00E85892"/>
    <w:rsid w:val="00E86030"/>
    <w:rsid w:val="00E8701C"/>
    <w:rsid w:val="00E87C0B"/>
    <w:rsid w:val="00E91F81"/>
    <w:rsid w:val="00E9220F"/>
    <w:rsid w:val="00E9310D"/>
    <w:rsid w:val="00E933C6"/>
    <w:rsid w:val="00E94F8D"/>
    <w:rsid w:val="00E950CE"/>
    <w:rsid w:val="00E97E53"/>
    <w:rsid w:val="00EA0AD5"/>
    <w:rsid w:val="00EA1591"/>
    <w:rsid w:val="00EA24C0"/>
    <w:rsid w:val="00EA2907"/>
    <w:rsid w:val="00EA5FA6"/>
    <w:rsid w:val="00EA6141"/>
    <w:rsid w:val="00EB0BB1"/>
    <w:rsid w:val="00EB0D50"/>
    <w:rsid w:val="00EB0ECA"/>
    <w:rsid w:val="00EB2DB4"/>
    <w:rsid w:val="00EB42B3"/>
    <w:rsid w:val="00EB4338"/>
    <w:rsid w:val="00EB4E8A"/>
    <w:rsid w:val="00EB5184"/>
    <w:rsid w:val="00EB5225"/>
    <w:rsid w:val="00EB5352"/>
    <w:rsid w:val="00EB6AD6"/>
    <w:rsid w:val="00EB6EC4"/>
    <w:rsid w:val="00EB766B"/>
    <w:rsid w:val="00EB76B9"/>
    <w:rsid w:val="00EC378D"/>
    <w:rsid w:val="00EC37D2"/>
    <w:rsid w:val="00EC452B"/>
    <w:rsid w:val="00EC5F43"/>
    <w:rsid w:val="00EC7457"/>
    <w:rsid w:val="00ED2686"/>
    <w:rsid w:val="00ED508D"/>
    <w:rsid w:val="00ED5D69"/>
    <w:rsid w:val="00EE1D15"/>
    <w:rsid w:val="00EE1F2E"/>
    <w:rsid w:val="00EE42B3"/>
    <w:rsid w:val="00EE4E53"/>
    <w:rsid w:val="00EE6439"/>
    <w:rsid w:val="00EE646D"/>
    <w:rsid w:val="00EE6E0F"/>
    <w:rsid w:val="00EE7969"/>
    <w:rsid w:val="00EF13B0"/>
    <w:rsid w:val="00EF2121"/>
    <w:rsid w:val="00EF2E61"/>
    <w:rsid w:val="00EF4910"/>
    <w:rsid w:val="00EF5187"/>
    <w:rsid w:val="00F00092"/>
    <w:rsid w:val="00F00D6B"/>
    <w:rsid w:val="00F011CB"/>
    <w:rsid w:val="00F02E19"/>
    <w:rsid w:val="00F0303D"/>
    <w:rsid w:val="00F04180"/>
    <w:rsid w:val="00F04C2A"/>
    <w:rsid w:val="00F04EE4"/>
    <w:rsid w:val="00F05818"/>
    <w:rsid w:val="00F06D22"/>
    <w:rsid w:val="00F06E70"/>
    <w:rsid w:val="00F06F5F"/>
    <w:rsid w:val="00F07674"/>
    <w:rsid w:val="00F10831"/>
    <w:rsid w:val="00F10A5B"/>
    <w:rsid w:val="00F116BA"/>
    <w:rsid w:val="00F14928"/>
    <w:rsid w:val="00F161AA"/>
    <w:rsid w:val="00F16CC1"/>
    <w:rsid w:val="00F17650"/>
    <w:rsid w:val="00F21A82"/>
    <w:rsid w:val="00F21BD5"/>
    <w:rsid w:val="00F2334C"/>
    <w:rsid w:val="00F24016"/>
    <w:rsid w:val="00F3115F"/>
    <w:rsid w:val="00F34035"/>
    <w:rsid w:val="00F3441E"/>
    <w:rsid w:val="00F34FC1"/>
    <w:rsid w:val="00F365F6"/>
    <w:rsid w:val="00F36CE5"/>
    <w:rsid w:val="00F37148"/>
    <w:rsid w:val="00F40548"/>
    <w:rsid w:val="00F43F74"/>
    <w:rsid w:val="00F44266"/>
    <w:rsid w:val="00F4683F"/>
    <w:rsid w:val="00F46DC1"/>
    <w:rsid w:val="00F475EE"/>
    <w:rsid w:val="00F516FE"/>
    <w:rsid w:val="00F52F8E"/>
    <w:rsid w:val="00F5324C"/>
    <w:rsid w:val="00F539BF"/>
    <w:rsid w:val="00F55E99"/>
    <w:rsid w:val="00F5703F"/>
    <w:rsid w:val="00F5736D"/>
    <w:rsid w:val="00F577BF"/>
    <w:rsid w:val="00F600D3"/>
    <w:rsid w:val="00F60DFF"/>
    <w:rsid w:val="00F63831"/>
    <w:rsid w:val="00F66864"/>
    <w:rsid w:val="00F66BDD"/>
    <w:rsid w:val="00F67408"/>
    <w:rsid w:val="00F67F41"/>
    <w:rsid w:val="00F726F7"/>
    <w:rsid w:val="00F72C1D"/>
    <w:rsid w:val="00F7376E"/>
    <w:rsid w:val="00F752E3"/>
    <w:rsid w:val="00F7596B"/>
    <w:rsid w:val="00F75A94"/>
    <w:rsid w:val="00F805D9"/>
    <w:rsid w:val="00F808B1"/>
    <w:rsid w:val="00F808D1"/>
    <w:rsid w:val="00F80ECB"/>
    <w:rsid w:val="00F81A10"/>
    <w:rsid w:val="00F83333"/>
    <w:rsid w:val="00F83B27"/>
    <w:rsid w:val="00F857FF"/>
    <w:rsid w:val="00F872B7"/>
    <w:rsid w:val="00F90B68"/>
    <w:rsid w:val="00F90C64"/>
    <w:rsid w:val="00F92CBC"/>
    <w:rsid w:val="00F951D3"/>
    <w:rsid w:val="00F958FB"/>
    <w:rsid w:val="00F974D2"/>
    <w:rsid w:val="00F97891"/>
    <w:rsid w:val="00FA0F3B"/>
    <w:rsid w:val="00FA399E"/>
    <w:rsid w:val="00FA3C38"/>
    <w:rsid w:val="00FA4C3F"/>
    <w:rsid w:val="00FA63B1"/>
    <w:rsid w:val="00FA6561"/>
    <w:rsid w:val="00FA68ED"/>
    <w:rsid w:val="00FB00B4"/>
    <w:rsid w:val="00FB250C"/>
    <w:rsid w:val="00FB2F03"/>
    <w:rsid w:val="00FB40D9"/>
    <w:rsid w:val="00FB4C30"/>
    <w:rsid w:val="00FB4FB0"/>
    <w:rsid w:val="00FB549F"/>
    <w:rsid w:val="00FB5853"/>
    <w:rsid w:val="00FC00C4"/>
    <w:rsid w:val="00FC0134"/>
    <w:rsid w:val="00FC0548"/>
    <w:rsid w:val="00FC3255"/>
    <w:rsid w:val="00FC3835"/>
    <w:rsid w:val="00FC3AF2"/>
    <w:rsid w:val="00FC4740"/>
    <w:rsid w:val="00FC4A07"/>
    <w:rsid w:val="00FC5B7F"/>
    <w:rsid w:val="00FD0275"/>
    <w:rsid w:val="00FD2D01"/>
    <w:rsid w:val="00FD3D94"/>
    <w:rsid w:val="00FD4A39"/>
    <w:rsid w:val="00FD4E6F"/>
    <w:rsid w:val="00FD59F0"/>
    <w:rsid w:val="00FE1A09"/>
    <w:rsid w:val="00FE21EF"/>
    <w:rsid w:val="00FE31C1"/>
    <w:rsid w:val="00FE331A"/>
    <w:rsid w:val="00FE5CE4"/>
    <w:rsid w:val="00FE5E34"/>
    <w:rsid w:val="00FE686A"/>
    <w:rsid w:val="00FF0390"/>
    <w:rsid w:val="00FF14BA"/>
    <w:rsid w:val="00FF17E1"/>
    <w:rsid w:val="00FF29AB"/>
    <w:rsid w:val="00FF505B"/>
    <w:rsid w:val="00FF77F8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1" w:defUIPriority="0" w:defSemiHidden="0" w:defUnhideWhenUsed="0" w:defQFormat="0" w:count="267">
    <w:lsdException w:name="Normal" w:locked="0" w:uiPriority="60" w:qFormat="1"/>
    <w:lsdException w:name="heading 1" w:locked="0" w:uiPriority="9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/>
    <w:lsdException w:name="heading 8" w:locked="0"/>
    <w:lsdException w:name="heading 9" w:locked="0"/>
    <w:lsdException w:name="index 1" w:locked="0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 w:uiPriority="99"/>
    <w:lsdException w:name="footer" w:locked="0" w:uiPriority="99"/>
    <w:lsdException w:name="index heading" w:semiHidden="1"/>
    <w:lsdException w:name="caption" w:uiPriority="59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page number" w:locked="0"/>
    <w:lsdException w:name="endnote text" w:semiHidden="1"/>
    <w:lsdException w:name="macro" w:semiHidden="1"/>
    <w:lsdException w:name="toa heading" w:semiHidden="1"/>
    <w:lsdException w:name="Title" w:locked="0" w:qFormat="1"/>
    <w:lsdException w:name="Closing" w:locked="0"/>
    <w:lsdException w:name="Signature" w:locked="0"/>
    <w:lsdException w:name="Default Paragraph Font" w:locked="0" w:uiPriority="49"/>
    <w:lsdException w:name="Body Text" w:locked="0" w:qFormat="1"/>
    <w:lsdException w:name="Body Text Indent" w:semiHidden="1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 w:uiPriority="99"/>
    <w:lsdException w:name="FollowedHyperlink" w:locked="0"/>
    <w:lsdException w:name="Strong" w:locked="0" w:qFormat="1"/>
    <w:lsdException w:name="Emphasis" w:semiHidden="1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99"/>
    <w:lsdException w:name="annotation subject" w:locked="0"/>
    <w:lsdException w:name="No List" w:locked="0" w:uiPriority="99"/>
    <w:lsdException w:name="Outline List 1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63"/>
    <w:qFormat/>
    <w:rsid w:val="006B02CB"/>
    <w:rPr>
      <w:sz w:val="24"/>
      <w:szCs w:val="24"/>
    </w:rPr>
  </w:style>
  <w:style w:type="paragraph" w:styleId="Heading1">
    <w:name w:val="heading 1"/>
    <w:basedOn w:val="zzREPORTMASTERSTYLE"/>
    <w:next w:val="Para1"/>
    <w:uiPriority w:val="9"/>
    <w:qFormat/>
    <w:rsid w:val="00485342"/>
    <w:pPr>
      <w:keepNext/>
      <w:outlineLvl w:val="0"/>
    </w:pPr>
    <w:rPr>
      <w:rFonts w:ascii="Calibri Bold" w:hAnsi="Calibri Bold" w:cs="Arial"/>
      <w:b/>
      <w:bCs/>
      <w:sz w:val="28"/>
      <w:szCs w:val="32"/>
    </w:rPr>
  </w:style>
  <w:style w:type="paragraph" w:styleId="Heading2">
    <w:name w:val="heading 2"/>
    <w:basedOn w:val="Normal"/>
    <w:next w:val="Para1"/>
    <w:qFormat/>
    <w:rsid w:val="00485342"/>
    <w:pPr>
      <w:keepNext/>
      <w:spacing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zzREPORTMASTERSTYLE"/>
    <w:next w:val="Para1"/>
    <w:qFormat/>
    <w:rsid w:val="00485342"/>
    <w:pPr>
      <w:keepNext/>
      <w:outlineLvl w:val="2"/>
    </w:pPr>
    <w:rPr>
      <w:rFonts w:cs="Arial"/>
      <w:bCs/>
      <w:i/>
      <w:szCs w:val="26"/>
    </w:rPr>
  </w:style>
  <w:style w:type="paragraph" w:styleId="Heading4">
    <w:name w:val="heading 4"/>
    <w:basedOn w:val="zzREPORTMASTERSTYLE"/>
    <w:next w:val="Para1"/>
    <w:locked/>
    <w:rsid w:val="00485342"/>
    <w:pPr>
      <w:spacing w:after="0"/>
      <w:outlineLvl w:val="3"/>
    </w:pPr>
    <w:rPr>
      <w:bCs/>
      <w:szCs w:val="28"/>
    </w:rPr>
  </w:style>
  <w:style w:type="paragraph" w:styleId="Heading5">
    <w:name w:val="heading 5"/>
    <w:basedOn w:val="zzREPORTMASTERSTYLE"/>
    <w:next w:val="Para1"/>
    <w:locked/>
    <w:rsid w:val="00420574"/>
    <w:pPr>
      <w:spacing w:after="0"/>
      <w:outlineLvl w:val="4"/>
    </w:pPr>
    <w:rPr>
      <w:bCs/>
      <w:iCs/>
      <w:szCs w:val="26"/>
    </w:rPr>
  </w:style>
  <w:style w:type="paragraph" w:styleId="Heading6">
    <w:name w:val="heading 6"/>
    <w:basedOn w:val="zzREPORTMASTERSTYLE"/>
    <w:next w:val="Normal"/>
    <w:locked/>
    <w:rsid w:val="00420574"/>
    <w:p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zzREPORTMASTERSTYLE"/>
    <w:next w:val="Para1"/>
    <w:locked/>
    <w:rsid w:val="00420574"/>
    <w:pPr>
      <w:spacing w:after="0"/>
      <w:outlineLvl w:val="6"/>
    </w:pPr>
  </w:style>
  <w:style w:type="paragraph" w:styleId="Heading8">
    <w:name w:val="heading 8"/>
    <w:basedOn w:val="zzREPORTMASTERSTYLE"/>
    <w:next w:val="Para1"/>
    <w:locked/>
    <w:rsid w:val="00420574"/>
    <w:pPr>
      <w:spacing w:after="0"/>
      <w:outlineLvl w:val="7"/>
    </w:pPr>
    <w:rPr>
      <w:iCs/>
    </w:rPr>
  </w:style>
  <w:style w:type="paragraph" w:styleId="Heading9">
    <w:name w:val="heading 9"/>
    <w:basedOn w:val="zzREPORTMASTERSTYLE"/>
    <w:next w:val="Para1"/>
    <w:locked/>
    <w:rsid w:val="00420574"/>
    <w:pPr>
      <w:spacing w:after="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Heading">
    <w:name w:val="TOC Heading"/>
    <w:basedOn w:val="Heading1"/>
    <w:next w:val="Normal"/>
    <w:uiPriority w:val="39"/>
    <w:semiHidden/>
    <w:qFormat/>
    <w:locked/>
    <w:rsid w:val="00420574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szCs w:val="28"/>
      <w:lang w:val="en-US" w:eastAsia="ja-JP"/>
    </w:rPr>
  </w:style>
  <w:style w:type="numbering" w:styleId="1ai">
    <w:name w:val="Outline List 1"/>
    <w:basedOn w:val="NoList"/>
    <w:semiHidden/>
    <w:locked/>
    <w:rsid w:val="00A704FA"/>
    <w:pPr>
      <w:numPr>
        <w:numId w:val="1"/>
      </w:numPr>
    </w:pPr>
  </w:style>
  <w:style w:type="numbering" w:styleId="ArticleSection">
    <w:name w:val="Outline List 3"/>
    <w:basedOn w:val="NoList"/>
    <w:semiHidden/>
    <w:locked/>
    <w:rsid w:val="00A704FA"/>
  </w:style>
  <w:style w:type="table" w:customStyle="1" w:styleId="Table-ComComgrey">
    <w:name w:val="Table - ComCom grey"/>
    <w:basedOn w:val="TableNormal"/>
    <w:uiPriority w:val="99"/>
    <w:rsid w:val="00DC00F8"/>
    <w:pPr>
      <w:spacing w:before="60" w:after="60" w:line="264" w:lineRule="auto"/>
      <w:ind w:left="57" w:right="57"/>
    </w:pPr>
    <w:tblPr>
      <w:jc w:val="center"/>
      <w:tblInd w:w="0" w:type="dxa"/>
      <w:tblBorders>
        <w:top w:val="single" w:sz="8" w:space="0" w:color="auto"/>
        <w:bottom w:val="single" w:sz="8" w:space="0" w:color="auto"/>
        <w:insideH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</w:style>
  <w:style w:type="paragraph" w:styleId="BodyText">
    <w:name w:val="Body Text"/>
    <w:basedOn w:val="zzREPORTMASTERSTYLE"/>
    <w:link w:val="BodyTextChar"/>
    <w:qFormat/>
    <w:rsid w:val="0021085C"/>
    <w:pPr>
      <w:spacing w:after="240" w:line="264" w:lineRule="atLeast"/>
    </w:pPr>
  </w:style>
  <w:style w:type="paragraph" w:customStyle="1" w:styleId="Box-Highlight">
    <w:name w:val="Box - Highlight"/>
    <w:basedOn w:val="Box-Questions"/>
    <w:next w:val="Apara1"/>
    <w:uiPriority w:val="69"/>
    <w:rsid w:val="00291E47"/>
    <w:pPr>
      <w:numPr>
        <w:numId w:val="0"/>
      </w:numPr>
      <w:pBdr>
        <w:top w:val="single" w:sz="4" w:space="6" w:color="auto"/>
        <w:bottom w:val="single" w:sz="4" w:space="6" w:color="auto"/>
      </w:pBdr>
      <w:ind w:left="709"/>
    </w:pPr>
  </w:style>
  <w:style w:type="paragraph" w:customStyle="1" w:styleId="Bodytexthanging">
    <w:name w:val="Body text hanging"/>
    <w:basedOn w:val="BodyText"/>
    <w:semiHidden/>
    <w:locked/>
    <w:rsid w:val="00FE331A"/>
    <w:pPr>
      <w:tabs>
        <w:tab w:val="left" w:pos="709"/>
      </w:tabs>
      <w:ind w:left="709" w:hanging="709"/>
    </w:pPr>
  </w:style>
  <w:style w:type="paragraph" w:styleId="BodyTextFirstIndent">
    <w:name w:val="Body Text First Indent"/>
    <w:basedOn w:val="BodyText"/>
    <w:semiHidden/>
    <w:locked/>
    <w:rsid w:val="00A704FA"/>
    <w:pPr>
      <w:ind w:firstLine="210"/>
    </w:pPr>
  </w:style>
  <w:style w:type="paragraph" w:customStyle="1" w:styleId="Atitle-Figure">
    <w:name w:val="Atitle - Figure"/>
    <w:basedOn w:val="Title-Figure"/>
    <w:next w:val="Apara1"/>
    <w:uiPriority w:val="19"/>
    <w:qFormat/>
    <w:rsid w:val="00497F1E"/>
    <w:pPr>
      <w:numPr>
        <w:numId w:val="16"/>
      </w:numPr>
    </w:pPr>
  </w:style>
  <w:style w:type="paragraph" w:styleId="BodyTextFirstIndent2">
    <w:name w:val="Body Text First Indent 2"/>
    <w:basedOn w:val="Normal"/>
    <w:semiHidden/>
    <w:locked/>
    <w:rsid w:val="00CA793B"/>
    <w:pPr>
      <w:spacing w:after="240" w:line="264" w:lineRule="atLeast"/>
      <w:ind w:left="709" w:firstLine="210"/>
    </w:pPr>
  </w:style>
  <w:style w:type="paragraph" w:customStyle="1" w:styleId="UnnumberedL2-Indent">
    <w:name w:val="Unnumbered L2 - Indent"/>
    <w:basedOn w:val="UnnumberedL2"/>
    <w:uiPriority w:val="55"/>
    <w:qFormat/>
    <w:rsid w:val="00F00092"/>
    <w:pPr>
      <w:numPr>
        <w:ilvl w:val="1"/>
        <w:numId w:val="17"/>
      </w:numPr>
    </w:pPr>
  </w:style>
  <w:style w:type="paragraph" w:customStyle="1" w:styleId="UnnumberedL1-Indent">
    <w:name w:val="Unnumbered L1 - Indent"/>
    <w:basedOn w:val="UnnumberedL1"/>
    <w:uiPriority w:val="54"/>
    <w:qFormat/>
    <w:rsid w:val="00CF7AF2"/>
    <w:pPr>
      <w:numPr>
        <w:numId w:val="17"/>
      </w:numPr>
    </w:pPr>
  </w:style>
  <w:style w:type="paragraph" w:styleId="Closing">
    <w:name w:val="Closing"/>
    <w:basedOn w:val="Normal"/>
    <w:semiHidden/>
    <w:locked/>
    <w:rsid w:val="00A704FA"/>
    <w:pPr>
      <w:ind w:left="4252"/>
    </w:pPr>
  </w:style>
  <w:style w:type="paragraph" w:styleId="Date">
    <w:name w:val="Date"/>
    <w:basedOn w:val="Normal"/>
    <w:next w:val="Normal"/>
    <w:semiHidden/>
    <w:locked/>
    <w:rsid w:val="00A704FA"/>
  </w:style>
  <w:style w:type="paragraph" w:styleId="E-mailSignature">
    <w:name w:val="E-mail Signature"/>
    <w:basedOn w:val="Normal"/>
    <w:semiHidden/>
    <w:locked/>
    <w:rsid w:val="00A704FA"/>
  </w:style>
  <w:style w:type="paragraph" w:customStyle="1" w:styleId="UnnumberedL3-Indent">
    <w:name w:val="Unnumbered L3 - Indent"/>
    <w:basedOn w:val="UnnumberedL3"/>
    <w:uiPriority w:val="56"/>
    <w:rsid w:val="00F00092"/>
    <w:pPr>
      <w:numPr>
        <w:ilvl w:val="2"/>
        <w:numId w:val="17"/>
      </w:numPr>
    </w:pPr>
  </w:style>
  <w:style w:type="paragraph" w:styleId="EnvelopeAddress">
    <w:name w:val="envelope address"/>
    <w:basedOn w:val="Normal"/>
    <w:semiHidden/>
    <w:locked/>
    <w:rsid w:val="00A704F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locked/>
    <w:rsid w:val="00A704FA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locked/>
    <w:rsid w:val="00A704FA"/>
    <w:rPr>
      <w:color w:val="800080"/>
      <w:u w:val="single"/>
    </w:rPr>
  </w:style>
  <w:style w:type="paragraph" w:styleId="Footer">
    <w:name w:val="footer"/>
    <w:basedOn w:val="zzREPORTMASTERSTYLE"/>
    <w:link w:val="FooterChar"/>
    <w:uiPriority w:val="99"/>
    <w:rsid w:val="00891B28"/>
    <w:pPr>
      <w:tabs>
        <w:tab w:val="center" w:pos="4536"/>
        <w:tab w:val="right" w:pos="9072"/>
      </w:tabs>
    </w:pPr>
    <w:rPr>
      <w:sz w:val="16"/>
    </w:rPr>
  </w:style>
  <w:style w:type="paragraph" w:styleId="FootnoteText">
    <w:name w:val="footnote text"/>
    <w:aliases w:val="(NECG) Footnote Text,DTE-Voetnoottekst,Footnote Text Char,Char Char1 Char, Char Char1 Char,Char Char1 Char Char, Char Char1 Char Char, Char Char1, Char,Char Char,Char,ALTS FOOTNOTE,Char Char1,Char Char1 Char Char1,Char Char1 Char1,Char Cha"/>
    <w:basedOn w:val="zzREPORTMASTERSTYLE"/>
    <w:rsid w:val="005D0180"/>
    <w:pPr>
      <w:spacing w:after="60"/>
      <w:ind w:left="397" w:hanging="397"/>
    </w:pPr>
    <w:rPr>
      <w:sz w:val="20"/>
      <w:szCs w:val="20"/>
    </w:rPr>
  </w:style>
  <w:style w:type="paragraph" w:styleId="Header">
    <w:name w:val="header"/>
    <w:aliases w:val="Table of Contents"/>
    <w:basedOn w:val="zzREPORTMASTERSTYLE"/>
    <w:link w:val="HeaderChar"/>
    <w:uiPriority w:val="99"/>
    <w:rsid w:val="0027128E"/>
    <w:pPr>
      <w:tabs>
        <w:tab w:val="right" w:pos="8306"/>
      </w:tabs>
      <w:jc w:val="center"/>
    </w:pPr>
    <w:rPr>
      <w:sz w:val="20"/>
    </w:rPr>
  </w:style>
  <w:style w:type="character" w:styleId="HTMLAcronym">
    <w:name w:val="HTML Acronym"/>
    <w:basedOn w:val="DefaultParagraphFont"/>
    <w:semiHidden/>
    <w:locked/>
    <w:rsid w:val="00A704FA"/>
  </w:style>
  <w:style w:type="paragraph" w:styleId="HTMLAddress">
    <w:name w:val="HTML Address"/>
    <w:basedOn w:val="Normal"/>
    <w:semiHidden/>
    <w:locked/>
    <w:rsid w:val="00A704FA"/>
    <w:rPr>
      <w:i/>
      <w:iCs/>
    </w:rPr>
  </w:style>
  <w:style w:type="character" w:styleId="HTMLCite">
    <w:name w:val="HTML Cite"/>
    <w:semiHidden/>
    <w:locked/>
    <w:rsid w:val="00A704FA"/>
    <w:rPr>
      <w:i/>
      <w:iCs/>
    </w:rPr>
  </w:style>
  <w:style w:type="character" w:styleId="HTMLCode">
    <w:name w:val="HTML Code"/>
    <w:semiHidden/>
    <w:locked/>
    <w:rsid w:val="00A704F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A704FA"/>
    <w:rPr>
      <w:i/>
      <w:iCs/>
    </w:rPr>
  </w:style>
  <w:style w:type="character" w:styleId="HTMLKeyboard">
    <w:name w:val="HTML Keyboard"/>
    <w:semiHidden/>
    <w:locked/>
    <w:rsid w:val="00A704F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A704FA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A704FA"/>
    <w:rPr>
      <w:rFonts w:ascii="Courier New" w:hAnsi="Courier New" w:cs="Courier New"/>
    </w:rPr>
  </w:style>
  <w:style w:type="character" w:styleId="HTMLTypewriter">
    <w:name w:val="HTML Typewriter"/>
    <w:semiHidden/>
    <w:locked/>
    <w:rsid w:val="00A704F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A704FA"/>
    <w:rPr>
      <w:i/>
      <w:iCs/>
    </w:rPr>
  </w:style>
  <w:style w:type="character" w:styleId="Hyperlink">
    <w:name w:val="Hyperlink"/>
    <w:uiPriority w:val="99"/>
    <w:locked/>
    <w:rsid w:val="00A704FA"/>
    <w:rPr>
      <w:color w:val="0000FF"/>
      <w:u w:val="single"/>
    </w:rPr>
  </w:style>
  <w:style w:type="paragraph" w:customStyle="1" w:styleId="Atitle-Table">
    <w:name w:val="Atitle - Table"/>
    <w:basedOn w:val="Title-Table"/>
    <w:next w:val="Apara1"/>
    <w:uiPriority w:val="20"/>
    <w:qFormat/>
    <w:rsid w:val="00497F1E"/>
    <w:pPr>
      <w:numPr>
        <w:numId w:val="16"/>
      </w:numPr>
    </w:pPr>
  </w:style>
  <w:style w:type="paragraph" w:customStyle="1" w:styleId="Heading0Unnumbered">
    <w:name w:val="Heading 0: Unnumbered"/>
    <w:basedOn w:val="Heading0ExecSummary"/>
    <w:next w:val="Normal"/>
    <w:uiPriority w:val="22"/>
    <w:rsid w:val="00400898"/>
    <w:pPr>
      <w:numPr>
        <w:numId w:val="0"/>
      </w:numPr>
      <w:outlineLvl w:val="9"/>
    </w:pPr>
  </w:style>
  <w:style w:type="paragraph" w:customStyle="1" w:styleId="UnnumberedL4-Indent">
    <w:name w:val="Unnumbered L4 - Indent"/>
    <w:basedOn w:val="UnnumberedL4"/>
    <w:uiPriority w:val="57"/>
    <w:rsid w:val="00F00092"/>
    <w:pPr>
      <w:numPr>
        <w:ilvl w:val="3"/>
        <w:numId w:val="17"/>
      </w:numPr>
    </w:pPr>
  </w:style>
  <w:style w:type="paragraph" w:customStyle="1" w:styleId="UnnumberedL4">
    <w:name w:val="Unnumbered L4"/>
    <w:basedOn w:val="BodyText"/>
    <w:qFormat/>
    <w:rsid w:val="00FB40D9"/>
    <w:pPr>
      <w:ind w:left="2552"/>
    </w:pPr>
  </w:style>
  <w:style w:type="paragraph" w:styleId="BodyTextIndent">
    <w:name w:val="Body Text Indent"/>
    <w:basedOn w:val="Normal"/>
    <w:link w:val="BodyTextIndentChar"/>
    <w:semiHidden/>
    <w:locked/>
    <w:rsid w:val="008F49CB"/>
    <w:pPr>
      <w:spacing w:after="120"/>
      <w:ind w:left="283"/>
    </w:pPr>
  </w:style>
  <w:style w:type="paragraph" w:styleId="ListBullet5">
    <w:name w:val="List Bullet 5"/>
    <w:basedOn w:val="Normal"/>
    <w:semiHidden/>
    <w:locked/>
    <w:rsid w:val="00C44D96"/>
    <w:pPr>
      <w:contextualSpacing/>
    </w:pPr>
  </w:style>
  <w:style w:type="paragraph" w:styleId="Caption">
    <w:name w:val="caption"/>
    <w:basedOn w:val="zzREPORTMASTERSTYLE"/>
    <w:uiPriority w:val="59"/>
    <w:semiHidden/>
    <w:qFormat/>
    <w:locked/>
    <w:rsid w:val="00BB41B6"/>
    <w:pPr>
      <w:tabs>
        <w:tab w:val="left" w:pos="284"/>
      </w:tabs>
      <w:spacing w:after="240" w:line="264" w:lineRule="auto"/>
      <w:ind w:left="709"/>
      <w:contextualSpacing/>
    </w:pPr>
    <w:rPr>
      <w:bCs/>
      <w:i/>
      <w:szCs w:val="20"/>
    </w:rPr>
  </w:style>
  <w:style w:type="numbering" w:styleId="111111">
    <w:name w:val="Outline List 2"/>
    <w:basedOn w:val="NoList"/>
    <w:locked/>
    <w:rsid w:val="003646DC"/>
  </w:style>
  <w:style w:type="character" w:styleId="LineNumber">
    <w:name w:val="line number"/>
    <w:basedOn w:val="DefaultParagraphFont"/>
    <w:semiHidden/>
    <w:locked/>
    <w:rsid w:val="003646DC"/>
  </w:style>
  <w:style w:type="paragraph" w:styleId="List">
    <w:name w:val="List"/>
    <w:basedOn w:val="Normal"/>
    <w:semiHidden/>
    <w:locked/>
    <w:rsid w:val="003646DC"/>
    <w:pPr>
      <w:ind w:left="283" w:hanging="283"/>
      <w:contextualSpacing/>
    </w:pPr>
  </w:style>
  <w:style w:type="paragraph" w:styleId="List2">
    <w:name w:val="List 2"/>
    <w:basedOn w:val="Normal"/>
    <w:semiHidden/>
    <w:locked/>
    <w:rsid w:val="003646DC"/>
    <w:pPr>
      <w:ind w:left="566" w:hanging="283"/>
      <w:contextualSpacing/>
    </w:pPr>
  </w:style>
  <w:style w:type="paragraph" w:styleId="ListContinue">
    <w:name w:val="List Continue"/>
    <w:basedOn w:val="Normal"/>
    <w:semiHidden/>
    <w:locked/>
    <w:rsid w:val="00A704FA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A704FA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A704FA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A704FA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A704FA"/>
    <w:pPr>
      <w:spacing w:after="120"/>
      <w:ind w:left="1415"/>
    </w:pPr>
  </w:style>
  <w:style w:type="paragraph" w:styleId="List3">
    <w:name w:val="List 3"/>
    <w:basedOn w:val="Normal"/>
    <w:semiHidden/>
    <w:locked/>
    <w:rsid w:val="003646DC"/>
    <w:pPr>
      <w:ind w:left="849" w:hanging="283"/>
      <w:contextualSpacing/>
    </w:pPr>
  </w:style>
  <w:style w:type="paragraph" w:styleId="List4">
    <w:name w:val="List 4"/>
    <w:basedOn w:val="Normal"/>
    <w:semiHidden/>
    <w:locked/>
    <w:rsid w:val="003646DC"/>
    <w:pPr>
      <w:ind w:left="1132" w:hanging="283"/>
      <w:contextualSpacing/>
    </w:pPr>
  </w:style>
  <w:style w:type="paragraph" w:styleId="List5">
    <w:name w:val="List 5"/>
    <w:basedOn w:val="Normal"/>
    <w:semiHidden/>
    <w:locked/>
    <w:rsid w:val="003646DC"/>
    <w:pPr>
      <w:ind w:left="1415" w:hanging="283"/>
      <w:contextualSpacing/>
    </w:pPr>
  </w:style>
  <w:style w:type="paragraph" w:styleId="ListBullet">
    <w:name w:val="List Bullet"/>
    <w:basedOn w:val="Normal"/>
    <w:semiHidden/>
    <w:locked/>
    <w:rsid w:val="003646DC"/>
    <w:pPr>
      <w:numPr>
        <w:numId w:val="6"/>
      </w:numPr>
      <w:contextualSpacing/>
    </w:pPr>
  </w:style>
  <w:style w:type="paragraph" w:styleId="ListBullet2">
    <w:name w:val="List Bullet 2"/>
    <w:basedOn w:val="Normal"/>
    <w:semiHidden/>
    <w:locked/>
    <w:rsid w:val="003646DC"/>
    <w:pPr>
      <w:numPr>
        <w:numId w:val="7"/>
      </w:numPr>
      <w:contextualSpacing/>
    </w:pPr>
  </w:style>
  <w:style w:type="paragraph" w:styleId="MessageHeader">
    <w:name w:val="Message Header"/>
    <w:basedOn w:val="Normal"/>
    <w:semiHidden/>
    <w:locked/>
    <w:rsid w:val="00A704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locked/>
    <w:rsid w:val="00A704FA"/>
  </w:style>
  <w:style w:type="paragraph" w:styleId="NormalIndent">
    <w:name w:val="Normal Indent"/>
    <w:basedOn w:val="Normal"/>
    <w:semiHidden/>
    <w:locked/>
    <w:rsid w:val="00A704FA"/>
    <w:pPr>
      <w:ind w:left="720"/>
    </w:pPr>
  </w:style>
  <w:style w:type="paragraph" w:styleId="NoteHeading">
    <w:name w:val="Note Heading"/>
    <w:basedOn w:val="Normal"/>
    <w:next w:val="Normal"/>
    <w:semiHidden/>
    <w:locked/>
    <w:rsid w:val="00A704FA"/>
  </w:style>
  <w:style w:type="character" w:styleId="PageNumber">
    <w:name w:val="page number"/>
    <w:semiHidden/>
    <w:rsid w:val="00485342"/>
    <w:rPr>
      <w:rFonts w:ascii="Calibri" w:hAnsi="Calibri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sz w:val="20"/>
      <w:bdr w:val="none" w:sz="0" w:space="0" w:color="auto"/>
      <w:vertAlign w:val="baseline"/>
    </w:rPr>
  </w:style>
  <w:style w:type="paragraph" w:styleId="PlainText">
    <w:name w:val="Plain Text"/>
    <w:basedOn w:val="Normal"/>
    <w:semiHidden/>
    <w:locked/>
    <w:rsid w:val="00A704F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A704FA"/>
  </w:style>
  <w:style w:type="paragraph" w:styleId="Signature">
    <w:name w:val="Signature"/>
    <w:basedOn w:val="Normal"/>
    <w:semiHidden/>
    <w:locked/>
    <w:rsid w:val="00A704FA"/>
    <w:pPr>
      <w:ind w:left="4252"/>
    </w:pPr>
  </w:style>
  <w:style w:type="character" w:styleId="Strong">
    <w:name w:val="Strong"/>
    <w:semiHidden/>
    <w:qFormat/>
    <w:locked/>
    <w:rsid w:val="00A704FA"/>
    <w:rPr>
      <w:b/>
      <w:bCs/>
    </w:rPr>
  </w:style>
  <w:style w:type="paragraph" w:styleId="Subtitle">
    <w:name w:val="Subtitle"/>
    <w:basedOn w:val="Normal"/>
    <w:locked/>
    <w:rsid w:val="00A704FA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locked/>
    <w:rsid w:val="00A704F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A704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A704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Bullet3">
    <w:name w:val="List Bullet 3"/>
    <w:basedOn w:val="Normal"/>
    <w:semiHidden/>
    <w:locked/>
    <w:rsid w:val="003646DC"/>
    <w:pPr>
      <w:numPr>
        <w:numId w:val="8"/>
      </w:numPr>
      <w:contextualSpacing/>
    </w:pPr>
  </w:style>
  <w:style w:type="table" w:styleId="TableClassic2">
    <w:name w:val="Table Classic 2"/>
    <w:basedOn w:val="TableNormal"/>
    <w:semiHidden/>
    <w:locked/>
    <w:rsid w:val="00A704F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A704F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A704F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A704F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A704F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A704F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A704F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A704F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A704F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A704F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A704F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A704F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A704F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A7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A704F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A704F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A704F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A704F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A704F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A704F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A704F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A704F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A704F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A704F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A704F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Bullet4">
    <w:name w:val="List Bullet 4"/>
    <w:basedOn w:val="Normal"/>
    <w:semiHidden/>
    <w:locked/>
    <w:rsid w:val="003646DC"/>
    <w:pPr>
      <w:numPr>
        <w:numId w:val="9"/>
      </w:numPr>
      <w:contextualSpacing/>
    </w:pPr>
  </w:style>
  <w:style w:type="table" w:styleId="TableList5">
    <w:name w:val="Table List 5"/>
    <w:basedOn w:val="TableNormal"/>
    <w:semiHidden/>
    <w:locked/>
    <w:rsid w:val="00A704F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A704F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A704F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A704F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Emphasis-Highlight">
    <w:name w:val="Emphasis - Highlight"/>
    <w:uiPriority w:val="41"/>
    <w:qFormat/>
    <w:rsid w:val="00335DDA"/>
    <w:rPr>
      <w:shd w:val="clear" w:color="auto" w:fill="FFFF00"/>
    </w:rPr>
  </w:style>
  <w:style w:type="table" w:styleId="TableSimple1">
    <w:name w:val="Table Simple 1"/>
    <w:basedOn w:val="TableNormal"/>
    <w:semiHidden/>
    <w:locked/>
    <w:rsid w:val="00A704F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A704F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A704F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A704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A704F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A7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A704F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A704F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A704F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BodyText"/>
    <w:qFormat/>
    <w:rsid w:val="00701E9A"/>
    <w:pPr>
      <w:keepNext/>
      <w:spacing w:after="240"/>
    </w:pPr>
    <w:rPr>
      <w:b/>
      <w:sz w:val="36"/>
      <w:szCs w:val="20"/>
      <w:lang w:eastAsia="en-GB"/>
    </w:rPr>
  </w:style>
  <w:style w:type="paragraph" w:styleId="ListNumber">
    <w:name w:val="List Number"/>
    <w:basedOn w:val="Normal"/>
    <w:semiHidden/>
    <w:locked/>
    <w:rsid w:val="003646DC"/>
    <w:pPr>
      <w:numPr>
        <w:numId w:val="10"/>
      </w:numPr>
      <w:contextualSpacing/>
    </w:pPr>
  </w:style>
  <w:style w:type="paragraph" w:customStyle="1" w:styleId="Para4">
    <w:name w:val="Para 4"/>
    <w:basedOn w:val="BodyText"/>
    <w:qFormat/>
    <w:rsid w:val="00DA5662"/>
    <w:pPr>
      <w:numPr>
        <w:ilvl w:val="4"/>
        <w:numId w:val="24"/>
      </w:numPr>
    </w:pPr>
  </w:style>
  <w:style w:type="paragraph" w:customStyle="1" w:styleId="Xpara1">
    <w:name w:val="Xpara 1"/>
    <w:basedOn w:val="Para1"/>
    <w:uiPriority w:val="7"/>
    <w:qFormat/>
    <w:rsid w:val="006A1914"/>
    <w:pPr>
      <w:numPr>
        <w:numId w:val="4"/>
      </w:numPr>
    </w:pPr>
  </w:style>
  <w:style w:type="paragraph" w:customStyle="1" w:styleId="Xpara2">
    <w:name w:val="Xpara 2"/>
    <w:basedOn w:val="Para2"/>
    <w:uiPriority w:val="8"/>
    <w:qFormat/>
    <w:rsid w:val="00334807"/>
    <w:pPr>
      <w:numPr>
        <w:numId w:val="4"/>
      </w:numPr>
    </w:pPr>
  </w:style>
  <w:style w:type="paragraph" w:styleId="ListNumber2">
    <w:name w:val="List Number 2"/>
    <w:basedOn w:val="Normal"/>
    <w:semiHidden/>
    <w:locked/>
    <w:rsid w:val="003646DC"/>
    <w:pPr>
      <w:numPr>
        <w:numId w:val="11"/>
      </w:numPr>
      <w:contextualSpacing/>
    </w:pPr>
  </w:style>
  <w:style w:type="table" w:styleId="TableClassic1">
    <w:name w:val="Table Classic 1"/>
    <w:basedOn w:val="TableNormal"/>
    <w:semiHidden/>
    <w:locked/>
    <w:rsid w:val="001E0B8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1E0B8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TOC6">
    <w:name w:val="toc 6"/>
    <w:basedOn w:val="Normal"/>
    <w:next w:val="Normal"/>
    <w:autoRedefine/>
    <w:uiPriority w:val="39"/>
    <w:locked/>
    <w:rsid w:val="00C25BA0"/>
    <w:pPr>
      <w:ind w:left="1200"/>
    </w:pPr>
    <w:rPr>
      <w:sz w:val="18"/>
      <w:szCs w:val="18"/>
    </w:rPr>
  </w:style>
  <w:style w:type="paragraph" w:styleId="TOC2">
    <w:name w:val="toc 2"/>
    <w:basedOn w:val="TOC1"/>
    <w:autoRedefine/>
    <w:uiPriority w:val="39"/>
    <w:unhideWhenUsed/>
    <w:rsid w:val="005D0180"/>
    <w:pPr>
      <w:tabs>
        <w:tab w:val="clear" w:pos="8930"/>
        <w:tab w:val="right" w:leader="dot" w:pos="8931"/>
      </w:tabs>
      <w:ind w:left="425"/>
    </w:pPr>
    <w:rPr>
      <w:b w:val="0"/>
    </w:rPr>
  </w:style>
  <w:style w:type="paragraph" w:styleId="TOC1">
    <w:name w:val="toc 1"/>
    <w:basedOn w:val="zzREPORTMASTERSTYLE"/>
    <w:autoRedefine/>
    <w:uiPriority w:val="39"/>
    <w:unhideWhenUsed/>
    <w:rsid w:val="00927F27"/>
    <w:pPr>
      <w:tabs>
        <w:tab w:val="left" w:pos="425"/>
        <w:tab w:val="right" w:leader="dot" w:pos="8930"/>
      </w:tabs>
      <w:ind w:right="425"/>
    </w:pPr>
    <w:rPr>
      <w:b/>
      <w:noProof/>
      <w:sz w:val="22"/>
      <w:szCs w:val="22"/>
      <w:lang w:eastAsia="en-GB"/>
    </w:rPr>
  </w:style>
  <w:style w:type="paragraph" w:styleId="TOC3">
    <w:name w:val="toc 3"/>
    <w:basedOn w:val="TOC2"/>
    <w:autoRedefine/>
    <w:uiPriority w:val="39"/>
    <w:unhideWhenUsed/>
    <w:rsid w:val="005D0180"/>
    <w:pPr>
      <w:ind w:left="851"/>
    </w:pPr>
    <w:rPr>
      <w:i/>
      <w:caps/>
      <w:sz w:val="20"/>
    </w:rPr>
  </w:style>
  <w:style w:type="paragraph" w:styleId="ListNumber3">
    <w:name w:val="List Number 3"/>
    <w:basedOn w:val="Normal"/>
    <w:semiHidden/>
    <w:locked/>
    <w:rsid w:val="003646DC"/>
    <w:pPr>
      <w:numPr>
        <w:numId w:val="12"/>
      </w:numPr>
      <w:contextualSpacing/>
    </w:pPr>
  </w:style>
  <w:style w:type="paragraph" w:styleId="ListNumber4">
    <w:name w:val="List Number 4"/>
    <w:basedOn w:val="Normal"/>
    <w:semiHidden/>
    <w:locked/>
    <w:rsid w:val="003646DC"/>
    <w:pPr>
      <w:numPr>
        <w:numId w:val="13"/>
      </w:numPr>
      <w:contextualSpacing/>
    </w:pPr>
  </w:style>
  <w:style w:type="paragraph" w:styleId="ListNumber5">
    <w:name w:val="List Number 5"/>
    <w:basedOn w:val="Normal"/>
    <w:semiHidden/>
    <w:locked/>
    <w:rsid w:val="003646DC"/>
    <w:pPr>
      <w:numPr>
        <w:numId w:val="14"/>
      </w:numPr>
      <w:contextualSpacing/>
    </w:pPr>
  </w:style>
  <w:style w:type="paragraph" w:customStyle="1" w:styleId="Xtitle-Table">
    <w:name w:val="Xtitle - Table"/>
    <w:basedOn w:val="Title-Table"/>
    <w:next w:val="Xpara1"/>
    <w:uiPriority w:val="13"/>
    <w:qFormat/>
    <w:rsid w:val="007C50C1"/>
    <w:pPr>
      <w:numPr>
        <w:numId w:val="4"/>
      </w:numPr>
    </w:pPr>
  </w:style>
  <w:style w:type="paragraph" w:styleId="TableofAuthorities">
    <w:name w:val="table of authorities"/>
    <w:basedOn w:val="Normal"/>
    <w:next w:val="Normal"/>
    <w:semiHidden/>
    <w:locked/>
    <w:rsid w:val="003646DC"/>
    <w:pPr>
      <w:ind w:left="240" w:hanging="240"/>
    </w:pPr>
  </w:style>
  <w:style w:type="character" w:styleId="FootnoteReference">
    <w:name w:val="footnote reference"/>
    <w:aliases w:val="(NECG) Footnote Reference,(NECG) Footnote"/>
    <w:rsid w:val="001906E8"/>
    <w:rPr>
      <w:rFonts w:ascii="Calibri" w:hAnsi="Calibri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sz w:val="24"/>
      <w:vertAlign w:val="superscript"/>
    </w:rPr>
  </w:style>
  <w:style w:type="paragraph" w:customStyle="1" w:styleId="Xpara3">
    <w:name w:val="Xpara 3"/>
    <w:basedOn w:val="Para3"/>
    <w:uiPriority w:val="9"/>
    <w:rsid w:val="00334807"/>
    <w:pPr>
      <w:numPr>
        <w:numId w:val="4"/>
      </w:numPr>
    </w:pPr>
  </w:style>
  <w:style w:type="paragraph" w:customStyle="1" w:styleId="Xtitle-Figure">
    <w:name w:val="Xtitle - Figure"/>
    <w:basedOn w:val="Title-Figure"/>
    <w:next w:val="Xpara1"/>
    <w:uiPriority w:val="12"/>
    <w:qFormat/>
    <w:rsid w:val="00497F1E"/>
    <w:pPr>
      <w:numPr>
        <w:numId w:val="4"/>
      </w:numPr>
    </w:pPr>
  </w:style>
  <w:style w:type="paragraph" w:styleId="ListParagraph">
    <w:name w:val="List Paragraph"/>
    <w:basedOn w:val="Normal"/>
    <w:uiPriority w:val="34"/>
    <w:semiHidden/>
    <w:qFormat/>
    <w:locked/>
    <w:rsid w:val="003646DC"/>
    <w:pPr>
      <w:ind w:left="720"/>
    </w:pPr>
  </w:style>
  <w:style w:type="paragraph" w:styleId="Index1">
    <w:name w:val="index 1"/>
    <w:basedOn w:val="Normal"/>
    <w:next w:val="Normal"/>
    <w:autoRedefine/>
    <w:semiHidden/>
    <w:locked/>
    <w:rsid w:val="008D2DDF"/>
    <w:pPr>
      <w:ind w:left="240" w:hanging="240"/>
    </w:pPr>
  </w:style>
  <w:style w:type="paragraph" w:styleId="Revision">
    <w:name w:val="Revision"/>
    <w:hidden/>
    <w:uiPriority w:val="99"/>
    <w:rsid w:val="003646DC"/>
    <w:rPr>
      <w:sz w:val="24"/>
      <w:lang w:eastAsia="en-GB"/>
    </w:rPr>
  </w:style>
  <w:style w:type="paragraph" w:customStyle="1" w:styleId="Xpara4">
    <w:name w:val="Xpara 4"/>
    <w:basedOn w:val="Para4"/>
    <w:uiPriority w:val="10"/>
    <w:rsid w:val="00334807"/>
    <w:pPr>
      <w:numPr>
        <w:numId w:val="4"/>
      </w:numPr>
    </w:pPr>
  </w:style>
  <w:style w:type="paragraph" w:styleId="TableofFigures">
    <w:name w:val="table of figures"/>
    <w:basedOn w:val="Normal"/>
    <w:next w:val="Normal"/>
    <w:semiHidden/>
    <w:locked/>
    <w:rsid w:val="007F2300"/>
  </w:style>
  <w:style w:type="character" w:styleId="CommentReference">
    <w:name w:val="annotation reference"/>
    <w:semiHidden/>
    <w:locked/>
    <w:rsid w:val="006C48C7"/>
    <w:rPr>
      <w:sz w:val="16"/>
      <w:szCs w:val="16"/>
    </w:rPr>
  </w:style>
  <w:style w:type="paragraph" w:styleId="CommentText">
    <w:name w:val="annotation text"/>
    <w:basedOn w:val="Normal"/>
    <w:semiHidden/>
    <w:locked/>
    <w:rsid w:val="006C48C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6C48C7"/>
    <w:rPr>
      <w:b/>
      <w:bCs/>
    </w:rPr>
  </w:style>
  <w:style w:type="paragraph" w:styleId="BalloonText">
    <w:name w:val="Balloon Text"/>
    <w:basedOn w:val="Normal"/>
    <w:semiHidden/>
    <w:locked/>
    <w:rsid w:val="006C48C7"/>
    <w:rPr>
      <w:rFonts w:ascii="Tahoma" w:hAnsi="Tahoma" w:cs="Tahoma"/>
      <w:sz w:val="16"/>
      <w:szCs w:val="16"/>
    </w:rPr>
  </w:style>
  <w:style w:type="character" w:customStyle="1" w:styleId="zzREPORTMASTERSTYLEChar">
    <w:name w:val="zz REPORT MASTER STYLE Char"/>
    <w:link w:val="zzREPORTMASTERSTYLE"/>
    <w:uiPriority w:val="99"/>
    <w:semiHidden/>
    <w:rsid w:val="00126942"/>
    <w:rPr>
      <w:sz w:val="24"/>
      <w:szCs w:val="24"/>
      <w:lang w:val="en-NZ" w:eastAsia="en-US" w:bidi="ar-SA"/>
    </w:rPr>
  </w:style>
  <w:style w:type="character" w:customStyle="1" w:styleId="Emphasis-Superscript">
    <w:name w:val="Emphasis - Superscript"/>
    <w:uiPriority w:val="47"/>
    <w:rsid w:val="00B13B48"/>
    <w:rPr>
      <w:vertAlign w:val="superscript"/>
    </w:rPr>
  </w:style>
  <w:style w:type="paragraph" w:styleId="TOC7">
    <w:name w:val="toc 7"/>
    <w:basedOn w:val="Normal"/>
    <w:next w:val="Normal"/>
    <w:autoRedefine/>
    <w:uiPriority w:val="39"/>
    <w:locked/>
    <w:rsid w:val="00C25BA0"/>
    <w:pPr>
      <w:ind w:left="1440"/>
    </w:pPr>
    <w:rPr>
      <w:sz w:val="18"/>
      <w:szCs w:val="18"/>
    </w:rPr>
  </w:style>
  <w:style w:type="paragraph" w:customStyle="1" w:styleId="Tabletext-Centred">
    <w:name w:val="Table text - Centred"/>
    <w:basedOn w:val="Tabletext"/>
    <w:uiPriority w:val="99"/>
    <w:rsid w:val="00797E74"/>
    <w:pPr>
      <w:numPr>
        <w:numId w:val="5"/>
      </w:numPr>
      <w:jc w:val="center"/>
    </w:pPr>
  </w:style>
  <w:style w:type="paragraph" w:customStyle="1" w:styleId="Para3">
    <w:name w:val="Para 3"/>
    <w:basedOn w:val="BodyText"/>
    <w:qFormat/>
    <w:rsid w:val="0021085C"/>
    <w:pPr>
      <w:numPr>
        <w:ilvl w:val="3"/>
        <w:numId w:val="24"/>
      </w:numPr>
    </w:pPr>
  </w:style>
  <w:style w:type="paragraph" w:customStyle="1" w:styleId="TOCHeaders">
    <w:name w:val="TOC Headers"/>
    <w:basedOn w:val="Normal"/>
    <w:semiHidden/>
    <w:locked/>
    <w:rsid w:val="00F66864"/>
    <w:pPr>
      <w:widowControl w:val="0"/>
      <w:numPr>
        <w:numId w:val="2"/>
      </w:numPr>
      <w:shd w:val="clear" w:color="auto" w:fill="000000"/>
      <w:jc w:val="center"/>
    </w:pPr>
    <w:rPr>
      <w:b/>
      <w:caps/>
      <w:sz w:val="36"/>
    </w:rPr>
  </w:style>
  <w:style w:type="paragraph" w:styleId="TOC5">
    <w:name w:val="toc 5"/>
    <w:basedOn w:val="Normal"/>
    <w:next w:val="Normal"/>
    <w:autoRedefine/>
    <w:uiPriority w:val="39"/>
    <w:locked/>
    <w:rsid w:val="005F5A8A"/>
    <w:pPr>
      <w:ind w:left="960"/>
    </w:pPr>
    <w:rPr>
      <w:sz w:val="18"/>
      <w:szCs w:val="18"/>
    </w:rPr>
  </w:style>
  <w:style w:type="character" w:customStyle="1" w:styleId="BodyTextChar">
    <w:name w:val="Body Text Char"/>
    <w:link w:val="BodyText"/>
    <w:rsid w:val="0021085C"/>
    <w:rPr>
      <w:sz w:val="24"/>
      <w:szCs w:val="24"/>
      <w:lang w:val="en-NZ" w:eastAsia="en-US" w:bidi="ar-SA"/>
    </w:rPr>
  </w:style>
  <w:style w:type="paragraph" w:styleId="TOC8">
    <w:name w:val="toc 8"/>
    <w:basedOn w:val="Normal"/>
    <w:next w:val="Normal"/>
    <w:autoRedefine/>
    <w:uiPriority w:val="39"/>
    <w:locked/>
    <w:rsid w:val="00C25BA0"/>
    <w:pPr>
      <w:ind w:left="1680"/>
    </w:pPr>
    <w:rPr>
      <w:sz w:val="18"/>
      <w:szCs w:val="18"/>
    </w:rPr>
  </w:style>
  <w:style w:type="character" w:styleId="IntenseEmphasis">
    <w:name w:val="Intense Emphasis"/>
    <w:uiPriority w:val="21"/>
    <w:semiHidden/>
    <w:locked/>
    <w:rsid w:val="003646DC"/>
    <w:rPr>
      <w:b/>
      <w:bCs/>
      <w:i/>
      <w:iCs/>
      <w:color w:val="4F81BD"/>
    </w:rPr>
  </w:style>
  <w:style w:type="paragraph" w:customStyle="1" w:styleId="Xpara5">
    <w:name w:val="Xpara 5"/>
    <w:basedOn w:val="Para5"/>
    <w:uiPriority w:val="11"/>
    <w:rsid w:val="00334807"/>
    <w:pPr>
      <w:numPr>
        <w:numId w:val="4"/>
      </w:numPr>
    </w:pPr>
  </w:style>
  <w:style w:type="paragraph" w:styleId="TOC4">
    <w:name w:val="toc 4"/>
    <w:basedOn w:val="Normal"/>
    <w:next w:val="Normal"/>
    <w:autoRedefine/>
    <w:uiPriority w:val="39"/>
    <w:locked/>
    <w:rsid w:val="003646DC"/>
    <w:pPr>
      <w:ind w:left="720"/>
    </w:pPr>
  </w:style>
  <w:style w:type="paragraph" w:styleId="TOC9">
    <w:name w:val="toc 9"/>
    <w:basedOn w:val="Normal"/>
    <w:next w:val="Normal"/>
    <w:autoRedefine/>
    <w:uiPriority w:val="39"/>
    <w:locked/>
    <w:rsid w:val="00C25BA0"/>
    <w:pPr>
      <w:ind w:left="1920"/>
    </w:pPr>
    <w:rPr>
      <w:sz w:val="18"/>
      <w:szCs w:val="18"/>
    </w:rPr>
  </w:style>
  <w:style w:type="paragraph" w:customStyle="1" w:styleId="zzREPORTMASTERSTYLE">
    <w:name w:val="zz REPORT MASTER STYLE"/>
    <w:link w:val="zzREPORTMASTERSTYLEChar"/>
    <w:uiPriority w:val="99"/>
    <w:semiHidden/>
    <w:rsid w:val="00213B3C"/>
    <w:pPr>
      <w:spacing w:after="120"/>
    </w:pPr>
    <w:rPr>
      <w:sz w:val="24"/>
      <w:szCs w:val="24"/>
      <w:lang w:eastAsia="en-US"/>
    </w:rPr>
  </w:style>
  <w:style w:type="character" w:customStyle="1" w:styleId="Emphasis-HighlightPink">
    <w:name w:val="Emphasis - Highlight Pink"/>
    <w:uiPriority w:val="42"/>
    <w:rsid w:val="00761C50"/>
    <w:rPr>
      <w:shd w:val="clear" w:color="auto" w:fill="FF99CC"/>
    </w:rPr>
  </w:style>
  <w:style w:type="paragraph" w:customStyle="1" w:styleId="Box-Questions">
    <w:name w:val="Box - Questions"/>
    <w:basedOn w:val="zzREPORTMASTERSTYLE"/>
    <w:uiPriority w:val="70"/>
    <w:rsid w:val="005C21FD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/>
      <w:tabs>
        <w:tab w:val="clear" w:pos="567"/>
        <w:tab w:val="left" w:pos="709"/>
      </w:tabs>
      <w:spacing w:before="240" w:after="240"/>
      <w:ind w:left="709" w:hanging="709"/>
    </w:pPr>
  </w:style>
  <w:style w:type="character" w:customStyle="1" w:styleId="Emphasis-Bold">
    <w:name w:val="Emphasis - Bold"/>
    <w:qFormat/>
    <w:rsid w:val="00210E00"/>
    <w:rPr>
      <w:b/>
    </w:rPr>
  </w:style>
  <w:style w:type="character" w:customStyle="1" w:styleId="Emphasis-Subscript">
    <w:name w:val="Emphasis - Subscript"/>
    <w:uiPriority w:val="45"/>
    <w:rsid w:val="00B13B48"/>
    <w:rPr>
      <w:vertAlign w:val="subscript"/>
    </w:rPr>
  </w:style>
  <w:style w:type="character" w:customStyle="1" w:styleId="Emphasis-Italics">
    <w:name w:val="Emphasis - Italics"/>
    <w:uiPriority w:val="43"/>
    <w:qFormat/>
    <w:rsid w:val="00D040CA"/>
    <w:rPr>
      <w:i/>
    </w:rPr>
  </w:style>
  <w:style w:type="character" w:customStyle="1" w:styleId="Emphasis-Remove">
    <w:name w:val="Emphasis - Remove"/>
    <w:uiPriority w:val="44"/>
    <w:qFormat/>
    <w:rsid w:val="00D040CA"/>
  </w:style>
  <w:style w:type="character" w:customStyle="1" w:styleId="Emphasis-SubscriptItalics">
    <w:name w:val="Emphasis - Subscript &amp; Italics"/>
    <w:uiPriority w:val="46"/>
    <w:rsid w:val="00D040CA"/>
    <w:rPr>
      <w:i/>
      <w:vertAlign w:val="subscript"/>
    </w:rPr>
  </w:style>
  <w:style w:type="character" w:customStyle="1" w:styleId="Emphasis-SuperscriptItalics">
    <w:name w:val="Emphasis - Superscript &amp; Italics"/>
    <w:uiPriority w:val="48"/>
    <w:rsid w:val="00D040CA"/>
    <w:rPr>
      <w:i/>
      <w:vertAlign w:val="superscript"/>
    </w:rPr>
  </w:style>
  <w:style w:type="paragraph" w:customStyle="1" w:styleId="zFileRef">
    <w:name w:val="z_File Ref"/>
    <w:basedOn w:val="zzREPORTMASTERSTYLE"/>
    <w:rsid w:val="00B45B38"/>
    <w:pPr>
      <w:spacing w:after="0"/>
      <w:jc w:val="right"/>
    </w:pPr>
    <w:rPr>
      <w:szCs w:val="20"/>
      <w:lang w:eastAsia="en-GB"/>
    </w:rPr>
  </w:style>
  <w:style w:type="paragraph" w:customStyle="1" w:styleId="Heading0Chapter">
    <w:name w:val="Heading 0: Chapter"/>
    <w:basedOn w:val="zzREPORTMASTERSTYLE"/>
    <w:next w:val="Para1"/>
    <w:uiPriority w:val="19"/>
    <w:rsid w:val="00636876"/>
    <w:pPr>
      <w:keepNext/>
      <w:numPr>
        <w:numId w:val="24"/>
      </w:numPr>
      <w:spacing w:after="240"/>
      <w:outlineLvl w:val="0"/>
    </w:pPr>
    <w:rPr>
      <w:rFonts w:ascii="Calibri Bold" w:hAnsi="Calibri Bold"/>
      <w:b/>
    </w:rPr>
  </w:style>
  <w:style w:type="paragraph" w:customStyle="1" w:styleId="Para1">
    <w:name w:val="Para 1"/>
    <w:basedOn w:val="BodyText"/>
    <w:qFormat/>
    <w:rsid w:val="008C1B77"/>
    <w:pPr>
      <w:numPr>
        <w:ilvl w:val="1"/>
        <w:numId w:val="24"/>
      </w:numPr>
    </w:pPr>
  </w:style>
  <w:style w:type="paragraph" w:customStyle="1" w:styleId="Para2">
    <w:name w:val="Para 2"/>
    <w:basedOn w:val="Para1"/>
    <w:qFormat/>
    <w:rsid w:val="00796C87"/>
    <w:pPr>
      <w:numPr>
        <w:ilvl w:val="2"/>
      </w:numPr>
    </w:pPr>
  </w:style>
  <w:style w:type="paragraph" w:customStyle="1" w:styleId="Apara1">
    <w:name w:val="Apara 1"/>
    <w:basedOn w:val="Para1"/>
    <w:uiPriority w:val="14"/>
    <w:qFormat/>
    <w:rsid w:val="006A1914"/>
    <w:pPr>
      <w:numPr>
        <w:numId w:val="16"/>
      </w:numPr>
    </w:pPr>
  </w:style>
  <w:style w:type="paragraph" w:customStyle="1" w:styleId="Apara2">
    <w:name w:val="Apara 2"/>
    <w:basedOn w:val="Para2"/>
    <w:uiPriority w:val="15"/>
    <w:qFormat/>
    <w:rsid w:val="002E7B2B"/>
    <w:pPr>
      <w:numPr>
        <w:numId w:val="16"/>
      </w:numPr>
    </w:pPr>
  </w:style>
  <w:style w:type="paragraph" w:customStyle="1" w:styleId="Apara3">
    <w:name w:val="Apara 3"/>
    <w:basedOn w:val="Para3"/>
    <w:uiPriority w:val="16"/>
    <w:rsid w:val="002E7B2B"/>
    <w:pPr>
      <w:numPr>
        <w:numId w:val="16"/>
      </w:numPr>
    </w:pPr>
  </w:style>
  <w:style w:type="paragraph" w:customStyle="1" w:styleId="Title-Figure">
    <w:name w:val="Title - Figure"/>
    <w:basedOn w:val="zzREPORTMASTERSTYLE"/>
    <w:next w:val="Para1"/>
    <w:uiPriority w:val="5"/>
    <w:qFormat/>
    <w:rsid w:val="00497F1E"/>
    <w:pPr>
      <w:keepNext/>
      <w:keepLines/>
      <w:numPr>
        <w:ilvl w:val="7"/>
        <w:numId w:val="24"/>
      </w:numPr>
      <w:spacing w:before="240"/>
      <w:jc w:val="center"/>
      <w:outlineLvl w:val="7"/>
    </w:pPr>
    <w:rPr>
      <w:b/>
    </w:rPr>
  </w:style>
  <w:style w:type="paragraph" w:customStyle="1" w:styleId="Title-Table">
    <w:name w:val="Title - Table"/>
    <w:basedOn w:val="zzREPORTMASTERSTYLE"/>
    <w:next w:val="Para1"/>
    <w:uiPriority w:val="6"/>
    <w:qFormat/>
    <w:rsid w:val="00BA72CD"/>
    <w:pPr>
      <w:keepNext/>
      <w:keepLines/>
      <w:numPr>
        <w:ilvl w:val="8"/>
        <w:numId w:val="24"/>
      </w:numPr>
      <w:spacing w:before="240"/>
      <w:jc w:val="center"/>
      <w:outlineLvl w:val="8"/>
    </w:pPr>
    <w:rPr>
      <w:b/>
    </w:rPr>
  </w:style>
  <w:style w:type="paragraph" w:customStyle="1" w:styleId="Apara4">
    <w:name w:val="Apara 4"/>
    <w:basedOn w:val="Para4"/>
    <w:uiPriority w:val="17"/>
    <w:rsid w:val="002E7B2B"/>
    <w:pPr>
      <w:numPr>
        <w:numId w:val="16"/>
      </w:numPr>
    </w:pPr>
  </w:style>
  <w:style w:type="paragraph" w:customStyle="1" w:styleId="Apara5">
    <w:name w:val="Apara 5"/>
    <w:basedOn w:val="Para5"/>
    <w:uiPriority w:val="18"/>
    <w:rsid w:val="006435F7"/>
    <w:pPr>
      <w:numPr>
        <w:numId w:val="16"/>
      </w:numPr>
    </w:pPr>
  </w:style>
  <w:style w:type="paragraph" w:customStyle="1" w:styleId="Heading0ExecSummary">
    <w:name w:val="Heading 0: Exec Summary"/>
    <w:basedOn w:val="Heading0Chapter"/>
    <w:next w:val="Xpara1"/>
    <w:uiPriority w:val="20"/>
    <w:rsid w:val="00485342"/>
    <w:pPr>
      <w:numPr>
        <w:numId w:val="4"/>
      </w:numPr>
    </w:pPr>
  </w:style>
  <w:style w:type="paragraph" w:customStyle="1" w:styleId="Heading0Attachment">
    <w:name w:val="Heading 0: Attachment"/>
    <w:basedOn w:val="Heading0Chapter"/>
    <w:next w:val="Apara1"/>
    <w:uiPriority w:val="21"/>
    <w:rsid w:val="00E03DBF"/>
    <w:pPr>
      <w:numPr>
        <w:numId w:val="16"/>
      </w:numPr>
    </w:pPr>
  </w:style>
  <w:style w:type="character" w:customStyle="1" w:styleId="UnnumberedL2Char">
    <w:name w:val="Unnumbered L2 Char"/>
    <w:link w:val="UnnumberedL2"/>
    <w:uiPriority w:val="51"/>
    <w:rsid w:val="00FB40D9"/>
    <w:rPr>
      <w:sz w:val="24"/>
      <w:szCs w:val="24"/>
      <w:lang w:val="en-NZ" w:eastAsia="en-US" w:bidi="ar-SA"/>
    </w:rPr>
  </w:style>
  <w:style w:type="paragraph" w:customStyle="1" w:styleId="Space6pt">
    <w:name w:val="Space (6pt)"/>
    <w:basedOn w:val="Normal"/>
    <w:uiPriority w:val="60"/>
    <w:rsid w:val="00836CEC"/>
    <w:rPr>
      <w:sz w:val="12"/>
    </w:rPr>
  </w:style>
  <w:style w:type="paragraph" w:customStyle="1" w:styleId="Tabletext">
    <w:name w:val="Table text"/>
    <w:basedOn w:val="zzREPORTMASTERSTYLE"/>
    <w:uiPriority w:val="99"/>
    <w:qFormat/>
    <w:rsid w:val="00D850E2"/>
    <w:pPr>
      <w:spacing w:before="60" w:after="60" w:line="264" w:lineRule="atLeast"/>
    </w:pPr>
    <w:rPr>
      <w:sz w:val="20"/>
    </w:rPr>
  </w:style>
  <w:style w:type="paragraph" w:styleId="DocumentMap">
    <w:name w:val="Document Map"/>
    <w:basedOn w:val="Normal"/>
    <w:link w:val="DocumentMapChar"/>
    <w:locked/>
    <w:rsid w:val="003646DC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646DC"/>
    <w:rPr>
      <w:rFonts w:ascii="Tahoma" w:hAnsi="Tahoma" w:cs="Tahoma"/>
      <w:sz w:val="16"/>
      <w:szCs w:val="16"/>
    </w:rPr>
  </w:style>
  <w:style w:type="character" w:customStyle="1" w:styleId="Tabletext-12point">
    <w:name w:val="Table text - 12 point"/>
    <w:uiPriority w:val="99"/>
    <w:rsid w:val="006C6168"/>
    <w:rPr>
      <w:sz w:val="24"/>
    </w:rPr>
  </w:style>
  <w:style w:type="paragraph" w:customStyle="1" w:styleId="UnnumberedL1">
    <w:name w:val="Unnumbered L1"/>
    <w:basedOn w:val="BodyText"/>
    <w:qFormat/>
    <w:rsid w:val="00FB40D9"/>
  </w:style>
  <w:style w:type="paragraph" w:customStyle="1" w:styleId="UnnumberedL2">
    <w:name w:val="Unnumbered L2"/>
    <w:basedOn w:val="BodyText"/>
    <w:link w:val="UnnumberedL2Char"/>
    <w:uiPriority w:val="51"/>
    <w:qFormat/>
    <w:rsid w:val="00FB40D9"/>
    <w:pPr>
      <w:ind w:left="709"/>
    </w:pPr>
  </w:style>
  <w:style w:type="paragraph" w:customStyle="1" w:styleId="UnnumberedL3">
    <w:name w:val="Unnumbered L3"/>
    <w:basedOn w:val="BodyText"/>
    <w:qFormat/>
    <w:rsid w:val="00FB40D9"/>
    <w:pPr>
      <w:ind w:left="1559"/>
    </w:pPr>
  </w:style>
  <w:style w:type="paragraph" w:customStyle="1" w:styleId="zForm-Clausereference">
    <w:name w:val="z Form - Clause reference"/>
    <w:basedOn w:val="zzREPORTMASTERSTYLE"/>
    <w:locked/>
    <w:rsid w:val="00D040CA"/>
    <w:pPr>
      <w:keepNext/>
      <w:keepLines/>
      <w:spacing w:before="240" w:after="240"/>
      <w:jc w:val="right"/>
    </w:pPr>
    <w:rPr>
      <w:i/>
    </w:rPr>
  </w:style>
  <w:style w:type="paragraph" w:customStyle="1" w:styleId="zFormHeading">
    <w:name w:val="z Form Heading"/>
    <w:basedOn w:val="zzREPORTMASTERSTYLE"/>
    <w:next w:val="Normal"/>
    <w:semiHidden/>
    <w:locked/>
    <w:rsid w:val="00C44D96"/>
    <w:pPr>
      <w:spacing w:before="120" w:after="360"/>
      <w:jc w:val="center"/>
    </w:pPr>
    <w:rPr>
      <w:b/>
      <w:caps/>
      <w:sz w:val="28"/>
    </w:rPr>
  </w:style>
  <w:style w:type="character" w:styleId="EndnoteReference">
    <w:name w:val="endnote reference"/>
    <w:semiHidden/>
    <w:locked/>
    <w:rsid w:val="003646DC"/>
    <w:rPr>
      <w:vertAlign w:val="superscript"/>
    </w:rPr>
  </w:style>
  <w:style w:type="paragraph" w:customStyle="1" w:styleId="BodyTextCentered">
    <w:name w:val="Body Text Centered"/>
    <w:basedOn w:val="BodyText"/>
    <w:uiPriority w:val="62"/>
    <w:qFormat/>
    <w:rsid w:val="00F06E70"/>
    <w:pPr>
      <w:jc w:val="center"/>
    </w:pPr>
  </w:style>
  <w:style w:type="character" w:styleId="SubtleEmphasis">
    <w:name w:val="Subtle Emphasis"/>
    <w:uiPriority w:val="19"/>
    <w:semiHidden/>
    <w:locked/>
    <w:rsid w:val="00AE4714"/>
    <w:rPr>
      <w:i/>
      <w:iCs/>
      <w:color w:val="808080"/>
    </w:rPr>
  </w:style>
  <w:style w:type="paragraph" w:customStyle="1" w:styleId="Tabletext-BulletBorderedRound">
    <w:name w:val="Table text - Bullet Bordered Round"/>
    <w:basedOn w:val="Tabletext"/>
    <w:uiPriority w:val="99"/>
    <w:qFormat/>
    <w:rsid w:val="00294F52"/>
    <w:pPr>
      <w:numPr>
        <w:ilvl w:val="1"/>
        <w:numId w:val="15"/>
      </w:numPr>
    </w:pPr>
  </w:style>
  <w:style w:type="paragraph" w:customStyle="1" w:styleId="Para5">
    <w:name w:val="Para 5"/>
    <w:basedOn w:val="BodyText"/>
    <w:qFormat/>
    <w:rsid w:val="006435F7"/>
    <w:pPr>
      <w:numPr>
        <w:ilvl w:val="5"/>
        <w:numId w:val="24"/>
      </w:numPr>
    </w:pPr>
  </w:style>
  <w:style w:type="paragraph" w:customStyle="1" w:styleId="zInstructions">
    <w:name w:val="z_Instructions"/>
    <w:basedOn w:val="zzREPORTMASTERSTYLE"/>
    <w:semiHidden/>
    <w:locked/>
    <w:rsid w:val="00701E9A"/>
    <w:pPr>
      <w:shd w:val="clear" w:color="auto" w:fill="A6A6A6"/>
      <w:spacing w:line="260" w:lineRule="atLeast"/>
    </w:pPr>
    <w:rPr>
      <w:color w:val="FFFFFF"/>
      <w:sz w:val="22"/>
      <w:szCs w:val="20"/>
      <w:lang w:eastAsia="en-GB"/>
    </w:rPr>
  </w:style>
  <w:style w:type="paragraph" w:customStyle="1" w:styleId="zReportsubtitle">
    <w:name w:val="z_Report sub title"/>
    <w:basedOn w:val="zzREPORTMASTERSTYLE"/>
    <w:rsid w:val="00701E9A"/>
    <w:rPr>
      <w:b/>
      <w:sz w:val="28"/>
      <w:szCs w:val="20"/>
      <w:lang w:eastAsia="en-GB"/>
    </w:rPr>
  </w:style>
  <w:style w:type="paragraph" w:customStyle="1" w:styleId="Note">
    <w:name w:val="Note"/>
    <w:basedOn w:val="zzREPORTMASTERSTYLE"/>
    <w:uiPriority w:val="60"/>
    <w:qFormat/>
    <w:rsid w:val="00985B5B"/>
    <w:pPr>
      <w:tabs>
        <w:tab w:val="left" w:pos="964"/>
      </w:tabs>
      <w:spacing w:after="240" w:line="264" w:lineRule="auto"/>
      <w:ind w:left="709"/>
      <w:contextualSpacing/>
    </w:pPr>
    <w:rPr>
      <w:i/>
      <w:sz w:val="18"/>
    </w:rPr>
  </w:style>
  <w:style w:type="paragraph" w:customStyle="1" w:styleId="Tabletext-Heading">
    <w:name w:val="Table text -Heading"/>
    <w:basedOn w:val="Tabletext"/>
    <w:uiPriority w:val="99"/>
    <w:qFormat/>
    <w:rsid w:val="00701E9A"/>
    <w:pPr>
      <w:keepNext/>
      <w:jc w:val="center"/>
    </w:pPr>
    <w:rPr>
      <w:rFonts w:cs="Arial"/>
      <w:b/>
      <w:szCs w:val="17"/>
      <w:lang w:eastAsia="en-GB"/>
    </w:rPr>
  </w:style>
  <w:style w:type="paragraph" w:customStyle="1" w:styleId="Tabletext-BulletSolidRound">
    <w:name w:val="Table text - Bullet Solid Round"/>
    <w:basedOn w:val="zzREPORTMASTERSTYLE"/>
    <w:uiPriority w:val="99"/>
    <w:rsid w:val="008421D9"/>
    <w:pPr>
      <w:numPr>
        <w:numId w:val="15"/>
      </w:numPr>
      <w:spacing w:before="60" w:after="60" w:line="264" w:lineRule="atLeast"/>
    </w:pPr>
    <w:rPr>
      <w:rFonts w:cs="Arial"/>
      <w:sz w:val="20"/>
      <w:szCs w:val="17"/>
      <w:lang w:eastAsia="en-GB"/>
    </w:rPr>
  </w:style>
  <w:style w:type="character" w:customStyle="1" w:styleId="BodyTextIndentChar">
    <w:name w:val="Body Text Indent Char"/>
    <w:link w:val="BodyTextIndent"/>
    <w:semiHidden/>
    <w:rsid w:val="008F49CB"/>
    <w:rPr>
      <w:sz w:val="24"/>
      <w:szCs w:val="24"/>
    </w:rPr>
  </w:style>
  <w:style w:type="paragraph" w:customStyle="1" w:styleId="Singlespacedparagraph">
    <w:name w:val="Single spaced paragraph"/>
    <w:basedOn w:val="zzREPORTMASTERSTYLE"/>
    <w:semiHidden/>
    <w:locked/>
    <w:rsid w:val="00701E9A"/>
    <w:rPr>
      <w:szCs w:val="20"/>
      <w:lang w:eastAsia="en-GB"/>
    </w:rPr>
  </w:style>
  <w:style w:type="paragraph" w:customStyle="1" w:styleId="Quotation">
    <w:name w:val="Quotation"/>
    <w:basedOn w:val="BodyText"/>
    <w:qFormat/>
    <w:rsid w:val="005D0180"/>
    <w:pPr>
      <w:ind w:left="709" w:right="709"/>
    </w:pPr>
    <w:rPr>
      <w:sz w:val="20"/>
      <w:szCs w:val="20"/>
      <w:lang w:eastAsia="en-GB"/>
    </w:rPr>
  </w:style>
  <w:style w:type="paragraph" w:styleId="EndnoteText">
    <w:name w:val="endnote text"/>
    <w:basedOn w:val="Normal"/>
    <w:link w:val="EndnoteTextChar"/>
    <w:semiHidden/>
    <w:locked/>
    <w:rsid w:val="008F49CB"/>
    <w:rPr>
      <w:sz w:val="20"/>
      <w:szCs w:val="20"/>
    </w:rPr>
  </w:style>
  <w:style w:type="table" w:customStyle="1" w:styleId="Table-ComComblack">
    <w:name w:val="Table - ComCom black"/>
    <w:basedOn w:val="TableNormal"/>
    <w:uiPriority w:val="99"/>
    <w:rsid w:val="00C678D4"/>
    <w:pPr>
      <w:spacing w:before="60" w:after="60" w:line="264" w:lineRule="auto"/>
      <w:ind w:left="57" w:right="57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blStylePr w:type="lastCol">
      <w:pPr>
        <w:tabs>
          <w:tab w:val="decimal" w:pos="851"/>
        </w:tabs>
      </w:pPr>
    </w:tblStylePr>
  </w:style>
  <w:style w:type="character" w:customStyle="1" w:styleId="EndnoteTextChar">
    <w:name w:val="Endnote Text Char"/>
    <w:basedOn w:val="DefaultParagraphFont"/>
    <w:link w:val="EndnoteText"/>
    <w:semiHidden/>
    <w:rsid w:val="008F49CB"/>
  </w:style>
  <w:style w:type="character" w:customStyle="1" w:styleId="HeaderChar">
    <w:name w:val="Header Char"/>
    <w:aliases w:val="Table of Contents Char"/>
    <w:link w:val="Header"/>
    <w:uiPriority w:val="99"/>
    <w:rsid w:val="00EA0AD5"/>
    <w:rPr>
      <w:szCs w:val="24"/>
      <w:lang w:eastAsia="en-US"/>
    </w:rPr>
  </w:style>
  <w:style w:type="paragraph" w:customStyle="1" w:styleId="Atitle-Box">
    <w:name w:val="Atitle - Box"/>
    <w:basedOn w:val="Title-Figure"/>
    <w:uiPriority w:val="60"/>
    <w:rsid w:val="004D4896"/>
    <w:pPr>
      <w:numPr>
        <w:ilvl w:val="6"/>
        <w:numId w:val="16"/>
      </w:numPr>
    </w:pPr>
  </w:style>
  <w:style w:type="character" w:customStyle="1" w:styleId="Tabletext-11point">
    <w:name w:val="Table text - 11 point"/>
    <w:uiPriority w:val="49"/>
    <w:qFormat/>
    <w:rsid w:val="00B62730"/>
    <w:rPr>
      <w:sz w:val="22"/>
      <w:szCs w:val="22"/>
    </w:rPr>
  </w:style>
  <w:style w:type="paragraph" w:styleId="BlockText">
    <w:name w:val="Block Text"/>
    <w:basedOn w:val="Normal"/>
    <w:semiHidden/>
    <w:locked/>
    <w:rsid w:val="00B85497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semiHidden/>
    <w:locked/>
    <w:rsid w:val="00B85497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B85497"/>
    <w:rPr>
      <w:sz w:val="24"/>
      <w:szCs w:val="24"/>
    </w:rPr>
  </w:style>
  <w:style w:type="paragraph" w:styleId="BodyText3">
    <w:name w:val="Body Text 3"/>
    <w:basedOn w:val="Normal"/>
    <w:link w:val="BodyText3Char"/>
    <w:semiHidden/>
    <w:locked/>
    <w:rsid w:val="00B8549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B85497"/>
    <w:rPr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locked/>
    <w:rsid w:val="00B8549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semiHidden/>
    <w:rsid w:val="00B85497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locked/>
    <w:rsid w:val="00B854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B85497"/>
    <w:rPr>
      <w:sz w:val="16"/>
      <w:szCs w:val="16"/>
    </w:rPr>
  </w:style>
  <w:style w:type="character" w:styleId="Emphasis">
    <w:name w:val="Emphasis"/>
    <w:semiHidden/>
    <w:locked/>
    <w:rsid w:val="00B85497"/>
    <w:rPr>
      <w:i/>
      <w:iCs/>
    </w:rPr>
  </w:style>
  <w:style w:type="table" w:styleId="TableProfessional">
    <w:name w:val="Table Professional"/>
    <w:basedOn w:val="TableNormal"/>
    <w:locked/>
    <w:rsid w:val="00B8549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FooterChar">
    <w:name w:val="Footer Char"/>
    <w:link w:val="Footer"/>
    <w:uiPriority w:val="99"/>
    <w:rsid w:val="005272E5"/>
    <w:rPr>
      <w:sz w:val="16"/>
      <w:szCs w:val="24"/>
      <w:lang w:eastAsia="en-US"/>
    </w:rPr>
  </w:style>
  <w:style w:type="paragraph" w:customStyle="1" w:styleId="zContents">
    <w:name w:val="z_Contents"/>
    <w:basedOn w:val="BodyText"/>
    <w:rsid w:val="00436F53"/>
    <w:pPr>
      <w:keepNext/>
      <w:spacing w:line="240" w:lineRule="auto"/>
    </w:pPr>
    <w:rPr>
      <w:b/>
      <w:caps/>
      <w:sz w:val="28"/>
    </w:rPr>
  </w:style>
  <w:style w:type="numbering" w:customStyle="1" w:styleId="Outlinestyle">
    <w:name w:val="Outline style"/>
    <w:basedOn w:val="NoList"/>
    <w:uiPriority w:val="99"/>
    <w:rsid w:val="00CC0FF6"/>
    <w:pPr>
      <w:numPr>
        <w:numId w:val="18"/>
      </w:numPr>
    </w:pPr>
  </w:style>
  <w:style w:type="paragraph" w:customStyle="1" w:styleId="Tablebodytext">
    <w:name w:val="Table body text"/>
    <w:basedOn w:val="BodyText"/>
    <w:qFormat/>
    <w:rsid w:val="00CC0FF6"/>
    <w:rPr>
      <w:rFonts w:cs="Arial"/>
      <w:szCs w:val="17"/>
      <w:lang w:eastAsia="en-GB"/>
    </w:rPr>
  </w:style>
  <w:style w:type="paragraph" w:customStyle="1" w:styleId="Tablebullet">
    <w:name w:val="Table bullet"/>
    <w:basedOn w:val="Tablebodytext"/>
    <w:qFormat/>
    <w:rsid w:val="00C6275A"/>
    <w:pPr>
      <w:numPr>
        <w:numId w:val="19"/>
      </w:numPr>
    </w:pPr>
  </w:style>
  <w:style w:type="numbering" w:customStyle="1" w:styleId="Tablebulletlist">
    <w:name w:val="Table bullet list"/>
    <w:uiPriority w:val="99"/>
    <w:rsid w:val="00C6275A"/>
    <w:pPr>
      <w:numPr>
        <w:numId w:val="19"/>
      </w:numPr>
    </w:pPr>
  </w:style>
  <w:style w:type="paragraph" w:customStyle="1" w:styleId="Default">
    <w:name w:val="Default"/>
    <w:rsid w:val="00C627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customStyle="1" w:styleId="NumberedL1-Indent">
    <w:name w:val="Numbered L1 - Indent"/>
    <w:basedOn w:val="UnnumberedL1-Indent"/>
    <w:next w:val="Normal"/>
    <w:uiPriority w:val="63"/>
    <w:qFormat/>
    <w:rsid w:val="00DB540E"/>
    <w:pPr>
      <w:numPr>
        <w:numId w:val="20"/>
      </w:numPr>
    </w:pPr>
  </w:style>
  <w:style w:type="paragraph" w:customStyle="1" w:styleId="HeadingH6ClausesubtextL2">
    <w:name w:val="Heading H6: Clause subtext L2"/>
    <w:basedOn w:val="Normal"/>
    <w:link w:val="HeadingH6ClausesubtextL2Char"/>
    <w:qFormat/>
    <w:rsid w:val="00D30464"/>
    <w:pPr>
      <w:spacing w:after="240" w:line="264" w:lineRule="auto"/>
      <w:ind w:left="2126" w:hanging="708"/>
      <w:outlineLvl w:val="5"/>
    </w:pPr>
    <w:rPr>
      <w:lang w:eastAsia="en-US"/>
    </w:rPr>
  </w:style>
  <w:style w:type="character" w:customStyle="1" w:styleId="HeadingH6ClausesubtextL2Char">
    <w:name w:val="Heading H6: Clause subtext L2 Char"/>
    <w:link w:val="HeadingH6ClausesubtextL2"/>
    <w:locked/>
    <w:rsid w:val="00D30464"/>
    <w:rPr>
      <w:sz w:val="24"/>
      <w:szCs w:val="24"/>
      <w:lang w:eastAsia="en-US"/>
    </w:rPr>
  </w:style>
  <w:style w:type="paragraph" w:customStyle="1" w:styleId="HeadingH4Clausetext">
    <w:name w:val="Heading H4: Clause text"/>
    <w:basedOn w:val="Normal"/>
    <w:link w:val="HeadingH4ClausetextChar"/>
    <w:qFormat/>
    <w:rsid w:val="007F6144"/>
    <w:pPr>
      <w:keepNext/>
      <w:spacing w:after="240" w:line="264" w:lineRule="auto"/>
      <w:ind w:left="709" w:hanging="709"/>
      <w:outlineLvl w:val="3"/>
    </w:pPr>
    <w:rPr>
      <w:lang w:eastAsia="en-GB"/>
    </w:rPr>
  </w:style>
  <w:style w:type="character" w:customStyle="1" w:styleId="HeadingH4ClausetextChar">
    <w:name w:val="Heading H4: Clause text Char"/>
    <w:link w:val="HeadingH4Clausetext"/>
    <w:rsid w:val="007F6144"/>
    <w:rPr>
      <w:sz w:val="24"/>
      <w:szCs w:val="24"/>
      <w:lang w:eastAsia="en-GB"/>
    </w:rPr>
  </w:style>
  <w:style w:type="paragraph" w:customStyle="1" w:styleId="HeadingH5ClausesubtextL1">
    <w:name w:val="Heading H5: Clause subtext L1"/>
    <w:basedOn w:val="Normal"/>
    <w:qFormat/>
    <w:rsid w:val="004854CB"/>
    <w:pPr>
      <w:tabs>
        <w:tab w:val="num" w:pos="1440"/>
      </w:tabs>
      <w:spacing w:after="240" w:line="264" w:lineRule="auto"/>
      <w:ind w:left="1440" w:hanging="360"/>
      <w:outlineLvl w:val="4"/>
    </w:pPr>
    <w:rPr>
      <w:lang w:eastAsia="en-GB"/>
    </w:rPr>
  </w:style>
  <w:style w:type="paragraph" w:customStyle="1" w:styleId="HeadingH7ClausesubtextL3">
    <w:name w:val="Heading H7: Clause subtext L3"/>
    <w:basedOn w:val="Normal"/>
    <w:qFormat/>
    <w:rsid w:val="004854CB"/>
    <w:pPr>
      <w:tabs>
        <w:tab w:val="num" w:pos="2160"/>
      </w:tabs>
      <w:spacing w:after="240" w:line="264" w:lineRule="auto"/>
      <w:ind w:left="2160" w:hanging="360"/>
      <w:outlineLvl w:val="6"/>
    </w:pPr>
    <w:rPr>
      <w:lang w:eastAsia="en-US"/>
    </w:rPr>
  </w:style>
  <w:style w:type="paragraph" w:customStyle="1" w:styleId="HeadingH2">
    <w:name w:val="Heading H2"/>
    <w:basedOn w:val="Normal"/>
    <w:qFormat/>
    <w:rsid w:val="004854CB"/>
    <w:pPr>
      <w:tabs>
        <w:tab w:val="num" w:pos="360"/>
      </w:tabs>
      <w:spacing w:before="360" w:after="120"/>
      <w:ind w:left="360" w:hanging="360"/>
      <w:jc w:val="center"/>
    </w:pPr>
    <w:rPr>
      <w:rFonts w:eastAsia="Calibri"/>
      <w:b/>
      <w:bCs/>
      <w:sz w:val="28"/>
      <w:szCs w:val="28"/>
    </w:rPr>
  </w:style>
  <w:style w:type="paragraph" w:customStyle="1" w:styleId="HeadingH3SectionHeading">
    <w:name w:val="Heading H3: Section Heading"/>
    <w:basedOn w:val="Normal"/>
    <w:qFormat/>
    <w:rsid w:val="004854CB"/>
    <w:pPr>
      <w:keepNext/>
      <w:tabs>
        <w:tab w:val="num" w:pos="720"/>
      </w:tabs>
      <w:spacing w:after="240"/>
      <w:ind w:left="720" w:hanging="360"/>
    </w:pPr>
    <w:rPr>
      <w:rFonts w:eastAsia="Calibri"/>
      <w:b/>
      <w:bCs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OCHeading">
    <w:name w:val="Tablebulletlist"/>
    <w:pPr>
      <w:numPr>
        <w:numId w:val="19"/>
      </w:numPr>
    </w:pPr>
  </w:style>
  <w:style w:type="numbering" w:customStyle="1" w:styleId="1ai">
    <w:name w:val="1ai"/>
    <w:pPr>
      <w:numPr>
        <w:numId w:val="1"/>
      </w:numPr>
    </w:pPr>
  </w:style>
  <w:style w:type="numbering" w:customStyle="1" w:styleId="ArticleSection">
    <w:name w:val="Outlinestyle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comcom.govt.nz/regulated-industries/electricity/electricity-transmission/transpower-information-disclosu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F664B-666D-4344-9083-0569C20F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3691</Words>
  <Characters>21157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Commerce Commission Report Template</vt:lpstr>
    </vt:vector>
  </TitlesOfParts>
  <Company/>
  <LinksUpToDate>false</LinksUpToDate>
  <CharactersWithSpaces>24799</CharactersWithSpaces>
  <SharedDoc>false</SharedDoc>
  <HLinks>
    <vt:vector size="156" baseType="variant">
      <vt:variant>
        <vt:i4>1376311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_Toc338958907</vt:lpwstr>
      </vt:variant>
      <vt:variant>
        <vt:i4>1376311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_Toc338958906</vt:lpwstr>
      </vt:variant>
      <vt:variant>
        <vt:i4>1376311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_Toc338958905</vt:lpwstr>
      </vt:variant>
      <vt:variant>
        <vt:i4>1376311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_Toc338958904</vt:lpwstr>
      </vt:variant>
      <vt:variant>
        <vt:i4>1376311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_Toc338958903</vt:lpwstr>
      </vt:variant>
      <vt:variant>
        <vt:i4>1376311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_Toc338958902</vt:lpwstr>
      </vt:variant>
      <vt:variant>
        <vt:i4>1376311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_Toc338958901</vt:lpwstr>
      </vt:variant>
      <vt:variant>
        <vt:i4>1376311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_Toc338958900</vt:lpwstr>
      </vt:variant>
      <vt:variant>
        <vt:i4>1835062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_Toc338958899</vt:lpwstr>
      </vt:variant>
      <vt:variant>
        <vt:i4>1835062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_Toc338958898</vt:lpwstr>
      </vt:variant>
      <vt:variant>
        <vt:i4>1835062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_Toc338958897</vt:lpwstr>
      </vt:variant>
      <vt:variant>
        <vt:i4>1835062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_Toc338958896</vt:lpwstr>
      </vt:variant>
      <vt:variant>
        <vt:i4>1835062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_Toc338958895</vt:lpwstr>
      </vt:variant>
      <vt:variant>
        <vt:i4>1835062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_Toc338958894</vt:lpwstr>
      </vt:variant>
      <vt:variant>
        <vt:i4>1835062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_Toc338958893</vt:lpwstr>
      </vt:variant>
      <vt:variant>
        <vt:i4>1835062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_Toc338958892</vt:lpwstr>
      </vt:variant>
      <vt:variant>
        <vt:i4>1835062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_Toc338958891</vt:lpwstr>
      </vt:variant>
      <vt:variant>
        <vt:i4>1835062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_Toc338958890</vt:lpwstr>
      </vt:variant>
      <vt:variant>
        <vt:i4>1900598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_Toc338958889</vt:lpwstr>
      </vt:variant>
      <vt:variant>
        <vt:i4>1900598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_Toc338958888</vt:lpwstr>
      </vt:variant>
      <vt:variant>
        <vt:i4>1900598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_Toc338958887</vt:lpwstr>
      </vt:variant>
      <vt:variant>
        <vt:i4>1900598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_Toc338958886</vt:lpwstr>
      </vt:variant>
      <vt:variant>
        <vt:i4>1900598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_Toc338958885</vt:lpwstr>
      </vt:variant>
      <vt:variant>
        <vt:i4>1900598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_Toc338958884</vt:lpwstr>
      </vt:variant>
      <vt:variant>
        <vt:i4>1900598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_Toc338958883</vt:lpwstr>
      </vt:variant>
      <vt:variant>
        <vt:i4>1900598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_Toc338958882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Commerce Commission Report Template</dc:title>
  <dc:subject/>
  <dc:creator>Shiree Hart | Allfields</dc:creator>
  <cp:keywords/>
  <cp:lastModifiedBy>royd</cp:lastModifiedBy>
  <cp:revision>2</cp:revision>
  <cp:lastPrinted>2014-02-06T20:47:00Z</cp:lastPrinted>
  <dcterms:created xsi:type="dcterms:W3CDTF">2014-02-07T00:35:00Z</dcterms:created>
  <dcterms:modified xsi:type="dcterms:W3CDTF">2014-02-07T00:35:00Z</dcterms:modified>
</cp:coreProperties>
</file>