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855"/>
        <w:tblW w:w="0" w:type="auto"/>
        <w:tblLook w:val="04A0" w:firstRow="1" w:lastRow="0" w:firstColumn="1" w:lastColumn="0" w:noHBand="0" w:noVBand="1"/>
      </w:tblPr>
      <w:tblGrid>
        <w:gridCol w:w="4621"/>
        <w:gridCol w:w="4622"/>
      </w:tblGrid>
      <w:tr w:rsidR="004C7D66" w:rsidTr="004C7D66">
        <w:tc>
          <w:tcPr>
            <w:tcW w:w="4621" w:type="dxa"/>
          </w:tcPr>
          <w:p w:rsidR="004C7D66" w:rsidRPr="004C7D66" w:rsidRDefault="004C7D66" w:rsidP="004C7D66">
            <w:pPr>
              <w:pStyle w:val="ListParagraph"/>
              <w:numPr>
                <w:ilvl w:val="0"/>
                <w:numId w:val="21"/>
              </w:numPr>
              <w:spacing w:before="120" w:after="120" w:line="120" w:lineRule="atLeast"/>
              <w:rPr>
                <w:b/>
                <w:bCs/>
              </w:rPr>
            </w:pPr>
            <w:r>
              <w:rPr>
                <w:b/>
                <w:bCs/>
              </w:rPr>
              <w:t>What underpins the NZIER assessment about the absolute size of the rebuild?</w:t>
            </w:r>
          </w:p>
        </w:tc>
        <w:tc>
          <w:tcPr>
            <w:tcW w:w="4622" w:type="dxa"/>
          </w:tcPr>
          <w:p w:rsidR="004C7D66" w:rsidRDefault="004C7D66" w:rsidP="004C7D66">
            <w:pPr>
              <w:spacing w:before="120" w:after="120" w:line="120" w:lineRule="atLeast"/>
            </w:pPr>
            <w:r>
              <w:t xml:space="preserve">NZIER </w:t>
            </w:r>
            <w:r w:rsidR="001D1AAB">
              <w:t xml:space="preserve">advises that it </w:t>
            </w:r>
            <w:r>
              <w:t>estimates the scale of the construction task to be completed (post 2011) to be 980,000 person months of labour. A</w:t>
            </w:r>
            <w:r w:rsidR="001D1AAB">
              <w:t>s detailed on page 7 of the</w:t>
            </w:r>
            <w:r>
              <w:t xml:space="preserve"> NZIER report, the scale of this task has two dimensions. One is its absolute size. The other is the time over which the work will be completed. </w:t>
            </w:r>
          </w:p>
          <w:p w:rsidR="004C7D66" w:rsidRDefault="004C7D66" w:rsidP="004C7D66">
            <w:pPr>
              <w:pStyle w:val="BodyText"/>
            </w:pPr>
            <w:r>
              <w:t>The key element of rebu</w:t>
            </w:r>
            <w:r w:rsidR="001D1AAB">
              <w:t>ild size is shown on page 6 in F</w:t>
            </w:r>
            <w:r>
              <w:t>igure 4 of the</w:t>
            </w:r>
            <w:r w:rsidR="001D1AAB">
              <w:t xml:space="preserve"> </w:t>
            </w:r>
            <w:r>
              <w:t>NZIER report where the total rebuild task is broken down by person months of work and areas of work. As out</w:t>
            </w:r>
            <w:r w:rsidR="001D1AAB">
              <w:t>lined on page 14 of the NZIER</w:t>
            </w:r>
            <w:r>
              <w:t xml:space="preserve"> report the construction task is measured using typical person months per $1 million dollars of work, based on a bottom up model of project and skill needs. Time to build is assumed to be an average of 7 months. This is a weighted average of project durations for each type of project; these durations range from an assumed average of one month for repair work to an average of nine months for non-residential and infrastructure projects. There will of course be significant variation around these averages. </w:t>
            </w:r>
          </w:p>
          <w:p w:rsidR="004C7D66" w:rsidRDefault="004C7D66" w:rsidP="004C7D66">
            <w:pPr>
              <w:spacing w:before="120" w:after="120" w:line="120" w:lineRule="atLeast"/>
            </w:pPr>
            <w:r>
              <w:t>As outlined on page 3 of the June</w:t>
            </w:r>
            <w:r w:rsidR="001D1AAB">
              <w:t xml:space="preserve"> 2013 </w:t>
            </w:r>
            <w:r>
              <w:t xml:space="preserve"> NZIER</w:t>
            </w:r>
            <w:r w:rsidR="001D1AAB">
              <w:t xml:space="preserve"> report and page 14 of the </w:t>
            </w:r>
            <w:r>
              <w:t>NZIER report, NZIER has paid attention to the significant uncertainties regarding the cost of the rebuild. The absolute cost of the rebuild was evaluated at an aggregate of $27.6b (in 2010/11) dollars. More recent higher estimates (e.g. $40b) were not used because it cannot be determined the extent</w:t>
            </w:r>
            <w:r w:rsidR="001D1AAB">
              <w:t xml:space="preserve"> to which those different</w:t>
            </w:r>
            <w:r>
              <w:t xml:space="preserve"> estimates included cost escalation. </w:t>
            </w:r>
          </w:p>
        </w:tc>
      </w:tr>
    </w:tbl>
    <w:p w:rsidR="001D1AAB" w:rsidRPr="004C7D66" w:rsidRDefault="001D1AAB" w:rsidP="001D1AAB">
      <w:pPr>
        <w:rPr>
          <w:b/>
        </w:rPr>
      </w:pPr>
      <w:r w:rsidRPr="004C7D66">
        <w:rPr>
          <w:b/>
        </w:rPr>
        <w:t>ORION CPP PROJECT</w:t>
      </w:r>
    </w:p>
    <w:p w:rsidR="001D1AAB" w:rsidRPr="004C7D66" w:rsidRDefault="001D1AAB" w:rsidP="001D1AAB">
      <w:pPr>
        <w:rPr>
          <w:b/>
        </w:rPr>
      </w:pPr>
      <w:r w:rsidRPr="004C7D66">
        <w:rPr>
          <w:b/>
        </w:rPr>
        <w:t xml:space="preserve">Response to Orion questions per letter of 29 August 2013 on NZIER </w:t>
      </w:r>
      <w:r>
        <w:rPr>
          <w:b/>
        </w:rPr>
        <w:t xml:space="preserve">July 2013 </w:t>
      </w:r>
      <w:r w:rsidRPr="004C7D66">
        <w:rPr>
          <w:b/>
        </w:rPr>
        <w:t>Report</w:t>
      </w:r>
    </w:p>
    <w:p w:rsidR="001D1AAB" w:rsidRDefault="001D1AAB">
      <w:r>
        <w:br w:type="page"/>
      </w:r>
    </w:p>
    <w:tbl>
      <w:tblPr>
        <w:tblStyle w:val="TableGrid"/>
        <w:tblpPr w:leftFromText="180" w:rightFromText="180" w:horzAnchor="margin" w:tblpY="855"/>
        <w:tblW w:w="0" w:type="auto"/>
        <w:tblLook w:val="04A0" w:firstRow="1" w:lastRow="0" w:firstColumn="1" w:lastColumn="0" w:noHBand="0" w:noVBand="1"/>
      </w:tblPr>
      <w:tblGrid>
        <w:gridCol w:w="4621"/>
        <w:gridCol w:w="4622"/>
      </w:tblGrid>
      <w:tr w:rsidR="004C7D66" w:rsidTr="004C7D66">
        <w:tc>
          <w:tcPr>
            <w:tcW w:w="4621" w:type="dxa"/>
          </w:tcPr>
          <w:p w:rsidR="004C7D66" w:rsidRPr="001D1AAB" w:rsidRDefault="004C7D66" w:rsidP="001D1AAB">
            <w:pPr>
              <w:pStyle w:val="ListParagraph"/>
              <w:numPr>
                <w:ilvl w:val="0"/>
                <w:numId w:val="21"/>
              </w:numPr>
              <w:spacing w:before="120" w:after="120" w:line="120" w:lineRule="atLeast"/>
              <w:rPr>
                <w:b/>
                <w:bCs/>
              </w:rPr>
            </w:pPr>
            <w:r w:rsidRPr="001D1AAB">
              <w:rPr>
                <w:b/>
                <w:bCs/>
              </w:rPr>
              <w:lastRenderedPageBreak/>
              <w:t>Has NZIER conducted sensitivity tests about the impact of its assessment to changes in the size of the absolute size of the rebuild?  If so could it provide a measure of the sensitivity of their wage forecasts to changing this assumption? (as Figure 2 in their 17 June report indicates official estimates of the rebuild costs more than doubled between June 2011 and June 2013).</w:t>
            </w:r>
          </w:p>
        </w:tc>
        <w:tc>
          <w:tcPr>
            <w:tcW w:w="4622" w:type="dxa"/>
          </w:tcPr>
          <w:p w:rsidR="004C7D66" w:rsidRDefault="004C7D66" w:rsidP="004C7D66">
            <w:pPr>
              <w:spacing w:before="120" w:after="120" w:line="120" w:lineRule="atLeast"/>
            </w:pPr>
            <w:r>
              <w:t>As s</w:t>
            </w:r>
            <w:r w:rsidR="001D1AAB">
              <w:t>et out on page 7 of the NZIER</w:t>
            </w:r>
            <w:r>
              <w:t xml:space="preserve"> report, the output gap is the key driver of cost escalation. The size of output gap over time is dependent on timing assumptions and the amount of planned work. The sensitivity of the output gap to the absolute size of the rebuild is analogous to the sensitivity of the output gap to the timing assumptions.  </w:t>
            </w:r>
          </w:p>
        </w:tc>
      </w:tr>
      <w:tr w:rsidR="004C7D66" w:rsidTr="004C7D66">
        <w:tc>
          <w:tcPr>
            <w:tcW w:w="4621" w:type="dxa"/>
          </w:tcPr>
          <w:p w:rsidR="004C7D66" w:rsidRDefault="004C7D66" w:rsidP="001D1AAB">
            <w:pPr>
              <w:pStyle w:val="ListParagraph"/>
              <w:numPr>
                <w:ilvl w:val="0"/>
                <w:numId w:val="21"/>
              </w:numPr>
              <w:spacing w:before="120" w:after="120" w:line="120" w:lineRule="atLeast"/>
              <w:rPr>
                <w:b/>
                <w:bCs/>
              </w:rPr>
            </w:pPr>
            <w:r>
              <w:rPr>
                <w:b/>
                <w:bCs/>
              </w:rPr>
              <w:t>Can the NZIER provide the elasticities that underpin its system dynamics model?</w:t>
            </w:r>
          </w:p>
          <w:p w:rsidR="004C7D66" w:rsidRDefault="004C7D66" w:rsidP="004C7D66"/>
        </w:tc>
        <w:tc>
          <w:tcPr>
            <w:tcW w:w="4622" w:type="dxa"/>
          </w:tcPr>
          <w:p w:rsidR="004C7D66" w:rsidRDefault="004C7D66" w:rsidP="004C7D66">
            <w:pPr>
              <w:spacing w:before="120" w:after="120" w:line="120" w:lineRule="atLeast"/>
            </w:pPr>
            <w:r>
              <w:t xml:space="preserve">We have assumed that this question is referring to the elasticity of labour supply. The labour supply curve is </w:t>
            </w:r>
            <w:r w:rsidR="001D1AAB">
              <w:t xml:space="preserve">provided on page 13 of the </w:t>
            </w:r>
            <w:r>
              <w:t>NZIER report. The implied labour supply elasticity changes depending on the position on the supply curve.</w:t>
            </w:r>
          </w:p>
        </w:tc>
      </w:tr>
      <w:tr w:rsidR="004C7D66" w:rsidTr="004C7D66">
        <w:tc>
          <w:tcPr>
            <w:tcW w:w="4621" w:type="dxa"/>
          </w:tcPr>
          <w:p w:rsidR="004C7D66" w:rsidRPr="004C7D66" w:rsidRDefault="004C7D66" w:rsidP="001D1AAB">
            <w:pPr>
              <w:pStyle w:val="ListParagraph"/>
              <w:numPr>
                <w:ilvl w:val="0"/>
                <w:numId w:val="21"/>
              </w:numPr>
              <w:spacing w:before="120" w:after="120" w:line="120" w:lineRule="atLeast"/>
              <w:rPr>
                <w:b/>
                <w:bCs/>
              </w:rPr>
            </w:pPr>
            <w:r>
              <w:rPr>
                <w:b/>
                <w:bCs/>
              </w:rPr>
              <w:t>Is NZIER’s 50% labour supply wage elasticity assumption based on more information than published in its two reports?  If so what specific wage and labour supply data was used?  Has it conducted sensitivity tests of its wage forecasts to this labour supply wage elasticity assumption?  If so how sensitive are its results to changing the labour supply wage elasticity assumption?</w:t>
            </w:r>
          </w:p>
        </w:tc>
        <w:tc>
          <w:tcPr>
            <w:tcW w:w="4622" w:type="dxa"/>
          </w:tcPr>
          <w:p w:rsidR="004C7D66" w:rsidRDefault="004C7D66" w:rsidP="004C7D66">
            <w:pPr>
              <w:spacing w:before="120" w:after="120" w:line="120" w:lineRule="atLeast"/>
            </w:pPr>
            <w:r>
              <w:t xml:space="preserve">NZIER’s views on labour supply are based on events observed internationally and in New Zealand as outlined in its </w:t>
            </w:r>
            <w:r w:rsidR="001D1AAB">
              <w:t xml:space="preserve">earlier </w:t>
            </w:r>
            <w:r>
              <w:t>June report. NZIER compares its forecasts against events internationall</w:t>
            </w:r>
            <w:r w:rsidR="001D1AAB">
              <w:t>y in F</w:t>
            </w:r>
            <w:bookmarkStart w:id="0" w:name="_GoBack"/>
            <w:bookmarkEnd w:id="0"/>
            <w:r w:rsidR="001D1AAB">
              <w:t>igure 3, on page 5, of the NZIER</w:t>
            </w:r>
            <w:r>
              <w:t xml:space="preserve"> report. </w:t>
            </w:r>
          </w:p>
          <w:p w:rsidR="004C7D66" w:rsidRDefault="001D1AAB" w:rsidP="004C7D66">
            <w:pPr>
              <w:spacing w:before="120" w:after="120" w:line="120" w:lineRule="atLeast"/>
            </w:pPr>
            <w:r>
              <w:t>In footnote 8 of the </w:t>
            </w:r>
            <w:r w:rsidR="004C7D66">
              <w:t xml:space="preserve">NZIER report, NZIER notes: </w:t>
            </w:r>
          </w:p>
          <w:p w:rsidR="004C7D66" w:rsidRPr="004C7D66" w:rsidRDefault="004C7D66" w:rsidP="004C7D66">
            <w:pPr>
              <w:spacing w:before="120" w:after="120" w:line="120" w:lineRule="atLeast"/>
              <w:rPr>
                <w:i/>
                <w:iCs/>
              </w:rPr>
            </w:pPr>
            <w:r>
              <w:rPr>
                <w:i/>
                <w:iCs/>
              </w:rPr>
              <w:t xml:space="preserve">Estimates of aggregate wage elasticities of supply usually range from around 0.5 to 1. We are not aware of any that rise above 2. This does not matter a great deal as ours are not conventional elasticities. Furthermore, most conventional elasticities deal with marginal changes in wages while our model is dealing with non-marginal changes. By comparison, our supply curve assumption has an implied elasticity 0f 0.86 for wage changes of 1%. </w:t>
            </w:r>
          </w:p>
        </w:tc>
      </w:tr>
      <w:tr w:rsidR="004C7D66" w:rsidTr="004C7D66">
        <w:tc>
          <w:tcPr>
            <w:tcW w:w="4621" w:type="dxa"/>
          </w:tcPr>
          <w:p w:rsidR="004C7D66" w:rsidRPr="004C7D66" w:rsidRDefault="004C7D66" w:rsidP="001D1AAB">
            <w:pPr>
              <w:pStyle w:val="ListParagraph"/>
              <w:numPr>
                <w:ilvl w:val="0"/>
                <w:numId w:val="21"/>
              </w:numPr>
              <w:spacing w:before="120" w:after="120" w:line="120" w:lineRule="atLeast"/>
              <w:rPr>
                <w:b/>
                <w:bCs/>
              </w:rPr>
            </w:pPr>
            <w:r>
              <w:rPr>
                <w:b/>
                <w:bCs/>
              </w:rPr>
              <w:t xml:space="preserve">What is the empirical basis for assuming symmetry between wage increases and decreases?  Has NZIER conducted sensitivity tests to this symmetry assumption?  If so what is the impact of relaxing the symmetry assumption, eg to halving the maximum decline or even to removing nominal declines?  </w:t>
            </w:r>
          </w:p>
        </w:tc>
        <w:tc>
          <w:tcPr>
            <w:tcW w:w="4622" w:type="dxa"/>
          </w:tcPr>
          <w:p w:rsidR="004C7D66" w:rsidRDefault="004C7D66" w:rsidP="004C7D66">
            <w:pPr>
              <w:spacing w:before="120" w:after="120" w:line="120" w:lineRule="atLeast"/>
              <w:rPr>
                <w:color w:val="1F497D"/>
              </w:rPr>
            </w:pPr>
            <w:r>
              <w:t xml:space="preserve">NZIER </w:t>
            </w:r>
            <w:r w:rsidR="001D1AAB">
              <w:t>advise</w:t>
            </w:r>
            <w:r>
              <w:t xml:space="preserve"> that it </w:t>
            </w:r>
            <w:r>
              <w:t>used its professional judgement and expertise in assuming symmetry in the maximum wage increase and decrease of 1% per month.  </w:t>
            </w:r>
          </w:p>
          <w:p w:rsidR="004C7D66" w:rsidRDefault="004C7D66" w:rsidP="004C7D66"/>
        </w:tc>
      </w:tr>
      <w:tr w:rsidR="004C7D66" w:rsidTr="004C7D66">
        <w:tc>
          <w:tcPr>
            <w:tcW w:w="4621" w:type="dxa"/>
          </w:tcPr>
          <w:p w:rsidR="004C7D66" w:rsidRPr="004C7D66" w:rsidRDefault="004C7D66" w:rsidP="001D1AAB">
            <w:pPr>
              <w:pStyle w:val="ListParagraph"/>
              <w:numPr>
                <w:ilvl w:val="0"/>
                <w:numId w:val="21"/>
              </w:numPr>
              <w:spacing w:before="120" w:after="120" w:line="120" w:lineRule="atLeast"/>
              <w:rPr>
                <w:b/>
                <w:bCs/>
              </w:rPr>
            </w:pPr>
            <w:r>
              <w:rPr>
                <w:b/>
                <w:bCs/>
              </w:rPr>
              <w:lastRenderedPageBreak/>
              <w:t>Has NZIER conducted sensitivity tests to other potentially critical assumptions, eg the supply adjustment lag, different labour productivity assumptions, changes in build duration assumptions?  If so how sensitive are their wage forecasts to these assumptions?</w:t>
            </w:r>
          </w:p>
        </w:tc>
        <w:tc>
          <w:tcPr>
            <w:tcW w:w="4622" w:type="dxa"/>
          </w:tcPr>
          <w:p w:rsidR="004C7D66" w:rsidRDefault="004C7D66" w:rsidP="004C7D66">
            <w:pPr>
              <w:spacing w:before="120" w:after="120" w:line="120" w:lineRule="atLeast"/>
            </w:pPr>
            <w:r>
              <w:t>As described</w:t>
            </w:r>
            <w:r w:rsidR="001D1AAB">
              <w:t xml:space="preserve"> in the introduction to the</w:t>
            </w:r>
            <w:r>
              <w:t xml:space="preserve"> NZIER report in forecasting labour cost escalation factors, NZIER notes:</w:t>
            </w:r>
          </w:p>
          <w:p w:rsidR="004C7D66" w:rsidRDefault="004C7D66" w:rsidP="004C7D66">
            <w:pPr>
              <w:spacing w:before="120" w:after="120" w:line="120" w:lineRule="atLeast"/>
              <w:rPr>
                <w:i/>
                <w:iCs/>
              </w:rPr>
            </w:pPr>
            <w:r>
              <w:rPr>
                <w:i/>
                <w:iCs/>
              </w:rPr>
              <w:t>The analysis behind our forecasts focuses on the timing of cost escalation and interplay between labour supply, planned construction volumes, desired construction timeframes and, implicitly, willingness to pay or delay in the face of cost escalation.</w:t>
            </w:r>
          </w:p>
          <w:p w:rsidR="004C7D66" w:rsidRDefault="001D1AAB" w:rsidP="004C7D66">
            <w:pPr>
              <w:spacing w:before="120" w:after="120" w:line="120" w:lineRule="atLeast"/>
              <w:rPr>
                <w:color w:val="1F497D"/>
              </w:rPr>
            </w:pPr>
            <w:r>
              <w:t xml:space="preserve">On page 6 of the </w:t>
            </w:r>
            <w:r w:rsidR="004C7D66">
              <w:t xml:space="preserve">NZIER report, NZIER judges the key drivers to be the scale of demand relative to supply and the willingness of buyers to pay higher costs or to defer projects until costs are lower. </w:t>
            </w:r>
            <w:r w:rsidR="004C7D66">
              <w:rPr>
                <w:color w:val="1F497D"/>
              </w:rPr>
              <w:t> </w:t>
            </w:r>
            <w:r w:rsidR="004C7D66">
              <w:t>The scale of demand relative to supply is</w:t>
            </w:r>
            <w:r>
              <w:t xml:space="preserve"> discussed on page 7 of the</w:t>
            </w:r>
            <w:r w:rsidR="004C7D66">
              <w:t xml:space="preserve"> NZIER report, alongside figure 5. Willingness to pay is</w:t>
            </w:r>
            <w:r>
              <w:t xml:space="preserve"> addressed on page 8 of the</w:t>
            </w:r>
            <w:r w:rsidR="004C7D66">
              <w:rPr>
                <w:color w:val="1F497D"/>
              </w:rPr>
              <w:t xml:space="preserve"> </w:t>
            </w:r>
            <w:r w:rsidR="004C7D66">
              <w:t>NZIER report, alongside Figure 6.  </w:t>
            </w:r>
          </w:p>
          <w:p w:rsidR="004C7D66" w:rsidRDefault="004C7D66" w:rsidP="004C7D66">
            <w:pPr>
              <w:rPr>
                <w:color w:val="1F497D"/>
              </w:rPr>
            </w:pPr>
            <w:r>
              <w:t>In foo</w:t>
            </w:r>
            <w:r w:rsidR="001D1AAB">
              <w:t>tnote 6 on page 8 of the NZIER</w:t>
            </w:r>
            <w:r>
              <w:t xml:space="preserve"> report</w:t>
            </w:r>
            <w:r>
              <w:rPr>
                <w:color w:val="1F497D"/>
              </w:rPr>
              <w:t>,</w:t>
            </w:r>
            <w:r>
              <w:t xml:space="preserve"> NZIER note</w:t>
            </w:r>
            <w:r>
              <w:rPr>
                <w:color w:val="1F497D"/>
              </w:rPr>
              <w:t>s</w:t>
            </w:r>
            <w:r>
              <w:t xml:space="preserve"> that: </w:t>
            </w:r>
          </w:p>
          <w:p w:rsidR="004C7D66" w:rsidRPr="004C7D66" w:rsidRDefault="004C7D66" w:rsidP="004C7D66">
            <w:pPr>
              <w:spacing w:before="120" w:after="120" w:line="120" w:lineRule="atLeast"/>
              <w:rPr>
                <w:i/>
                <w:iCs/>
                <w:color w:val="1F497D"/>
              </w:rPr>
            </w:pPr>
            <w:r>
              <w:rPr>
                <w:i/>
                <w:iCs/>
              </w:rPr>
              <w:t>We settled on these round numbers as they are jointly compatible with feasible completion and avoidance of exponential cost increase. This 10 year timeframe is inferred by iteration of the model and examination of implied costs and feasibility of meeting the timeframe. It is jointly determined alongside the 1% ‘willingness to pay’ parameter. Large numbers of alternative combinations are possible. By comparison, a 6 year timeframe implies a doubling of cumulative wage costs compared to a 10 year target.</w:t>
            </w:r>
          </w:p>
        </w:tc>
      </w:tr>
      <w:tr w:rsidR="004C7D66" w:rsidTr="004C7D66">
        <w:tc>
          <w:tcPr>
            <w:tcW w:w="4621" w:type="dxa"/>
          </w:tcPr>
          <w:p w:rsidR="004C7D66" w:rsidRPr="004C7D66" w:rsidRDefault="004C7D66" w:rsidP="001D1AAB">
            <w:pPr>
              <w:pStyle w:val="ListParagraph"/>
              <w:numPr>
                <w:ilvl w:val="0"/>
                <w:numId w:val="21"/>
              </w:numPr>
              <w:spacing w:before="120" w:after="120" w:line="120" w:lineRule="atLeast"/>
              <w:rPr>
                <w:b/>
                <w:bCs/>
              </w:rPr>
            </w:pPr>
            <w:r>
              <w:rPr>
                <w:b/>
                <w:bCs/>
              </w:rPr>
              <w:t>Can the NZIER provide the implicit construction work put in place profile that underpins its wage forecasts?</w:t>
            </w:r>
          </w:p>
        </w:tc>
        <w:tc>
          <w:tcPr>
            <w:tcW w:w="4622" w:type="dxa"/>
          </w:tcPr>
          <w:p w:rsidR="004C7D66" w:rsidRDefault="004C7D66" w:rsidP="004C7D66">
            <w:r>
              <w:t xml:space="preserve">See table below </w:t>
            </w:r>
            <w:r w:rsidRPr="004C7D66">
              <w:rPr>
                <w:i/>
              </w:rPr>
              <w:t>Rebuild work completed</w:t>
            </w:r>
            <w:r>
              <w:rPr>
                <w:i/>
              </w:rPr>
              <w:t>.</w:t>
            </w:r>
          </w:p>
        </w:tc>
      </w:tr>
    </w:tbl>
    <w:p w:rsidR="004C7D66" w:rsidRDefault="004C7D66" w:rsidP="001D7657">
      <w:pPr>
        <w:rPr>
          <w:b/>
        </w:rPr>
      </w:pPr>
    </w:p>
    <w:p w:rsidR="004C7D66" w:rsidRDefault="004C7D66" w:rsidP="001D7657">
      <w:pPr>
        <w:rPr>
          <w:b/>
        </w:rPr>
      </w:pPr>
      <w:r>
        <w:rPr>
          <w:noProof/>
          <w:lang w:eastAsia="en-NZ"/>
        </w:rPr>
        <w:lastRenderedPageBreak/>
        <w:drawing>
          <wp:inline distT="0" distB="0" distL="0" distR="0">
            <wp:extent cx="5732145" cy="3493298"/>
            <wp:effectExtent l="0" t="0" r="1905" b="0"/>
            <wp:docPr id="1" name="Picture 1" descr="cid:image001.png@01CEA9A2.1E29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A9A2.1E29E0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2145" cy="3493298"/>
                    </a:xfrm>
                    <a:prstGeom prst="rect">
                      <a:avLst/>
                    </a:prstGeom>
                    <a:noFill/>
                    <a:ln>
                      <a:noFill/>
                    </a:ln>
                  </pic:spPr>
                </pic:pic>
              </a:graphicData>
            </a:graphic>
          </wp:inline>
        </w:drawing>
      </w:r>
    </w:p>
    <w:p w:rsidR="004C7D66" w:rsidRDefault="004C7D66" w:rsidP="001D7657">
      <w:pPr>
        <w:rPr>
          <w:b/>
        </w:rPr>
      </w:pPr>
    </w:p>
    <w:p w:rsidR="004C7D66" w:rsidRDefault="004C7D66" w:rsidP="001D7657">
      <w:pPr>
        <w:rPr>
          <w:b/>
        </w:rPr>
      </w:pPr>
    </w:p>
    <w:p w:rsidR="004C7D66" w:rsidRDefault="004C7D66" w:rsidP="001D7657">
      <w:pPr>
        <w:rPr>
          <w:b/>
        </w:rPr>
      </w:pPr>
    </w:p>
    <w:p w:rsidR="004C7D66" w:rsidRDefault="004C7D66" w:rsidP="001D7657">
      <w:pPr>
        <w:rPr>
          <w:b/>
        </w:rPr>
      </w:pPr>
    </w:p>
    <w:p w:rsidR="004C7D66" w:rsidRDefault="004C7D66" w:rsidP="001D7657">
      <w:pPr>
        <w:rPr>
          <w:b/>
        </w:rPr>
      </w:pPr>
    </w:p>
    <w:sectPr w:rsidR="004C7D66" w:rsidSect="00633EB5">
      <w:headerReference w:type="default" r:id="rId10"/>
      <w:footerReference w:type="even" r:id="rId11"/>
      <w:footerReference w:type="default" r:id="rId12"/>
      <w:headerReference w:type="first" r:id="rId13"/>
      <w:footerReference w:type="first" r:id="rId14"/>
      <w:pgSz w:w="11907" w:h="16840" w:code="9"/>
      <w:pgMar w:top="1440" w:right="1440" w:bottom="1440" w:left="1440" w:header="1134"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8B7" w:rsidRDefault="00F748B7">
      <w:r>
        <w:separator/>
      </w:r>
    </w:p>
  </w:endnote>
  <w:endnote w:type="continuationSeparator" w:id="0">
    <w:p w:rsidR="00F748B7" w:rsidRDefault="00F7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47" w:rsidRPr="00673447" w:rsidRDefault="00673447" w:rsidP="00673447">
    <w:pPr>
      <w:pStyle w:val="Footer"/>
      <w:jc w:val="right"/>
      <w:rPr>
        <w:sz w:val="16"/>
      </w:rPr>
    </w:pPr>
    <w:r w:rsidRPr="00673447">
      <w:rPr>
        <w:sz w:val="16"/>
      </w:rPr>
      <w:t>1594124.1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47" w:rsidRPr="00673447" w:rsidRDefault="00673447" w:rsidP="00673447">
    <w:pPr>
      <w:pStyle w:val="Footer"/>
      <w:jc w:val="left"/>
      <w:rPr>
        <w:sz w:val="16"/>
      </w:rPr>
    </w:pPr>
    <w:r w:rsidRPr="00673447">
      <w:rPr>
        <w:sz w:val="16"/>
      </w:rPr>
      <w:t>1594124.1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47" w:rsidRPr="00673447" w:rsidRDefault="00673447" w:rsidP="00673447">
    <w:pPr>
      <w:pStyle w:val="Footer"/>
      <w:jc w:val="left"/>
      <w:rPr>
        <w:sz w:val="16"/>
      </w:rPr>
    </w:pPr>
    <w:r w:rsidRPr="00673447">
      <w:rPr>
        <w:sz w:val="16"/>
      </w:rPr>
      <w:t>1594124.1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8B7" w:rsidRDefault="00F748B7">
      <w:r>
        <w:separator/>
      </w:r>
    </w:p>
  </w:footnote>
  <w:footnote w:type="continuationSeparator" w:id="0">
    <w:p w:rsidR="00F748B7" w:rsidRDefault="00F74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57" w:rsidRPr="001D7657" w:rsidRDefault="00D8236E">
    <w:pPr>
      <w:pStyle w:val="Header"/>
    </w:pPr>
    <w:r w:rsidRPr="001D7657">
      <w:rPr>
        <w:rStyle w:val="PageNumber"/>
      </w:rPr>
      <w:fldChar w:fldCharType="begin"/>
    </w:r>
    <w:r w:rsidR="001D7657" w:rsidRPr="001D7657">
      <w:rPr>
        <w:rStyle w:val="PageNumber"/>
      </w:rPr>
      <w:instrText xml:space="preserve"> PAGE   \* MERGEFORMAT </w:instrText>
    </w:r>
    <w:r w:rsidRPr="001D7657">
      <w:rPr>
        <w:rStyle w:val="PageNumber"/>
      </w:rPr>
      <w:fldChar w:fldCharType="separate"/>
    </w:r>
    <w:r w:rsidR="001D1AAB">
      <w:rPr>
        <w:rStyle w:val="PageNumber"/>
        <w:noProof/>
      </w:rPr>
      <w:t>2</w:t>
    </w:r>
    <w:r w:rsidRPr="001D765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66" w:rsidRDefault="004C7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9F7"/>
    <w:multiLevelType w:val="hybridMultilevel"/>
    <w:tmpl w:val="C566530A"/>
    <w:lvl w:ilvl="0" w:tplc="0374C32A">
      <w:start w:val="1"/>
      <w:numFmt w:val="decimal"/>
      <w:lvlText w:val="%1."/>
      <w:lvlJc w:val="left"/>
      <w:pPr>
        <w:ind w:left="795" w:hanging="435"/>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nsid w:val="0A5755D0"/>
    <w:multiLevelType w:val="hybridMultilevel"/>
    <w:tmpl w:val="944EE97E"/>
    <w:lvl w:ilvl="0" w:tplc="DA0C8E9A">
      <w:start w:val="1"/>
      <w:numFmt w:val="decimal"/>
      <w:pStyle w:val="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512237"/>
    <w:multiLevelType w:val="hybridMultilevel"/>
    <w:tmpl w:val="36AA933E"/>
    <w:lvl w:ilvl="0" w:tplc="0174046E">
      <w:start w:val="1"/>
      <w:numFmt w:val="decimal"/>
      <w:pStyle w:val="Numberedlist"/>
      <w:lvlText w:val="%1."/>
      <w:lvlJc w:val="left"/>
      <w:pPr>
        <w:tabs>
          <w:tab w:val="num" w:pos="283"/>
        </w:tabs>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34035E"/>
    <w:multiLevelType w:val="hybridMultilevel"/>
    <w:tmpl w:val="40102C9E"/>
    <w:lvl w:ilvl="0" w:tplc="B5B4420C">
      <w:numFmt w:val="bullet"/>
      <w:pStyle w:val="Level3bullet"/>
      <w:lvlText w:val=""/>
      <w:lvlJc w:val="left"/>
      <w:pPr>
        <w:tabs>
          <w:tab w:val="num" w:pos="851"/>
        </w:tabs>
        <w:ind w:left="851"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5A2667"/>
    <w:multiLevelType w:val="hybridMultilevel"/>
    <w:tmpl w:val="C566530A"/>
    <w:lvl w:ilvl="0" w:tplc="0374C32A">
      <w:start w:val="1"/>
      <w:numFmt w:val="decimal"/>
      <w:lvlText w:val="%1."/>
      <w:lvlJc w:val="left"/>
      <w:pPr>
        <w:ind w:left="795" w:hanging="435"/>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nsid w:val="33A62BAE"/>
    <w:multiLevelType w:val="multilevel"/>
    <w:tmpl w:val="102E164E"/>
    <w:styleLink w:val="Outlinestyle"/>
    <w:lvl w:ilvl="0">
      <w:start w:val="1"/>
      <w:numFmt w:val="decimal"/>
      <w:pStyle w:val="Para1"/>
      <w:lvlText w:val="%1."/>
      <w:lvlJc w:val="left"/>
      <w:pPr>
        <w:tabs>
          <w:tab w:val="num" w:pos="709"/>
        </w:tabs>
        <w:ind w:left="709" w:hanging="709"/>
      </w:pPr>
      <w:rPr>
        <w:rFonts w:hint="default"/>
      </w:rPr>
    </w:lvl>
    <w:lvl w:ilvl="1">
      <w:start w:val="1"/>
      <w:numFmt w:val="decimal"/>
      <w:pStyle w:val="Para2"/>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nsid w:val="378A5750"/>
    <w:multiLevelType w:val="hybridMultilevel"/>
    <w:tmpl w:val="C566530A"/>
    <w:lvl w:ilvl="0" w:tplc="0374C32A">
      <w:start w:val="1"/>
      <w:numFmt w:val="decimal"/>
      <w:lvlText w:val="%1."/>
      <w:lvlJc w:val="left"/>
      <w:pPr>
        <w:ind w:left="795" w:hanging="435"/>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nsid w:val="379E60CE"/>
    <w:multiLevelType w:val="hybridMultilevel"/>
    <w:tmpl w:val="C566530A"/>
    <w:lvl w:ilvl="0" w:tplc="0374C32A">
      <w:start w:val="1"/>
      <w:numFmt w:val="decimal"/>
      <w:lvlText w:val="%1."/>
      <w:lvlJc w:val="left"/>
      <w:pPr>
        <w:ind w:left="795" w:hanging="435"/>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nsid w:val="435314D2"/>
    <w:multiLevelType w:val="hybridMultilevel"/>
    <w:tmpl w:val="FEC20E48"/>
    <w:lvl w:ilvl="0" w:tplc="24A2CDFC">
      <w:start w:val="1"/>
      <w:numFmt w:val="decimal"/>
      <w:pStyle w:val="Tablenumberedlist"/>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345C42"/>
    <w:multiLevelType w:val="hybridMultilevel"/>
    <w:tmpl w:val="91E81EEC"/>
    <w:lvl w:ilvl="0" w:tplc="0374C32A">
      <w:start w:val="1"/>
      <w:numFmt w:val="decimal"/>
      <w:lvlText w:val="%1."/>
      <w:lvlJc w:val="left"/>
      <w:pPr>
        <w:ind w:left="795" w:hanging="435"/>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591E0F60"/>
    <w:multiLevelType w:val="hybridMultilevel"/>
    <w:tmpl w:val="AA062754"/>
    <w:lvl w:ilvl="0" w:tplc="A6C42CF8">
      <w:start w:val="1"/>
      <w:numFmt w:val="bullet"/>
      <w:pStyle w:val="Level1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799788F"/>
    <w:multiLevelType w:val="multilevel"/>
    <w:tmpl w:val="102E164E"/>
    <w:numStyleLink w:val="Outlinestyle"/>
  </w:abstractNum>
  <w:abstractNum w:abstractNumId="16">
    <w:nsid w:val="783B5328"/>
    <w:multiLevelType w:val="hybridMultilevel"/>
    <w:tmpl w:val="C566530A"/>
    <w:lvl w:ilvl="0" w:tplc="0374C32A">
      <w:start w:val="1"/>
      <w:numFmt w:val="decimal"/>
      <w:lvlText w:val="%1."/>
      <w:lvlJc w:val="left"/>
      <w:pPr>
        <w:ind w:left="795" w:hanging="435"/>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7">
    <w:nsid w:val="79AE6065"/>
    <w:multiLevelType w:val="multilevel"/>
    <w:tmpl w:val="FD2E6198"/>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none"/>
      <w:lvlText w:val=""/>
      <w:lvlJc w:val="left"/>
      <w:pPr>
        <w:tabs>
          <w:tab w:val="num" w:pos="0"/>
        </w:tabs>
        <w:ind w:left="0" w:firstLine="0"/>
      </w:pPr>
      <w:rPr>
        <w:rFonts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nsid w:val="7CCB3E2C"/>
    <w:multiLevelType w:val="hybridMultilevel"/>
    <w:tmpl w:val="94A29726"/>
    <w:lvl w:ilvl="0" w:tplc="26B6920E">
      <w:numFmt w:val="bullet"/>
      <w:pStyle w:val="Level2bullet"/>
      <w:lvlText w:val=""/>
      <w:lvlJc w:val="left"/>
      <w:pPr>
        <w:tabs>
          <w:tab w:val="num" w:pos="568"/>
        </w:tabs>
        <w:ind w:left="568"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F5F38BC"/>
    <w:multiLevelType w:val="hybridMultilevel"/>
    <w:tmpl w:val="C566530A"/>
    <w:lvl w:ilvl="0" w:tplc="0374C32A">
      <w:start w:val="1"/>
      <w:numFmt w:val="decimal"/>
      <w:lvlText w:val="%1."/>
      <w:lvlJc w:val="left"/>
      <w:pPr>
        <w:ind w:left="795" w:hanging="435"/>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12"/>
  </w:num>
  <w:num w:numId="2">
    <w:abstractNumId w:val="12"/>
  </w:num>
  <w:num w:numId="3">
    <w:abstractNumId w:val="13"/>
  </w:num>
  <w:num w:numId="4">
    <w:abstractNumId w:val="17"/>
  </w:num>
  <w:num w:numId="5">
    <w:abstractNumId w:val="14"/>
  </w:num>
  <w:num w:numId="6">
    <w:abstractNumId w:val="18"/>
  </w:num>
  <w:num w:numId="7">
    <w:abstractNumId w:val="3"/>
  </w:num>
  <w:num w:numId="8">
    <w:abstractNumId w:val="1"/>
  </w:num>
  <w:num w:numId="9">
    <w:abstractNumId w:val="2"/>
  </w:num>
  <w:num w:numId="10">
    <w:abstractNumId w:val="6"/>
  </w:num>
  <w:num w:numId="11">
    <w:abstractNumId w:val="7"/>
  </w:num>
  <w:num w:numId="12">
    <w:abstractNumId w:val="15"/>
  </w:num>
  <w:num w:numId="13">
    <w:abstractNumId w:val="5"/>
  </w:num>
  <w:num w:numId="14">
    <w:abstractNumId w:val="10"/>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1"/>
  </w:num>
  <w:num w:numId="22">
    <w:abstractNumId w:val="11"/>
  </w:num>
  <w:num w:numId="23">
    <w:abstractNumId w:val="0"/>
  </w:num>
  <w:num w:numId="24">
    <w:abstractNumId w:val="8"/>
  </w:num>
  <w:num w:numId="25">
    <w:abstractNumId w:val="4"/>
  </w:num>
  <w:num w:numId="26">
    <w:abstractNumId w:val="16"/>
  </w:num>
  <w:num w:numId="27">
    <w:abstractNumId w:val="19"/>
  </w:num>
  <w:num w:numId="2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SavedAs" w:val="1594124.1"/>
    <w:docVar w:name="WordOperator" w:val="AMW"/>
  </w:docVars>
  <w:rsids>
    <w:rsidRoot w:val="00F748B7"/>
    <w:rsid w:val="00012AF2"/>
    <w:rsid w:val="00087F5D"/>
    <w:rsid w:val="00096237"/>
    <w:rsid w:val="000D6FA8"/>
    <w:rsid w:val="000E04E6"/>
    <w:rsid w:val="001132DE"/>
    <w:rsid w:val="00126C06"/>
    <w:rsid w:val="001566BF"/>
    <w:rsid w:val="00176486"/>
    <w:rsid w:val="00180A21"/>
    <w:rsid w:val="001948F4"/>
    <w:rsid w:val="001D1AAB"/>
    <w:rsid w:val="001D7657"/>
    <w:rsid w:val="002045EF"/>
    <w:rsid w:val="002649D8"/>
    <w:rsid w:val="002A1B47"/>
    <w:rsid w:val="0031466A"/>
    <w:rsid w:val="00364035"/>
    <w:rsid w:val="003F154A"/>
    <w:rsid w:val="003F512B"/>
    <w:rsid w:val="004349D3"/>
    <w:rsid w:val="0046186F"/>
    <w:rsid w:val="004C45B1"/>
    <w:rsid w:val="004C7D66"/>
    <w:rsid w:val="004D1A98"/>
    <w:rsid w:val="00532A9D"/>
    <w:rsid w:val="0057306C"/>
    <w:rsid w:val="005A7573"/>
    <w:rsid w:val="006112C5"/>
    <w:rsid w:val="00627666"/>
    <w:rsid w:val="00633EB5"/>
    <w:rsid w:val="00640B44"/>
    <w:rsid w:val="0065325A"/>
    <w:rsid w:val="00664E51"/>
    <w:rsid w:val="00673447"/>
    <w:rsid w:val="0069380F"/>
    <w:rsid w:val="00762923"/>
    <w:rsid w:val="00767FAF"/>
    <w:rsid w:val="00793EF5"/>
    <w:rsid w:val="007B126A"/>
    <w:rsid w:val="007B387A"/>
    <w:rsid w:val="007F7260"/>
    <w:rsid w:val="008928D2"/>
    <w:rsid w:val="008D31A8"/>
    <w:rsid w:val="008E1250"/>
    <w:rsid w:val="00934D05"/>
    <w:rsid w:val="009448AB"/>
    <w:rsid w:val="00955509"/>
    <w:rsid w:val="00980C00"/>
    <w:rsid w:val="009908F8"/>
    <w:rsid w:val="00A22BFA"/>
    <w:rsid w:val="00A82AB9"/>
    <w:rsid w:val="00AA31D8"/>
    <w:rsid w:val="00AC6B05"/>
    <w:rsid w:val="00AE52B5"/>
    <w:rsid w:val="00B32B3B"/>
    <w:rsid w:val="00B40A2D"/>
    <w:rsid w:val="00BB1628"/>
    <w:rsid w:val="00BB68DF"/>
    <w:rsid w:val="00BF5A5D"/>
    <w:rsid w:val="00C85104"/>
    <w:rsid w:val="00D605C2"/>
    <w:rsid w:val="00D64583"/>
    <w:rsid w:val="00D8236E"/>
    <w:rsid w:val="00DC38EC"/>
    <w:rsid w:val="00DD066C"/>
    <w:rsid w:val="00E01567"/>
    <w:rsid w:val="00EE715F"/>
    <w:rsid w:val="00F748B7"/>
    <w:rsid w:val="00FA0734"/>
    <w:rsid w:val="00FA6D08"/>
    <w:rsid w:val="00FC017A"/>
    <w:rsid w:val="00FC1B1B"/>
    <w:rsid w:val="00FC23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line number" w:semiHidden="1"/>
    <w:lsdException w:name="endnote reference" w:semiHidden="1"/>
    <w:lsdException w:name="endnote text" w:semiHidden="1"/>
    <w:lsdException w:name="macro" w:semiHidden="1"/>
    <w:lsdException w:name="toa heading" w:semiHidden="1"/>
    <w:lsdException w:name="List Number" w:semiHidden="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qFormat="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1D7657"/>
    <w:rPr>
      <w:rFonts w:ascii="Calibri" w:hAnsi="Calibri"/>
      <w:sz w:val="24"/>
      <w:lang w:eastAsia="en-GB"/>
    </w:rPr>
  </w:style>
  <w:style w:type="paragraph" w:styleId="Heading1">
    <w:name w:val="heading 1"/>
    <w:basedOn w:val="Normal"/>
    <w:next w:val="BodyText"/>
    <w:qFormat/>
    <w:rsid w:val="001D7657"/>
    <w:pPr>
      <w:keepNext/>
      <w:spacing w:after="120"/>
      <w:outlineLvl w:val="0"/>
    </w:pPr>
    <w:rPr>
      <w:b/>
      <w:sz w:val="28"/>
    </w:rPr>
  </w:style>
  <w:style w:type="paragraph" w:styleId="Heading2">
    <w:name w:val="heading 2"/>
    <w:basedOn w:val="Normal"/>
    <w:next w:val="BodyText"/>
    <w:qFormat/>
    <w:rsid w:val="001D7657"/>
    <w:pPr>
      <w:keepNext/>
      <w:spacing w:after="120"/>
      <w:outlineLvl w:val="1"/>
    </w:pPr>
    <w:rPr>
      <w:b/>
    </w:rPr>
  </w:style>
  <w:style w:type="paragraph" w:styleId="Heading3">
    <w:name w:val="heading 3"/>
    <w:basedOn w:val="Normal"/>
    <w:next w:val="BodyText"/>
    <w:qFormat/>
    <w:rsid w:val="001D7657"/>
    <w:pPr>
      <w:keepNext/>
      <w:spacing w:after="120"/>
      <w:outlineLvl w:val="2"/>
    </w:pPr>
    <w:rPr>
      <w:i/>
    </w:rPr>
  </w:style>
  <w:style w:type="paragraph" w:styleId="Heading4">
    <w:name w:val="heading 4"/>
    <w:basedOn w:val="Normal"/>
    <w:semiHidden/>
    <w:qFormat/>
    <w:rsid w:val="001D7657"/>
    <w:pPr>
      <w:outlineLvl w:val="3"/>
    </w:pPr>
  </w:style>
  <w:style w:type="paragraph" w:styleId="Heading5">
    <w:name w:val="heading 5"/>
    <w:basedOn w:val="Normal"/>
    <w:semiHidden/>
    <w:qFormat/>
    <w:rsid w:val="001D7657"/>
    <w:pPr>
      <w:outlineLvl w:val="4"/>
    </w:pPr>
  </w:style>
  <w:style w:type="paragraph" w:styleId="Heading6">
    <w:name w:val="heading 6"/>
    <w:basedOn w:val="Normal"/>
    <w:semiHidden/>
    <w:qFormat/>
    <w:rsid w:val="001D7657"/>
    <w:pPr>
      <w:outlineLvl w:val="5"/>
    </w:pPr>
  </w:style>
  <w:style w:type="paragraph" w:styleId="Heading7">
    <w:name w:val="heading 7"/>
    <w:basedOn w:val="Normal"/>
    <w:next w:val="Normal"/>
    <w:semiHidden/>
    <w:qFormat/>
    <w:rsid w:val="001D7657"/>
    <w:pPr>
      <w:outlineLvl w:val="6"/>
    </w:pPr>
  </w:style>
  <w:style w:type="paragraph" w:styleId="Heading8">
    <w:name w:val="heading 8"/>
    <w:basedOn w:val="Normal"/>
    <w:next w:val="Normal"/>
    <w:semiHidden/>
    <w:qFormat/>
    <w:rsid w:val="001D7657"/>
    <w:pPr>
      <w:outlineLvl w:val="7"/>
    </w:pPr>
  </w:style>
  <w:style w:type="paragraph" w:styleId="Heading9">
    <w:name w:val="heading 9"/>
    <w:basedOn w:val="Normal"/>
    <w:next w:val="Normal"/>
    <w:semiHidden/>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qFormat/>
    <w:rsid w:val="008D31A8"/>
    <w:pPr>
      <w:numPr>
        <w:numId w:val="20"/>
      </w:numPr>
      <w:spacing w:before="120"/>
    </w:pPr>
  </w:style>
  <w:style w:type="numbering" w:customStyle="1" w:styleId="Bulletliststyle">
    <w:name w:val="Bullet list style"/>
    <w:basedOn w:val="NoList"/>
    <w:uiPriority w:val="99"/>
    <w:rsid w:val="008D31A8"/>
    <w:pPr>
      <w:numPr>
        <w:numId w:val="4"/>
      </w:numPr>
    </w:pPr>
  </w:style>
  <w:style w:type="paragraph" w:styleId="Date">
    <w:name w:val="Date"/>
    <w:basedOn w:val="Normal"/>
    <w:next w:val="BodyText"/>
    <w:link w:val="DateChar"/>
    <w:semiHidden/>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semiHidden/>
    <w:rsid w:val="001D7657"/>
    <w:pPr>
      <w:framePr w:w="7920" w:h="1980" w:hRule="exact" w:hSpace="180" w:wrap="auto" w:hAnchor="page" w:xAlign="center" w:yAlign="bottom"/>
      <w:ind w:left="2880"/>
    </w:pPr>
    <w:rPr>
      <w:rFonts w:cs="Arial"/>
    </w:rPr>
  </w:style>
  <w:style w:type="paragraph" w:styleId="EnvelopeReturn">
    <w:name w:val="envelope return"/>
    <w:basedOn w:val="Normal"/>
    <w:semiHidden/>
    <w:rsid w:val="001D7657"/>
    <w:rPr>
      <w:rFonts w:cs="Arial"/>
      <w:color w:val="003366"/>
      <w:sz w:val="18"/>
      <w:szCs w:val="18"/>
    </w:rPr>
  </w:style>
  <w:style w:type="paragraph" w:styleId="Footer">
    <w:name w:val="footer"/>
    <w:basedOn w:val="Normal"/>
    <w:link w:val="FooterChar"/>
    <w:semiHidden/>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semiHidden/>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semiHidden/>
    <w:rsid w:val="001D7657"/>
    <w:pPr>
      <w:tabs>
        <w:tab w:val="center" w:pos="4153"/>
        <w:tab w:val="right" w:pos="8306"/>
      </w:tabs>
      <w:jc w:val="center"/>
    </w:pPr>
  </w:style>
  <w:style w:type="character" w:customStyle="1" w:styleId="HeaderChar">
    <w:name w:val="Header Char"/>
    <w:basedOn w:val="DefaultParagraphFont"/>
    <w:link w:val="Header"/>
    <w:semiHidden/>
    <w:rsid w:val="00A22BFA"/>
    <w:rPr>
      <w:rFonts w:ascii="Calibri" w:hAnsi="Calibri"/>
      <w:sz w:val="24"/>
      <w:lang w:eastAsia="en-GB"/>
    </w:rPr>
  </w:style>
  <w:style w:type="character" w:styleId="Hyperlink">
    <w:name w:val="Hyperlink"/>
    <w:basedOn w:val="DefaultParagraphFont"/>
    <w:semiHidden/>
    <w:rsid w:val="001D7657"/>
    <w:rPr>
      <w:color w:val="0000FF"/>
      <w:u w:val="single"/>
    </w:rPr>
  </w:style>
  <w:style w:type="paragraph" w:styleId="List">
    <w:name w:val="List"/>
    <w:basedOn w:val="BodyText"/>
    <w:semiHidden/>
    <w:rsid w:val="001D7657"/>
    <w:pPr>
      <w:numPr>
        <w:numId w:val="8"/>
      </w:numPr>
    </w:pPr>
  </w:style>
  <w:style w:type="paragraph" w:styleId="ListBullet">
    <w:name w:val="List Bullet"/>
    <w:basedOn w:val="BodyText"/>
    <w:semiHidden/>
    <w:rsid w:val="001D7657"/>
  </w:style>
  <w:style w:type="paragraph" w:styleId="ListBullet2">
    <w:name w:val="List Bullet 2"/>
    <w:basedOn w:val="BodyText"/>
    <w:semiHidden/>
    <w:rsid w:val="001D7657"/>
  </w:style>
  <w:style w:type="paragraph" w:styleId="ListBullet3">
    <w:name w:val="List Bullet 3"/>
    <w:basedOn w:val="BodyText"/>
    <w:semiHidden/>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semiHidden/>
    <w:rsid w:val="001D7657"/>
    <w:rPr>
      <w:rFonts w:ascii="Calibri" w:hAnsi="Calibri"/>
      <w:sz w:val="20"/>
    </w:rPr>
  </w:style>
  <w:style w:type="paragraph" w:customStyle="1" w:styleId="Quotation">
    <w:name w:val="Quotation"/>
    <w:basedOn w:val="BodyText"/>
    <w:qFormat/>
    <w:rsid w:val="00980C00"/>
    <w:pPr>
      <w:ind w:left="709" w:right="709"/>
    </w:pPr>
    <w:rPr>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13"/>
      </w:numPr>
    </w:pPr>
  </w:style>
  <w:style w:type="table" w:styleId="TableGrid">
    <w:name w:val="Table Grid"/>
    <w:basedOn w:val="TableNormal"/>
    <w:rsid w:val="001D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4"/>
      </w:numPr>
    </w:pPr>
  </w:style>
  <w:style w:type="paragraph" w:styleId="TableofAuthorities">
    <w:name w:val="table of authorities"/>
    <w:basedOn w:val="Normal"/>
    <w:next w:val="Normal"/>
    <w:semiHidden/>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autoRedefine/>
    <w:uiPriority w:val="39"/>
    <w:rsid w:val="008D31A8"/>
    <w:pPr>
      <w:tabs>
        <w:tab w:val="right" w:leader="dot" w:pos="8930"/>
      </w:tabs>
      <w:ind w:right="425"/>
    </w:pPr>
    <w:rPr>
      <w:b/>
      <w:caps/>
      <w:sz w:val="22"/>
    </w:rPr>
  </w:style>
  <w:style w:type="paragraph" w:styleId="TOC2">
    <w:name w:val="toc 2"/>
    <w:basedOn w:val="TOC1"/>
    <w:autoRedefine/>
    <w:uiPriority w:val="39"/>
    <w:rsid w:val="008D31A8"/>
    <w:pPr>
      <w:tabs>
        <w:tab w:val="clear" w:pos="8930"/>
        <w:tab w:val="right" w:leader="dot" w:pos="8931"/>
      </w:tabs>
      <w:ind w:left="425"/>
    </w:pPr>
    <w:rPr>
      <w:b w:val="0"/>
      <w:noProof/>
    </w:rPr>
  </w:style>
  <w:style w:type="paragraph" w:styleId="TOC3">
    <w:name w:val="toc 3"/>
    <w:basedOn w:val="TOC2"/>
    <w:autoRedefine/>
    <w:uiPriority w:val="39"/>
    <w:rsid w:val="008D31A8"/>
    <w:pPr>
      <w:ind w:left="851"/>
    </w:pPr>
    <w:rPr>
      <w:i/>
      <w:caps w:val="0"/>
      <w:sz w:val="20"/>
    </w:rPr>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semiHidden/>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semiHidden/>
    <w:rsid w:val="001D7657"/>
    <w:rPr>
      <w:vertAlign w:val="superscript"/>
    </w:rPr>
  </w:style>
  <w:style w:type="paragraph" w:customStyle="1" w:styleId="Para1">
    <w:name w:val="Para 1"/>
    <w:basedOn w:val="BodyText"/>
    <w:qFormat/>
    <w:rsid w:val="001D7657"/>
    <w:pPr>
      <w:numPr>
        <w:numId w:val="12"/>
      </w:numPr>
    </w:pPr>
  </w:style>
  <w:style w:type="paragraph" w:customStyle="1" w:styleId="Para2">
    <w:name w:val="Para 2"/>
    <w:basedOn w:val="BodyText"/>
    <w:qFormat/>
    <w:rsid w:val="001D7657"/>
    <w:pPr>
      <w:numPr>
        <w:ilvl w:val="1"/>
        <w:numId w:val="12"/>
      </w:numPr>
    </w:pPr>
  </w:style>
  <w:style w:type="paragraph" w:customStyle="1" w:styleId="Para3">
    <w:name w:val="Para 3"/>
    <w:basedOn w:val="Para2"/>
    <w:qFormat/>
    <w:rsid w:val="001D7657"/>
    <w:pPr>
      <w:numPr>
        <w:ilvl w:val="2"/>
      </w:numPr>
    </w:pPr>
  </w:style>
  <w:style w:type="paragraph" w:customStyle="1" w:styleId="Para4">
    <w:name w:val="Para 4"/>
    <w:basedOn w:val="Para3"/>
    <w:qFormat/>
    <w:rsid w:val="001D7657"/>
    <w:pPr>
      <w:numPr>
        <w:ilvl w:val="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3"/>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qFormat/>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semiHidden/>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semiHidden/>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paragraph" w:styleId="ListParagraph">
    <w:name w:val="List Paragraph"/>
    <w:basedOn w:val="Normal"/>
    <w:uiPriority w:val="34"/>
    <w:qFormat/>
    <w:rsid w:val="004C7D66"/>
    <w:pPr>
      <w:ind w:left="720"/>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line number" w:semiHidden="1"/>
    <w:lsdException w:name="endnote reference" w:semiHidden="1"/>
    <w:lsdException w:name="endnote text" w:semiHidden="1"/>
    <w:lsdException w:name="macro" w:semiHidden="1"/>
    <w:lsdException w:name="toa heading" w:semiHidden="1"/>
    <w:lsdException w:name="List Number" w:semiHidden="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qFormat="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1D7657"/>
    <w:rPr>
      <w:rFonts w:ascii="Calibri" w:hAnsi="Calibri"/>
      <w:sz w:val="24"/>
      <w:lang w:eastAsia="en-GB"/>
    </w:rPr>
  </w:style>
  <w:style w:type="paragraph" w:styleId="Heading1">
    <w:name w:val="heading 1"/>
    <w:basedOn w:val="Normal"/>
    <w:next w:val="BodyText"/>
    <w:qFormat/>
    <w:rsid w:val="001D7657"/>
    <w:pPr>
      <w:keepNext/>
      <w:spacing w:after="120"/>
      <w:outlineLvl w:val="0"/>
    </w:pPr>
    <w:rPr>
      <w:b/>
      <w:sz w:val="28"/>
    </w:rPr>
  </w:style>
  <w:style w:type="paragraph" w:styleId="Heading2">
    <w:name w:val="heading 2"/>
    <w:basedOn w:val="Normal"/>
    <w:next w:val="BodyText"/>
    <w:qFormat/>
    <w:rsid w:val="001D7657"/>
    <w:pPr>
      <w:keepNext/>
      <w:spacing w:after="120"/>
      <w:outlineLvl w:val="1"/>
    </w:pPr>
    <w:rPr>
      <w:b/>
    </w:rPr>
  </w:style>
  <w:style w:type="paragraph" w:styleId="Heading3">
    <w:name w:val="heading 3"/>
    <w:basedOn w:val="Normal"/>
    <w:next w:val="BodyText"/>
    <w:qFormat/>
    <w:rsid w:val="001D7657"/>
    <w:pPr>
      <w:keepNext/>
      <w:spacing w:after="120"/>
      <w:outlineLvl w:val="2"/>
    </w:pPr>
    <w:rPr>
      <w:i/>
    </w:rPr>
  </w:style>
  <w:style w:type="paragraph" w:styleId="Heading4">
    <w:name w:val="heading 4"/>
    <w:basedOn w:val="Normal"/>
    <w:semiHidden/>
    <w:qFormat/>
    <w:rsid w:val="001D7657"/>
    <w:pPr>
      <w:outlineLvl w:val="3"/>
    </w:pPr>
  </w:style>
  <w:style w:type="paragraph" w:styleId="Heading5">
    <w:name w:val="heading 5"/>
    <w:basedOn w:val="Normal"/>
    <w:semiHidden/>
    <w:qFormat/>
    <w:rsid w:val="001D7657"/>
    <w:pPr>
      <w:outlineLvl w:val="4"/>
    </w:pPr>
  </w:style>
  <w:style w:type="paragraph" w:styleId="Heading6">
    <w:name w:val="heading 6"/>
    <w:basedOn w:val="Normal"/>
    <w:semiHidden/>
    <w:qFormat/>
    <w:rsid w:val="001D7657"/>
    <w:pPr>
      <w:outlineLvl w:val="5"/>
    </w:pPr>
  </w:style>
  <w:style w:type="paragraph" w:styleId="Heading7">
    <w:name w:val="heading 7"/>
    <w:basedOn w:val="Normal"/>
    <w:next w:val="Normal"/>
    <w:semiHidden/>
    <w:qFormat/>
    <w:rsid w:val="001D7657"/>
    <w:pPr>
      <w:outlineLvl w:val="6"/>
    </w:pPr>
  </w:style>
  <w:style w:type="paragraph" w:styleId="Heading8">
    <w:name w:val="heading 8"/>
    <w:basedOn w:val="Normal"/>
    <w:next w:val="Normal"/>
    <w:semiHidden/>
    <w:qFormat/>
    <w:rsid w:val="001D7657"/>
    <w:pPr>
      <w:outlineLvl w:val="7"/>
    </w:pPr>
  </w:style>
  <w:style w:type="paragraph" w:styleId="Heading9">
    <w:name w:val="heading 9"/>
    <w:basedOn w:val="Normal"/>
    <w:next w:val="Normal"/>
    <w:semiHidden/>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qFormat/>
    <w:rsid w:val="008D31A8"/>
    <w:pPr>
      <w:numPr>
        <w:numId w:val="20"/>
      </w:numPr>
      <w:spacing w:before="120"/>
    </w:pPr>
  </w:style>
  <w:style w:type="numbering" w:customStyle="1" w:styleId="Bulletliststyle">
    <w:name w:val="Bullet list style"/>
    <w:basedOn w:val="NoList"/>
    <w:uiPriority w:val="99"/>
    <w:rsid w:val="008D31A8"/>
    <w:pPr>
      <w:numPr>
        <w:numId w:val="4"/>
      </w:numPr>
    </w:pPr>
  </w:style>
  <w:style w:type="paragraph" w:styleId="Date">
    <w:name w:val="Date"/>
    <w:basedOn w:val="Normal"/>
    <w:next w:val="BodyText"/>
    <w:link w:val="DateChar"/>
    <w:semiHidden/>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semiHidden/>
    <w:rsid w:val="001D7657"/>
    <w:pPr>
      <w:framePr w:w="7920" w:h="1980" w:hRule="exact" w:hSpace="180" w:wrap="auto" w:hAnchor="page" w:xAlign="center" w:yAlign="bottom"/>
      <w:ind w:left="2880"/>
    </w:pPr>
    <w:rPr>
      <w:rFonts w:cs="Arial"/>
    </w:rPr>
  </w:style>
  <w:style w:type="paragraph" w:styleId="EnvelopeReturn">
    <w:name w:val="envelope return"/>
    <w:basedOn w:val="Normal"/>
    <w:semiHidden/>
    <w:rsid w:val="001D7657"/>
    <w:rPr>
      <w:rFonts w:cs="Arial"/>
      <w:color w:val="003366"/>
      <w:sz w:val="18"/>
      <w:szCs w:val="18"/>
    </w:rPr>
  </w:style>
  <w:style w:type="paragraph" w:styleId="Footer">
    <w:name w:val="footer"/>
    <w:basedOn w:val="Normal"/>
    <w:link w:val="FooterChar"/>
    <w:semiHidden/>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semiHidden/>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semiHidden/>
    <w:rsid w:val="001D7657"/>
    <w:pPr>
      <w:tabs>
        <w:tab w:val="center" w:pos="4153"/>
        <w:tab w:val="right" w:pos="8306"/>
      </w:tabs>
      <w:jc w:val="center"/>
    </w:pPr>
  </w:style>
  <w:style w:type="character" w:customStyle="1" w:styleId="HeaderChar">
    <w:name w:val="Header Char"/>
    <w:basedOn w:val="DefaultParagraphFont"/>
    <w:link w:val="Header"/>
    <w:semiHidden/>
    <w:rsid w:val="00A22BFA"/>
    <w:rPr>
      <w:rFonts w:ascii="Calibri" w:hAnsi="Calibri"/>
      <w:sz w:val="24"/>
      <w:lang w:eastAsia="en-GB"/>
    </w:rPr>
  </w:style>
  <w:style w:type="character" w:styleId="Hyperlink">
    <w:name w:val="Hyperlink"/>
    <w:basedOn w:val="DefaultParagraphFont"/>
    <w:semiHidden/>
    <w:rsid w:val="001D7657"/>
    <w:rPr>
      <w:color w:val="0000FF"/>
      <w:u w:val="single"/>
    </w:rPr>
  </w:style>
  <w:style w:type="paragraph" w:styleId="List">
    <w:name w:val="List"/>
    <w:basedOn w:val="BodyText"/>
    <w:semiHidden/>
    <w:rsid w:val="001D7657"/>
    <w:pPr>
      <w:numPr>
        <w:numId w:val="8"/>
      </w:numPr>
    </w:pPr>
  </w:style>
  <w:style w:type="paragraph" w:styleId="ListBullet">
    <w:name w:val="List Bullet"/>
    <w:basedOn w:val="BodyText"/>
    <w:semiHidden/>
    <w:rsid w:val="001D7657"/>
  </w:style>
  <w:style w:type="paragraph" w:styleId="ListBullet2">
    <w:name w:val="List Bullet 2"/>
    <w:basedOn w:val="BodyText"/>
    <w:semiHidden/>
    <w:rsid w:val="001D7657"/>
  </w:style>
  <w:style w:type="paragraph" w:styleId="ListBullet3">
    <w:name w:val="List Bullet 3"/>
    <w:basedOn w:val="BodyText"/>
    <w:semiHidden/>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semiHidden/>
    <w:rsid w:val="001D7657"/>
    <w:rPr>
      <w:rFonts w:ascii="Calibri" w:hAnsi="Calibri"/>
      <w:sz w:val="20"/>
    </w:rPr>
  </w:style>
  <w:style w:type="paragraph" w:customStyle="1" w:styleId="Quotation">
    <w:name w:val="Quotation"/>
    <w:basedOn w:val="BodyText"/>
    <w:qFormat/>
    <w:rsid w:val="00980C00"/>
    <w:pPr>
      <w:ind w:left="709" w:right="709"/>
    </w:pPr>
    <w:rPr>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13"/>
      </w:numPr>
    </w:pPr>
  </w:style>
  <w:style w:type="table" w:styleId="TableGrid">
    <w:name w:val="Table Grid"/>
    <w:basedOn w:val="TableNormal"/>
    <w:rsid w:val="001D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4"/>
      </w:numPr>
    </w:pPr>
  </w:style>
  <w:style w:type="paragraph" w:styleId="TableofAuthorities">
    <w:name w:val="table of authorities"/>
    <w:basedOn w:val="Normal"/>
    <w:next w:val="Normal"/>
    <w:semiHidden/>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autoRedefine/>
    <w:uiPriority w:val="39"/>
    <w:rsid w:val="008D31A8"/>
    <w:pPr>
      <w:tabs>
        <w:tab w:val="right" w:leader="dot" w:pos="8930"/>
      </w:tabs>
      <w:ind w:right="425"/>
    </w:pPr>
    <w:rPr>
      <w:b/>
      <w:caps/>
      <w:sz w:val="22"/>
    </w:rPr>
  </w:style>
  <w:style w:type="paragraph" w:styleId="TOC2">
    <w:name w:val="toc 2"/>
    <w:basedOn w:val="TOC1"/>
    <w:autoRedefine/>
    <w:uiPriority w:val="39"/>
    <w:rsid w:val="008D31A8"/>
    <w:pPr>
      <w:tabs>
        <w:tab w:val="clear" w:pos="8930"/>
        <w:tab w:val="right" w:leader="dot" w:pos="8931"/>
      </w:tabs>
      <w:ind w:left="425"/>
    </w:pPr>
    <w:rPr>
      <w:b w:val="0"/>
      <w:noProof/>
    </w:rPr>
  </w:style>
  <w:style w:type="paragraph" w:styleId="TOC3">
    <w:name w:val="toc 3"/>
    <w:basedOn w:val="TOC2"/>
    <w:autoRedefine/>
    <w:uiPriority w:val="39"/>
    <w:rsid w:val="008D31A8"/>
    <w:pPr>
      <w:ind w:left="851"/>
    </w:pPr>
    <w:rPr>
      <w:i/>
      <w:caps w:val="0"/>
      <w:sz w:val="20"/>
    </w:rPr>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semiHidden/>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semiHidden/>
    <w:rsid w:val="001D7657"/>
    <w:rPr>
      <w:vertAlign w:val="superscript"/>
    </w:rPr>
  </w:style>
  <w:style w:type="paragraph" w:customStyle="1" w:styleId="Para1">
    <w:name w:val="Para 1"/>
    <w:basedOn w:val="BodyText"/>
    <w:qFormat/>
    <w:rsid w:val="001D7657"/>
    <w:pPr>
      <w:numPr>
        <w:numId w:val="12"/>
      </w:numPr>
    </w:pPr>
  </w:style>
  <w:style w:type="paragraph" w:customStyle="1" w:styleId="Para2">
    <w:name w:val="Para 2"/>
    <w:basedOn w:val="BodyText"/>
    <w:qFormat/>
    <w:rsid w:val="001D7657"/>
    <w:pPr>
      <w:numPr>
        <w:ilvl w:val="1"/>
        <w:numId w:val="12"/>
      </w:numPr>
    </w:pPr>
  </w:style>
  <w:style w:type="paragraph" w:customStyle="1" w:styleId="Para3">
    <w:name w:val="Para 3"/>
    <w:basedOn w:val="Para2"/>
    <w:qFormat/>
    <w:rsid w:val="001D7657"/>
    <w:pPr>
      <w:numPr>
        <w:ilvl w:val="2"/>
      </w:numPr>
    </w:pPr>
  </w:style>
  <w:style w:type="paragraph" w:customStyle="1" w:styleId="Para4">
    <w:name w:val="Para 4"/>
    <w:basedOn w:val="Para3"/>
    <w:qFormat/>
    <w:rsid w:val="001D7657"/>
    <w:pPr>
      <w:numPr>
        <w:ilvl w:val="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3"/>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qFormat/>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semiHidden/>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semiHidden/>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paragraph" w:styleId="ListParagraph">
    <w:name w:val="List Paragraph"/>
    <w:basedOn w:val="Normal"/>
    <w:uiPriority w:val="34"/>
    <w:qFormat/>
    <w:rsid w:val="004C7D66"/>
    <w:pPr>
      <w:ind w:left="720"/>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2707">
      <w:bodyDiv w:val="1"/>
      <w:marLeft w:val="0"/>
      <w:marRight w:val="0"/>
      <w:marTop w:val="0"/>
      <w:marBottom w:val="0"/>
      <w:divBdr>
        <w:top w:val="none" w:sz="0" w:space="0" w:color="auto"/>
        <w:left w:val="none" w:sz="0" w:space="0" w:color="auto"/>
        <w:bottom w:val="none" w:sz="0" w:space="0" w:color="auto"/>
        <w:right w:val="none" w:sz="0" w:space="0" w:color="auto"/>
      </w:divBdr>
    </w:div>
    <w:div w:id="114100169">
      <w:bodyDiv w:val="1"/>
      <w:marLeft w:val="0"/>
      <w:marRight w:val="0"/>
      <w:marTop w:val="0"/>
      <w:marBottom w:val="0"/>
      <w:divBdr>
        <w:top w:val="none" w:sz="0" w:space="0" w:color="auto"/>
        <w:left w:val="none" w:sz="0" w:space="0" w:color="auto"/>
        <w:bottom w:val="none" w:sz="0" w:space="0" w:color="auto"/>
        <w:right w:val="none" w:sz="0" w:space="0" w:color="auto"/>
      </w:divBdr>
    </w:div>
    <w:div w:id="180634809">
      <w:bodyDiv w:val="1"/>
      <w:marLeft w:val="0"/>
      <w:marRight w:val="0"/>
      <w:marTop w:val="0"/>
      <w:marBottom w:val="0"/>
      <w:divBdr>
        <w:top w:val="none" w:sz="0" w:space="0" w:color="auto"/>
        <w:left w:val="none" w:sz="0" w:space="0" w:color="auto"/>
        <w:bottom w:val="none" w:sz="0" w:space="0" w:color="auto"/>
        <w:right w:val="none" w:sz="0" w:space="0" w:color="auto"/>
      </w:divBdr>
    </w:div>
    <w:div w:id="194512871">
      <w:bodyDiv w:val="1"/>
      <w:marLeft w:val="0"/>
      <w:marRight w:val="0"/>
      <w:marTop w:val="0"/>
      <w:marBottom w:val="0"/>
      <w:divBdr>
        <w:top w:val="none" w:sz="0" w:space="0" w:color="auto"/>
        <w:left w:val="none" w:sz="0" w:space="0" w:color="auto"/>
        <w:bottom w:val="none" w:sz="0" w:space="0" w:color="auto"/>
        <w:right w:val="none" w:sz="0" w:space="0" w:color="auto"/>
      </w:divBdr>
    </w:div>
    <w:div w:id="673189237">
      <w:bodyDiv w:val="1"/>
      <w:marLeft w:val="0"/>
      <w:marRight w:val="0"/>
      <w:marTop w:val="0"/>
      <w:marBottom w:val="0"/>
      <w:divBdr>
        <w:top w:val="none" w:sz="0" w:space="0" w:color="auto"/>
        <w:left w:val="none" w:sz="0" w:space="0" w:color="auto"/>
        <w:bottom w:val="none" w:sz="0" w:space="0" w:color="auto"/>
        <w:right w:val="none" w:sz="0" w:space="0" w:color="auto"/>
      </w:divBdr>
    </w:div>
    <w:div w:id="910233818">
      <w:bodyDiv w:val="1"/>
      <w:marLeft w:val="0"/>
      <w:marRight w:val="0"/>
      <w:marTop w:val="0"/>
      <w:marBottom w:val="0"/>
      <w:divBdr>
        <w:top w:val="none" w:sz="0" w:space="0" w:color="auto"/>
        <w:left w:val="none" w:sz="0" w:space="0" w:color="auto"/>
        <w:bottom w:val="none" w:sz="0" w:space="0" w:color="auto"/>
        <w:right w:val="none" w:sz="0" w:space="0" w:color="auto"/>
      </w:divBdr>
    </w:div>
    <w:div w:id="1158813393">
      <w:bodyDiv w:val="1"/>
      <w:marLeft w:val="0"/>
      <w:marRight w:val="0"/>
      <w:marTop w:val="0"/>
      <w:marBottom w:val="0"/>
      <w:divBdr>
        <w:top w:val="none" w:sz="0" w:space="0" w:color="auto"/>
        <w:left w:val="none" w:sz="0" w:space="0" w:color="auto"/>
        <w:bottom w:val="none" w:sz="0" w:space="0" w:color="auto"/>
        <w:right w:val="none" w:sz="0" w:space="0" w:color="auto"/>
      </w:divBdr>
    </w:div>
    <w:div w:id="1193345179">
      <w:bodyDiv w:val="1"/>
      <w:marLeft w:val="0"/>
      <w:marRight w:val="0"/>
      <w:marTop w:val="0"/>
      <w:marBottom w:val="0"/>
      <w:divBdr>
        <w:top w:val="none" w:sz="0" w:space="0" w:color="auto"/>
        <w:left w:val="none" w:sz="0" w:space="0" w:color="auto"/>
        <w:bottom w:val="none" w:sz="0" w:space="0" w:color="auto"/>
        <w:right w:val="none" w:sz="0" w:space="0" w:color="auto"/>
      </w:divBdr>
    </w:div>
    <w:div w:id="1198205441">
      <w:bodyDiv w:val="1"/>
      <w:marLeft w:val="0"/>
      <w:marRight w:val="0"/>
      <w:marTop w:val="0"/>
      <w:marBottom w:val="0"/>
      <w:divBdr>
        <w:top w:val="none" w:sz="0" w:space="0" w:color="auto"/>
        <w:left w:val="none" w:sz="0" w:space="0" w:color="auto"/>
        <w:bottom w:val="none" w:sz="0" w:space="0" w:color="auto"/>
        <w:right w:val="none" w:sz="0" w:space="0" w:color="auto"/>
      </w:divBdr>
    </w:div>
    <w:div w:id="1394814968">
      <w:bodyDiv w:val="1"/>
      <w:marLeft w:val="0"/>
      <w:marRight w:val="0"/>
      <w:marTop w:val="0"/>
      <w:marBottom w:val="0"/>
      <w:divBdr>
        <w:top w:val="none" w:sz="0" w:space="0" w:color="auto"/>
        <w:left w:val="none" w:sz="0" w:space="0" w:color="auto"/>
        <w:bottom w:val="none" w:sz="0" w:space="0" w:color="auto"/>
        <w:right w:val="none" w:sz="0" w:space="0" w:color="auto"/>
      </w:divBdr>
    </w:div>
    <w:div w:id="1819615621">
      <w:bodyDiv w:val="1"/>
      <w:marLeft w:val="0"/>
      <w:marRight w:val="0"/>
      <w:marTop w:val="0"/>
      <w:marBottom w:val="0"/>
      <w:divBdr>
        <w:top w:val="none" w:sz="0" w:space="0" w:color="auto"/>
        <w:left w:val="none" w:sz="0" w:space="0" w:color="auto"/>
        <w:bottom w:val="none" w:sz="0" w:space="0" w:color="auto"/>
        <w:right w:val="none" w:sz="0" w:space="0" w:color="auto"/>
      </w:divBdr>
    </w:div>
    <w:div w:id="2093233675">
      <w:bodyDiv w:val="1"/>
      <w:marLeft w:val="0"/>
      <w:marRight w:val="0"/>
      <w:marTop w:val="0"/>
      <w:marBottom w:val="0"/>
      <w:divBdr>
        <w:top w:val="none" w:sz="0" w:space="0" w:color="auto"/>
        <w:left w:val="none" w:sz="0" w:space="0" w:color="auto"/>
        <w:bottom w:val="none" w:sz="0" w:space="0" w:color="auto"/>
        <w:right w:val="none" w:sz="0" w:space="0" w:color="auto"/>
      </w:divBdr>
    </w:div>
    <w:div w:id="212253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CEAB19.15EDC840"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4</Pages>
  <Words>1001</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grantw</dc:creator>
  <dc:description>Released 12 July 2012</dc:description>
  <cp:lastModifiedBy>grantw</cp:lastModifiedBy>
  <cp:revision>2</cp:revision>
  <cp:lastPrinted>2002-04-12T07:33:00Z</cp:lastPrinted>
  <dcterms:created xsi:type="dcterms:W3CDTF">2013-09-09T03:12:00Z</dcterms:created>
  <dcterms:modified xsi:type="dcterms:W3CDTF">2013-09-09T03:12:00Z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DocumentDesc">
    <vt:lpwstr>Orion CPP Project - Response to Orion questions on NZIER reports</vt:lpwstr>
  </property>
  <property fmtid="{D5CDD505-2E9C-101B-9397-08002B2CF9AE}" pid="3" name="imAuthorInitials">
    <vt:lpwstr>GRANTW</vt:lpwstr>
  </property>
  <property fmtid="{D5CDD505-2E9C-101B-9397-08002B2CF9AE}" pid="4" name="imAuthorName">
    <vt:lpwstr>Grant Weston</vt:lpwstr>
  </property>
  <property fmtid="{D5CDD505-2E9C-101B-9397-08002B2CF9AE}" pid="5" name="imAuthorFax">
    <vt:lpwstr/>
  </property>
  <property fmtid="{D5CDD505-2E9C-101B-9397-08002B2CF9AE}" pid="6" name="imAuthorPhone">
    <vt:lpwstr/>
  </property>
  <property fmtid="{D5CDD505-2E9C-101B-9397-08002B2CF9AE}" pid="7" name="imAuthorEmail">
    <vt:lpwstr/>
  </property>
  <property fmtid="{D5CDD505-2E9C-101B-9397-08002B2CF9AE}" pid="8" name="imType">
    <vt:lpwstr>DOC</vt:lpwstr>
  </property>
  <property fmtid="{D5CDD505-2E9C-101B-9397-08002B2CF9AE}" pid="9" name="imSubType">
    <vt:lpwstr/>
  </property>
  <property fmtid="{D5CDD505-2E9C-101B-9397-08002B2CF9AE}" pid="10" name="imOutput">
    <vt:lpwstr>14.07</vt:lpwstr>
  </property>
  <property fmtid="{D5CDD505-2E9C-101B-9397-08002B2CF9AE}" pid="11" name="imProjectNo">
    <vt:lpwstr>14050</vt:lpwstr>
  </property>
  <property fmtid="{D5CDD505-2E9C-101B-9397-08002B2CF9AE}" pid="12" name="imClassification">
    <vt:lpwstr>In-Confidence - Internal use only</vt:lpwstr>
  </property>
  <property fmtid="{D5CDD505-2E9C-101B-9397-08002B2CF9AE}" pid="13" name="imStatus">
    <vt:lpwstr/>
  </property>
  <property fmtid="{D5CDD505-2E9C-101B-9397-08002B2CF9AE}" pid="14" name="imForeMostNo">
    <vt:lpwstr>ACA-14.07-14050-06</vt:lpwstr>
  </property>
  <property fmtid="{D5CDD505-2E9C-101B-9397-08002B2CF9AE}" pid="15" name="imOperatorInitials">
    <vt:lpwstr>GRANTW</vt:lpwstr>
  </property>
  <property fmtid="{D5CDD505-2E9C-101B-9397-08002B2CF9AE}" pid="16" name="imOperatorName">
    <vt:lpwstr>Grant Weston</vt:lpwstr>
  </property>
  <property fmtid="{D5CDD505-2E9C-101B-9397-08002B2CF9AE}" pid="17" name="imOperatorPhone">
    <vt:lpwstr/>
  </property>
  <property fmtid="{D5CDD505-2E9C-101B-9397-08002B2CF9AE}" pid="18" name="imApplication">
    <vt:lpwstr>WORDX</vt:lpwstr>
  </property>
  <property fmtid="{D5CDD505-2E9C-101B-9397-08002B2CF9AE}" pid="19" name="imPartiesTo">
    <vt:lpwstr/>
  </property>
  <property fmtid="{D5CDD505-2E9C-101B-9397-08002B2CF9AE}" pid="20" name="imPartiesFrom">
    <vt:lpwstr/>
  </property>
  <property fmtid="{D5CDD505-2E9C-101B-9397-08002B2CF9AE}" pid="21" name="imDocumentDate">
    <vt:filetime>2013-09-09T02:53:44Z</vt:filetime>
  </property>
  <property fmtid="{D5CDD505-2E9C-101B-9397-08002B2CF9AE}" pid="22" name="iManageDocumentNumber">
    <vt:lpwstr>999999-</vt:lpwstr>
  </property>
  <property fmtid="{D5CDD505-2E9C-101B-9397-08002B2CF9AE}" pid="23" name="iManageDocumentVersion">
    <vt:lpwstr>9</vt:lpwstr>
  </property>
</Properties>
</file>