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DE" w:rsidRDefault="005272DE" w:rsidP="00770504">
      <w:pPr>
        <w:pStyle w:val="zFileRef"/>
      </w:pPr>
      <w:r>
        <w:t xml:space="preserve">Project no. </w:t>
      </w:r>
      <w:r w:rsidR="00D53361">
        <w:t>15.01</w:t>
      </w:r>
      <w:r w:rsidR="00641432" w:rsidRPr="00641432">
        <w:t>/</w:t>
      </w:r>
      <w:r w:rsidR="008E3A70">
        <w:t>13199</w:t>
      </w:r>
    </w:p>
    <w:p w:rsidR="00EB32FC" w:rsidRDefault="00EB32FC" w:rsidP="00770504"/>
    <w:p w:rsidR="005272DE" w:rsidRPr="00EB32FC" w:rsidRDefault="005272DE" w:rsidP="00770504">
      <w:pPr>
        <w:pStyle w:val="zFileRef"/>
      </w:pPr>
      <w:r w:rsidRPr="00EB32FC">
        <w:rPr>
          <w:b/>
        </w:rPr>
        <w:t xml:space="preserve">Public </w:t>
      </w:r>
      <w:r w:rsidRPr="00D53361">
        <w:rPr>
          <w:b/>
        </w:rPr>
        <w:t>version</w:t>
      </w:r>
    </w:p>
    <w:p w:rsidR="005272DE" w:rsidRPr="00641432" w:rsidRDefault="005272DE" w:rsidP="00641432"/>
    <w:p w:rsidR="0002733A" w:rsidRPr="00641432" w:rsidRDefault="0002733A" w:rsidP="00641432"/>
    <w:p w:rsidR="0002733A" w:rsidRPr="00641432" w:rsidRDefault="0002733A" w:rsidP="00641432"/>
    <w:p w:rsidR="0002733A" w:rsidRDefault="0002733A" w:rsidP="00641432"/>
    <w:p w:rsidR="00641432" w:rsidRDefault="00641432" w:rsidP="00641432"/>
    <w:p w:rsidR="00641432" w:rsidRDefault="00641432" w:rsidP="00641432"/>
    <w:p w:rsidR="00641432" w:rsidRPr="00641432" w:rsidRDefault="00641432" w:rsidP="00641432"/>
    <w:p w:rsidR="0094602A" w:rsidRPr="00EB32FC" w:rsidRDefault="008A4488" w:rsidP="00641432">
      <w:pPr>
        <w:pStyle w:val="Title"/>
      </w:pPr>
      <w:r>
        <w:t xml:space="preserve">Gas Distribution Services Default </w:t>
      </w:r>
      <w:r w:rsidR="00D53361" w:rsidRPr="00D53361">
        <w:t>Price-Quality Path Determination 201</w:t>
      </w:r>
      <w:r w:rsidR="00FC7918">
        <w:t>3</w:t>
      </w:r>
    </w:p>
    <w:p w:rsidR="00EB32FC" w:rsidRPr="00641432" w:rsidRDefault="00EB32FC" w:rsidP="00641432"/>
    <w:p w:rsidR="005272DE" w:rsidRPr="00641432" w:rsidRDefault="005272DE" w:rsidP="00641432"/>
    <w:p w:rsidR="0002733A" w:rsidRDefault="0002733A" w:rsidP="00641432"/>
    <w:p w:rsidR="00641432" w:rsidRPr="00641432" w:rsidRDefault="00641432" w:rsidP="00641432"/>
    <w:p w:rsidR="008E3A70" w:rsidRDefault="00E40A4E" w:rsidP="008E3A70">
      <w:pPr>
        <w:pStyle w:val="zReportsubtitle"/>
      </w:pPr>
      <w:r>
        <w:t>Technical consultation draft</w:t>
      </w:r>
    </w:p>
    <w:p w:rsidR="008E3A70" w:rsidRDefault="008E3A70" w:rsidP="008E3A70">
      <w:pPr>
        <w:pStyle w:val="zReportsubtitle"/>
      </w:pPr>
    </w:p>
    <w:p w:rsidR="008E3A70" w:rsidRPr="00EB32FC" w:rsidRDefault="008E3A70" w:rsidP="008E3A70">
      <w:pPr>
        <w:pStyle w:val="zReportsubtitle"/>
      </w:pPr>
      <w:r>
        <w:t xml:space="preserve">Date: </w:t>
      </w:r>
      <w:r w:rsidR="00B32E70">
        <w:t xml:space="preserve">8 </w:t>
      </w:r>
      <w:r w:rsidR="00E40A4E">
        <w:t>February</w:t>
      </w:r>
      <w:r>
        <w:t xml:space="preserve"> 201</w:t>
      </w:r>
      <w:r w:rsidR="00E40A4E">
        <w:t>3</w:t>
      </w:r>
    </w:p>
    <w:p w:rsidR="00EB32FC" w:rsidRPr="00641432" w:rsidRDefault="00EB32FC" w:rsidP="00641432"/>
    <w:p w:rsidR="005272DE" w:rsidRDefault="005272DE" w:rsidP="00641432"/>
    <w:p w:rsidR="00B325FB" w:rsidRDefault="00B325FB" w:rsidP="00641432"/>
    <w:p w:rsidR="00B325FB" w:rsidRDefault="00B325FB" w:rsidP="00641432"/>
    <w:p w:rsidR="00B325FB" w:rsidRDefault="00B325FB" w:rsidP="00641432"/>
    <w:p w:rsidR="00B325FB" w:rsidRDefault="00B325FB" w:rsidP="00641432"/>
    <w:p w:rsidR="00B325FB" w:rsidRDefault="00B325FB" w:rsidP="00641432"/>
    <w:p w:rsidR="00B325FB" w:rsidRDefault="00B325FB" w:rsidP="00641432"/>
    <w:p w:rsidR="00B325FB" w:rsidRDefault="00B325FB" w:rsidP="00641432"/>
    <w:p w:rsidR="00B325FB" w:rsidRDefault="00B325FB" w:rsidP="00641432"/>
    <w:p w:rsidR="00B325FB" w:rsidRDefault="00B325FB" w:rsidP="00641432"/>
    <w:p w:rsidR="00B325FB" w:rsidRDefault="00B325FB" w:rsidP="00641432"/>
    <w:p w:rsidR="00B325FB" w:rsidRDefault="00B325FB" w:rsidP="00641432"/>
    <w:p w:rsidR="00B325FB" w:rsidRPr="00641432" w:rsidRDefault="00B325FB" w:rsidP="00641432"/>
    <w:p w:rsidR="00D67E57" w:rsidRPr="008F0575" w:rsidRDefault="00D67E57" w:rsidP="00D67E57">
      <w:pPr>
        <w:pStyle w:val="Box-Comments"/>
        <w:numPr>
          <w:ilvl w:val="0"/>
          <w:numId w:val="0"/>
        </w:numPr>
      </w:pPr>
      <w:r w:rsidRPr="008F0575">
        <w:t>Regulation Branch, Commerce Commission</w:t>
      </w:r>
    </w:p>
    <w:p w:rsidR="00D67E57" w:rsidRPr="008F0575" w:rsidRDefault="00D67E57" w:rsidP="00D67E57">
      <w:pPr>
        <w:pStyle w:val="Box-Comments"/>
        <w:numPr>
          <w:ilvl w:val="0"/>
          <w:numId w:val="0"/>
        </w:numPr>
      </w:pPr>
      <w:r w:rsidRPr="008F0575">
        <w:t>Wellington, NEW ZEALAND</w:t>
      </w:r>
    </w:p>
    <w:p w:rsidR="00D67E57" w:rsidRPr="008F0575" w:rsidRDefault="00B32E70" w:rsidP="00D67E57">
      <w:pPr>
        <w:pStyle w:val="Box-Comments"/>
        <w:numPr>
          <w:ilvl w:val="0"/>
          <w:numId w:val="0"/>
        </w:numPr>
      </w:pPr>
      <w:r>
        <w:t xml:space="preserve">8 </w:t>
      </w:r>
      <w:r w:rsidR="00E40A4E">
        <w:t>February 2013</w:t>
      </w:r>
    </w:p>
    <w:p w:rsidR="00D67E57" w:rsidRPr="008F0575" w:rsidRDefault="00D67E57" w:rsidP="00D67E57">
      <w:pPr>
        <w:pStyle w:val="Box-Comments"/>
        <w:numPr>
          <w:ilvl w:val="0"/>
          <w:numId w:val="0"/>
        </w:numPr>
      </w:pPr>
      <w:r w:rsidRPr="008F0575">
        <w:t>ISBN</w:t>
      </w:r>
      <w:r w:rsidRPr="003C6219">
        <w:t xml:space="preserve">: </w:t>
      </w:r>
      <w:r w:rsidR="00812AD1" w:rsidRPr="00812AD1">
        <w:t>978-1-869453-06-0</w:t>
      </w:r>
    </w:p>
    <w:p w:rsidR="0048622D" w:rsidRDefault="0048622D" w:rsidP="0048622D">
      <w:pPr>
        <w:pStyle w:val="Heading1"/>
        <w:numPr>
          <w:ilvl w:val="0"/>
          <w:numId w:val="0"/>
        </w:numPr>
        <w:ind w:left="709"/>
      </w:pPr>
      <w:bookmarkStart w:id="0" w:name="_Toc338365380"/>
      <w:bookmarkEnd w:id="0"/>
    </w:p>
    <w:p w:rsidR="008A5C53" w:rsidRDefault="008A5C53" w:rsidP="008A5C53">
      <w:pPr>
        <w:pStyle w:val="BodyText"/>
        <w:rPr>
          <w:sz w:val="28"/>
        </w:rPr>
      </w:pPr>
      <w:r>
        <w:br w:type="page"/>
      </w:r>
    </w:p>
    <w:p w:rsidR="00F26DE8" w:rsidRPr="0019388B" w:rsidRDefault="00F26DE8" w:rsidP="00F26DE8">
      <w:pPr>
        <w:pStyle w:val="UnnumberedL1"/>
        <w:rPr>
          <w:rFonts w:asciiTheme="minorHAnsi" w:hAnsi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2127"/>
        <w:gridCol w:w="5244"/>
      </w:tblGrid>
      <w:tr w:rsidR="00F26DE8" w:rsidRPr="008F0575" w:rsidTr="008E3A70">
        <w:tc>
          <w:tcPr>
            <w:tcW w:w="9747" w:type="dxa"/>
            <w:gridSpan w:val="3"/>
            <w:shd w:val="clear" w:color="auto" w:fill="E6E6E6"/>
          </w:tcPr>
          <w:p w:rsidR="00F26DE8" w:rsidRPr="008F0575" w:rsidRDefault="00F26DE8" w:rsidP="008E3A70">
            <w:pPr>
              <w:rPr>
                <w:rStyle w:val="Emphasis-Bold"/>
              </w:rPr>
            </w:pPr>
            <w:r w:rsidRPr="008F0575">
              <w:rPr>
                <w:rStyle w:val="Emphasis-Bold"/>
              </w:rPr>
              <w:t>Determination version history</w:t>
            </w:r>
          </w:p>
        </w:tc>
      </w:tr>
      <w:tr w:rsidR="00F26DE8" w:rsidRPr="008F0575" w:rsidTr="008E3A70">
        <w:tc>
          <w:tcPr>
            <w:tcW w:w="2376" w:type="dxa"/>
            <w:shd w:val="clear" w:color="auto" w:fill="E6E6E6"/>
          </w:tcPr>
          <w:p w:rsidR="00F26DE8" w:rsidRPr="008F0575" w:rsidRDefault="00F26DE8" w:rsidP="008E3A70">
            <w:pPr>
              <w:rPr>
                <w:rStyle w:val="Emphasis-Bold"/>
              </w:rPr>
            </w:pPr>
            <w:r w:rsidRPr="008F0575">
              <w:rPr>
                <w:rStyle w:val="Emphasis-Bold"/>
              </w:rPr>
              <w:t>Determination date</w:t>
            </w:r>
          </w:p>
        </w:tc>
        <w:tc>
          <w:tcPr>
            <w:tcW w:w="2127" w:type="dxa"/>
            <w:shd w:val="clear" w:color="auto" w:fill="E6E6E6"/>
          </w:tcPr>
          <w:p w:rsidR="00F26DE8" w:rsidRPr="008F0575" w:rsidRDefault="00F26DE8" w:rsidP="008E3A70">
            <w:pPr>
              <w:rPr>
                <w:rStyle w:val="Emphasis-Bold"/>
              </w:rPr>
            </w:pPr>
            <w:r w:rsidRPr="008F0575">
              <w:rPr>
                <w:rStyle w:val="Emphasis-Bold"/>
              </w:rPr>
              <w:t>Decision number</w:t>
            </w:r>
          </w:p>
        </w:tc>
        <w:tc>
          <w:tcPr>
            <w:tcW w:w="5244" w:type="dxa"/>
            <w:shd w:val="clear" w:color="auto" w:fill="E6E6E6"/>
          </w:tcPr>
          <w:p w:rsidR="00F26DE8" w:rsidRPr="008F0575" w:rsidRDefault="00F26DE8" w:rsidP="008E3A70">
            <w:pPr>
              <w:rPr>
                <w:rStyle w:val="Emphasis-Bold"/>
              </w:rPr>
            </w:pPr>
            <w:r w:rsidRPr="008F0575">
              <w:rPr>
                <w:rStyle w:val="Emphasis-Bold"/>
              </w:rPr>
              <w:t>Determination name</w:t>
            </w:r>
          </w:p>
        </w:tc>
      </w:tr>
      <w:tr w:rsidR="00F26DE8" w:rsidRPr="008F0575" w:rsidTr="008E3A70">
        <w:tc>
          <w:tcPr>
            <w:tcW w:w="2376" w:type="dxa"/>
          </w:tcPr>
          <w:p w:rsidR="00F26DE8" w:rsidRPr="008F0575" w:rsidRDefault="00F26DE8" w:rsidP="008E3A70">
            <w:r>
              <w:t>[Decision date]</w:t>
            </w:r>
          </w:p>
          <w:p w:rsidR="00F26DE8" w:rsidRPr="008F0575" w:rsidRDefault="00F26DE8" w:rsidP="008E3A70"/>
        </w:tc>
        <w:tc>
          <w:tcPr>
            <w:tcW w:w="2127" w:type="dxa"/>
          </w:tcPr>
          <w:p w:rsidR="00F26DE8" w:rsidRPr="008F0575" w:rsidRDefault="00F26DE8" w:rsidP="008E3A70">
            <w:r>
              <w:t>[Decision Number]</w:t>
            </w:r>
          </w:p>
        </w:tc>
        <w:tc>
          <w:tcPr>
            <w:tcW w:w="5244" w:type="dxa"/>
          </w:tcPr>
          <w:p w:rsidR="00F26DE8" w:rsidRPr="008F0575" w:rsidRDefault="008A4488" w:rsidP="008E3A70">
            <w:r>
              <w:t xml:space="preserve">Gas Distribution Services Default </w:t>
            </w:r>
            <w:r w:rsidR="00F26DE8">
              <w:t>Price-Quality Path</w:t>
            </w:r>
            <w:r w:rsidR="00F26DE8" w:rsidRPr="008F0575">
              <w:t xml:space="preserve"> Determination 201</w:t>
            </w:r>
            <w:r w:rsidR="008E3A70">
              <w:t>3</w:t>
            </w:r>
            <w:r w:rsidR="00F26DE8" w:rsidRPr="008F0575">
              <w:t>.</w:t>
            </w:r>
          </w:p>
        </w:tc>
      </w:tr>
    </w:tbl>
    <w:p w:rsidR="0048622D" w:rsidRDefault="0048622D" w:rsidP="0048622D">
      <w:pPr>
        <w:pStyle w:val="Heading1"/>
        <w:numPr>
          <w:ilvl w:val="0"/>
          <w:numId w:val="0"/>
        </w:numPr>
        <w:ind w:left="709"/>
        <w:rPr>
          <w:highlight w:val="yellow"/>
        </w:rPr>
      </w:pPr>
      <w:bookmarkStart w:id="1" w:name="_Toc338365381"/>
      <w:bookmarkEnd w:id="1"/>
    </w:p>
    <w:p w:rsidR="00F26DE8" w:rsidRDefault="00F26DE8">
      <w:pPr>
        <w:rPr>
          <w:b/>
          <w:sz w:val="28"/>
          <w:highlight w:val="yellow"/>
        </w:rPr>
      </w:pPr>
      <w:r>
        <w:rPr>
          <w:highlight w:val="yellow"/>
        </w:rPr>
        <w:br w:type="page"/>
      </w:r>
    </w:p>
    <w:p w:rsidR="00812AD1" w:rsidRDefault="004E6FB5">
      <w:pPr>
        <w:pStyle w:val="TOC1"/>
        <w:rPr>
          <w:rFonts w:asciiTheme="minorHAnsi" w:eastAsiaTheme="minorEastAsia" w:hAnsiTheme="minorHAnsi" w:cstheme="minorBidi"/>
          <w:b w:val="0"/>
          <w:noProof/>
          <w:sz w:val="22"/>
          <w:szCs w:val="22"/>
          <w:lang w:eastAsia="en-NZ"/>
        </w:rPr>
      </w:pPr>
      <w:r w:rsidRPr="004E6FB5">
        <w:rPr>
          <w:b w:val="0"/>
        </w:rPr>
        <w:lastRenderedPageBreak/>
        <w:fldChar w:fldCharType="begin"/>
      </w:r>
      <w:r w:rsidR="00D42BDA">
        <w:rPr>
          <w:b w:val="0"/>
        </w:rPr>
        <w:instrText xml:space="preserve"> TOC \o "1-1" \h \z \u \t "Heading 2,1,Subtitle,2" </w:instrText>
      </w:r>
      <w:r w:rsidRPr="004E6FB5">
        <w:rPr>
          <w:b w:val="0"/>
        </w:rPr>
        <w:fldChar w:fldCharType="separate"/>
      </w:r>
      <w:hyperlink w:anchor="_Toc348091301" w:history="1">
        <w:r w:rsidR="00812AD1" w:rsidRPr="00243905">
          <w:rPr>
            <w:rStyle w:val="Hyperlink"/>
            <w:noProof/>
          </w:rPr>
          <w:t>1.</w:t>
        </w:r>
        <w:r w:rsidR="00812AD1">
          <w:rPr>
            <w:rFonts w:asciiTheme="minorHAnsi" w:eastAsiaTheme="minorEastAsia" w:hAnsiTheme="minorHAnsi" w:cstheme="minorBidi"/>
            <w:b w:val="0"/>
            <w:noProof/>
            <w:sz w:val="22"/>
            <w:szCs w:val="22"/>
            <w:lang w:eastAsia="en-NZ"/>
          </w:rPr>
          <w:tab/>
        </w:r>
        <w:r w:rsidR="00812AD1" w:rsidRPr="00243905">
          <w:rPr>
            <w:rStyle w:val="Hyperlink"/>
            <w:noProof/>
          </w:rPr>
          <w:t>Title</w:t>
        </w:r>
        <w:r w:rsidR="00812AD1">
          <w:rPr>
            <w:noProof/>
            <w:webHidden/>
          </w:rPr>
          <w:tab/>
        </w:r>
        <w:r>
          <w:rPr>
            <w:noProof/>
            <w:webHidden/>
          </w:rPr>
          <w:fldChar w:fldCharType="begin"/>
        </w:r>
        <w:r w:rsidR="00812AD1">
          <w:rPr>
            <w:noProof/>
            <w:webHidden/>
          </w:rPr>
          <w:instrText xml:space="preserve"> PAGEREF _Toc348091301 \h </w:instrText>
        </w:r>
        <w:r>
          <w:rPr>
            <w:noProof/>
            <w:webHidden/>
          </w:rPr>
        </w:r>
        <w:r>
          <w:rPr>
            <w:noProof/>
            <w:webHidden/>
          </w:rPr>
          <w:fldChar w:fldCharType="separate"/>
        </w:r>
        <w:r w:rsidR="00360727">
          <w:rPr>
            <w:noProof/>
            <w:webHidden/>
          </w:rPr>
          <w:t>4</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02" w:history="1">
        <w:r w:rsidR="00812AD1" w:rsidRPr="00243905">
          <w:rPr>
            <w:rStyle w:val="Hyperlink"/>
            <w:noProof/>
          </w:rPr>
          <w:t>2.</w:t>
        </w:r>
        <w:r w:rsidR="00812AD1">
          <w:rPr>
            <w:rFonts w:asciiTheme="minorHAnsi" w:eastAsiaTheme="minorEastAsia" w:hAnsiTheme="minorHAnsi" w:cstheme="minorBidi"/>
            <w:b w:val="0"/>
            <w:noProof/>
            <w:sz w:val="22"/>
            <w:szCs w:val="22"/>
            <w:lang w:eastAsia="en-NZ"/>
          </w:rPr>
          <w:tab/>
        </w:r>
        <w:r w:rsidR="00812AD1" w:rsidRPr="00243905">
          <w:rPr>
            <w:rStyle w:val="Hyperlink"/>
            <w:noProof/>
          </w:rPr>
          <w:t>Commencement</w:t>
        </w:r>
        <w:r w:rsidR="00812AD1">
          <w:rPr>
            <w:noProof/>
            <w:webHidden/>
          </w:rPr>
          <w:tab/>
        </w:r>
        <w:r>
          <w:rPr>
            <w:noProof/>
            <w:webHidden/>
          </w:rPr>
          <w:fldChar w:fldCharType="begin"/>
        </w:r>
        <w:r w:rsidR="00812AD1">
          <w:rPr>
            <w:noProof/>
            <w:webHidden/>
          </w:rPr>
          <w:instrText xml:space="preserve"> PAGEREF _Toc348091302 \h </w:instrText>
        </w:r>
        <w:r>
          <w:rPr>
            <w:noProof/>
            <w:webHidden/>
          </w:rPr>
        </w:r>
        <w:r>
          <w:rPr>
            <w:noProof/>
            <w:webHidden/>
          </w:rPr>
          <w:fldChar w:fldCharType="separate"/>
        </w:r>
        <w:r w:rsidR="00360727">
          <w:rPr>
            <w:noProof/>
            <w:webHidden/>
          </w:rPr>
          <w:t>4</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03" w:history="1">
        <w:r w:rsidR="00812AD1" w:rsidRPr="00243905">
          <w:rPr>
            <w:rStyle w:val="Hyperlink"/>
            <w:noProof/>
          </w:rPr>
          <w:t>3.</w:t>
        </w:r>
        <w:r w:rsidR="00812AD1">
          <w:rPr>
            <w:rFonts w:asciiTheme="minorHAnsi" w:eastAsiaTheme="minorEastAsia" w:hAnsiTheme="minorHAnsi" w:cstheme="minorBidi"/>
            <w:b w:val="0"/>
            <w:noProof/>
            <w:sz w:val="22"/>
            <w:szCs w:val="22"/>
            <w:lang w:eastAsia="en-NZ"/>
          </w:rPr>
          <w:tab/>
        </w:r>
        <w:r w:rsidR="00812AD1" w:rsidRPr="00243905">
          <w:rPr>
            <w:rStyle w:val="Hyperlink"/>
            <w:noProof/>
          </w:rPr>
          <w:t>Application</w:t>
        </w:r>
        <w:r w:rsidR="00812AD1">
          <w:rPr>
            <w:noProof/>
            <w:webHidden/>
          </w:rPr>
          <w:tab/>
        </w:r>
        <w:r>
          <w:rPr>
            <w:noProof/>
            <w:webHidden/>
          </w:rPr>
          <w:fldChar w:fldCharType="begin"/>
        </w:r>
        <w:r w:rsidR="00812AD1">
          <w:rPr>
            <w:noProof/>
            <w:webHidden/>
          </w:rPr>
          <w:instrText xml:space="preserve"> PAGEREF _Toc348091303 \h </w:instrText>
        </w:r>
        <w:r>
          <w:rPr>
            <w:noProof/>
            <w:webHidden/>
          </w:rPr>
        </w:r>
        <w:r>
          <w:rPr>
            <w:noProof/>
            <w:webHidden/>
          </w:rPr>
          <w:fldChar w:fldCharType="separate"/>
        </w:r>
        <w:r w:rsidR="00360727">
          <w:rPr>
            <w:noProof/>
            <w:webHidden/>
          </w:rPr>
          <w:t>4</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04" w:history="1">
        <w:r w:rsidR="00812AD1" w:rsidRPr="00243905">
          <w:rPr>
            <w:rStyle w:val="Hyperlink"/>
            <w:noProof/>
          </w:rPr>
          <w:t>4.</w:t>
        </w:r>
        <w:r w:rsidR="00812AD1">
          <w:rPr>
            <w:rFonts w:asciiTheme="minorHAnsi" w:eastAsiaTheme="minorEastAsia" w:hAnsiTheme="minorHAnsi" w:cstheme="minorBidi"/>
            <w:b w:val="0"/>
            <w:noProof/>
            <w:sz w:val="22"/>
            <w:szCs w:val="22"/>
            <w:lang w:eastAsia="en-NZ"/>
          </w:rPr>
          <w:tab/>
        </w:r>
        <w:r w:rsidR="00812AD1" w:rsidRPr="00243905">
          <w:rPr>
            <w:rStyle w:val="Hyperlink"/>
            <w:noProof/>
          </w:rPr>
          <w:t>Interpretation</w:t>
        </w:r>
        <w:r w:rsidR="00812AD1">
          <w:rPr>
            <w:noProof/>
            <w:webHidden/>
          </w:rPr>
          <w:tab/>
        </w:r>
        <w:r>
          <w:rPr>
            <w:noProof/>
            <w:webHidden/>
          </w:rPr>
          <w:fldChar w:fldCharType="begin"/>
        </w:r>
        <w:r w:rsidR="00812AD1">
          <w:rPr>
            <w:noProof/>
            <w:webHidden/>
          </w:rPr>
          <w:instrText xml:space="preserve"> PAGEREF _Toc348091304 \h </w:instrText>
        </w:r>
        <w:r>
          <w:rPr>
            <w:noProof/>
            <w:webHidden/>
          </w:rPr>
        </w:r>
        <w:r>
          <w:rPr>
            <w:noProof/>
            <w:webHidden/>
          </w:rPr>
          <w:fldChar w:fldCharType="separate"/>
        </w:r>
        <w:r w:rsidR="00360727">
          <w:rPr>
            <w:noProof/>
            <w:webHidden/>
          </w:rPr>
          <w:t>4</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05" w:history="1">
        <w:r w:rsidR="00812AD1" w:rsidRPr="00243905">
          <w:rPr>
            <w:rStyle w:val="Hyperlink"/>
            <w:noProof/>
          </w:rPr>
          <w:t>5.</w:t>
        </w:r>
        <w:r w:rsidR="00812AD1">
          <w:rPr>
            <w:rFonts w:asciiTheme="minorHAnsi" w:eastAsiaTheme="minorEastAsia" w:hAnsiTheme="minorHAnsi" w:cstheme="minorBidi"/>
            <w:b w:val="0"/>
            <w:noProof/>
            <w:sz w:val="22"/>
            <w:szCs w:val="22"/>
            <w:lang w:eastAsia="en-NZ"/>
          </w:rPr>
          <w:tab/>
        </w:r>
        <w:r w:rsidR="00812AD1" w:rsidRPr="00243905">
          <w:rPr>
            <w:rStyle w:val="Hyperlink"/>
            <w:noProof/>
          </w:rPr>
          <w:t>Default price-quality path</w:t>
        </w:r>
        <w:r w:rsidR="00812AD1">
          <w:rPr>
            <w:noProof/>
            <w:webHidden/>
          </w:rPr>
          <w:tab/>
        </w:r>
        <w:r>
          <w:rPr>
            <w:noProof/>
            <w:webHidden/>
          </w:rPr>
          <w:fldChar w:fldCharType="begin"/>
        </w:r>
        <w:r w:rsidR="00812AD1">
          <w:rPr>
            <w:noProof/>
            <w:webHidden/>
          </w:rPr>
          <w:instrText xml:space="preserve"> PAGEREF _Toc348091305 \h </w:instrText>
        </w:r>
        <w:r>
          <w:rPr>
            <w:noProof/>
            <w:webHidden/>
          </w:rPr>
        </w:r>
        <w:r>
          <w:rPr>
            <w:noProof/>
            <w:webHidden/>
          </w:rPr>
          <w:fldChar w:fldCharType="separate"/>
        </w:r>
        <w:r w:rsidR="00360727">
          <w:rPr>
            <w:noProof/>
            <w:webHidden/>
          </w:rPr>
          <w:t>6</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06" w:history="1">
        <w:r w:rsidR="00812AD1" w:rsidRPr="00243905">
          <w:rPr>
            <w:rStyle w:val="Hyperlink"/>
            <w:noProof/>
          </w:rPr>
          <w:t>6.</w:t>
        </w:r>
        <w:r w:rsidR="00812AD1">
          <w:rPr>
            <w:rFonts w:asciiTheme="minorHAnsi" w:eastAsiaTheme="minorEastAsia" w:hAnsiTheme="minorHAnsi" w:cstheme="minorBidi"/>
            <w:b w:val="0"/>
            <w:noProof/>
            <w:sz w:val="22"/>
            <w:szCs w:val="22"/>
            <w:lang w:eastAsia="en-NZ"/>
          </w:rPr>
          <w:tab/>
        </w:r>
        <w:r w:rsidR="00812AD1" w:rsidRPr="00243905">
          <w:rPr>
            <w:rStyle w:val="Hyperlink"/>
            <w:noProof/>
          </w:rPr>
          <w:t>Applicable input methodologies</w:t>
        </w:r>
        <w:r w:rsidR="00812AD1">
          <w:rPr>
            <w:noProof/>
            <w:webHidden/>
          </w:rPr>
          <w:tab/>
        </w:r>
        <w:r>
          <w:rPr>
            <w:noProof/>
            <w:webHidden/>
          </w:rPr>
          <w:fldChar w:fldCharType="begin"/>
        </w:r>
        <w:r w:rsidR="00812AD1">
          <w:rPr>
            <w:noProof/>
            <w:webHidden/>
          </w:rPr>
          <w:instrText xml:space="preserve"> PAGEREF _Toc348091306 \h </w:instrText>
        </w:r>
        <w:r>
          <w:rPr>
            <w:noProof/>
            <w:webHidden/>
          </w:rPr>
        </w:r>
        <w:r>
          <w:rPr>
            <w:noProof/>
            <w:webHidden/>
          </w:rPr>
          <w:fldChar w:fldCharType="separate"/>
        </w:r>
        <w:r w:rsidR="00360727">
          <w:rPr>
            <w:noProof/>
            <w:webHidden/>
          </w:rPr>
          <w:t>6</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07" w:history="1">
        <w:r w:rsidR="00812AD1" w:rsidRPr="00243905">
          <w:rPr>
            <w:rStyle w:val="Hyperlink"/>
            <w:noProof/>
          </w:rPr>
          <w:t>7.</w:t>
        </w:r>
        <w:r w:rsidR="00812AD1">
          <w:rPr>
            <w:rFonts w:asciiTheme="minorHAnsi" w:eastAsiaTheme="minorEastAsia" w:hAnsiTheme="minorHAnsi" w:cstheme="minorBidi"/>
            <w:b w:val="0"/>
            <w:noProof/>
            <w:sz w:val="22"/>
            <w:szCs w:val="22"/>
            <w:lang w:eastAsia="en-NZ"/>
          </w:rPr>
          <w:tab/>
        </w:r>
        <w:r w:rsidR="00812AD1" w:rsidRPr="00243905">
          <w:rPr>
            <w:rStyle w:val="Hyperlink"/>
            <w:noProof/>
          </w:rPr>
          <w:t>Customised price-quality path proposals</w:t>
        </w:r>
        <w:r w:rsidR="00812AD1">
          <w:rPr>
            <w:noProof/>
            <w:webHidden/>
          </w:rPr>
          <w:tab/>
        </w:r>
        <w:r>
          <w:rPr>
            <w:noProof/>
            <w:webHidden/>
          </w:rPr>
          <w:fldChar w:fldCharType="begin"/>
        </w:r>
        <w:r w:rsidR="00812AD1">
          <w:rPr>
            <w:noProof/>
            <w:webHidden/>
          </w:rPr>
          <w:instrText xml:space="preserve"> PAGEREF _Toc348091307 \h </w:instrText>
        </w:r>
        <w:r>
          <w:rPr>
            <w:noProof/>
            <w:webHidden/>
          </w:rPr>
        </w:r>
        <w:r>
          <w:rPr>
            <w:noProof/>
            <w:webHidden/>
          </w:rPr>
          <w:fldChar w:fldCharType="separate"/>
        </w:r>
        <w:r w:rsidR="00360727">
          <w:rPr>
            <w:noProof/>
            <w:webHidden/>
          </w:rPr>
          <w:t>7</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08" w:history="1">
        <w:r w:rsidR="00812AD1" w:rsidRPr="00243905">
          <w:rPr>
            <w:rStyle w:val="Hyperlink"/>
            <w:noProof/>
          </w:rPr>
          <w:t>8.</w:t>
        </w:r>
        <w:r w:rsidR="00812AD1">
          <w:rPr>
            <w:rFonts w:asciiTheme="minorHAnsi" w:eastAsiaTheme="minorEastAsia" w:hAnsiTheme="minorHAnsi" w:cstheme="minorBidi"/>
            <w:b w:val="0"/>
            <w:noProof/>
            <w:sz w:val="22"/>
            <w:szCs w:val="22"/>
            <w:lang w:eastAsia="en-NZ"/>
          </w:rPr>
          <w:tab/>
        </w:r>
        <w:r w:rsidR="00812AD1" w:rsidRPr="00243905">
          <w:rPr>
            <w:rStyle w:val="Hyperlink"/>
            <w:noProof/>
          </w:rPr>
          <w:t>Price path</w:t>
        </w:r>
        <w:r w:rsidR="00812AD1">
          <w:rPr>
            <w:noProof/>
            <w:webHidden/>
          </w:rPr>
          <w:tab/>
        </w:r>
        <w:r>
          <w:rPr>
            <w:noProof/>
            <w:webHidden/>
          </w:rPr>
          <w:fldChar w:fldCharType="begin"/>
        </w:r>
        <w:r w:rsidR="00812AD1">
          <w:rPr>
            <w:noProof/>
            <w:webHidden/>
          </w:rPr>
          <w:instrText xml:space="preserve"> PAGEREF _Toc348091308 \h </w:instrText>
        </w:r>
        <w:r>
          <w:rPr>
            <w:noProof/>
            <w:webHidden/>
          </w:rPr>
        </w:r>
        <w:r>
          <w:rPr>
            <w:noProof/>
            <w:webHidden/>
          </w:rPr>
          <w:fldChar w:fldCharType="separate"/>
        </w:r>
        <w:r w:rsidR="00360727">
          <w:rPr>
            <w:noProof/>
            <w:webHidden/>
          </w:rPr>
          <w:t>7</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09" w:history="1">
        <w:r w:rsidR="00812AD1" w:rsidRPr="00243905">
          <w:rPr>
            <w:rStyle w:val="Hyperlink"/>
            <w:noProof/>
          </w:rPr>
          <w:t>9.</w:t>
        </w:r>
        <w:r w:rsidR="00812AD1">
          <w:rPr>
            <w:rFonts w:asciiTheme="minorHAnsi" w:eastAsiaTheme="minorEastAsia" w:hAnsiTheme="minorHAnsi" w:cstheme="minorBidi"/>
            <w:b w:val="0"/>
            <w:noProof/>
            <w:sz w:val="22"/>
            <w:szCs w:val="22"/>
            <w:lang w:eastAsia="en-NZ"/>
          </w:rPr>
          <w:tab/>
        </w:r>
        <w:r w:rsidR="00812AD1" w:rsidRPr="00243905">
          <w:rPr>
            <w:rStyle w:val="Hyperlink"/>
            <w:noProof/>
          </w:rPr>
          <w:t>Quality standards</w:t>
        </w:r>
        <w:r w:rsidR="00812AD1">
          <w:rPr>
            <w:noProof/>
            <w:webHidden/>
          </w:rPr>
          <w:tab/>
        </w:r>
        <w:r>
          <w:rPr>
            <w:noProof/>
            <w:webHidden/>
          </w:rPr>
          <w:fldChar w:fldCharType="begin"/>
        </w:r>
        <w:r w:rsidR="00812AD1">
          <w:rPr>
            <w:noProof/>
            <w:webHidden/>
          </w:rPr>
          <w:instrText xml:space="preserve"> PAGEREF _Toc348091309 \h </w:instrText>
        </w:r>
        <w:r>
          <w:rPr>
            <w:noProof/>
            <w:webHidden/>
          </w:rPr>
        </w:r>
        <w:r>
          <w:rPr>
            <w:noProof/>
            <w:webHidden/>
          </w:rPr>
          <w:fldChar w:fldCharType="separate"/>
        </w:r>
        <w:r w:rsidR="00360727">
          <w:rPr>
            <w:noProof/>
            <w:webHidden/>
          </w:rPr>
          <w:t>8</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10" w:history="1">
        <w:r w:rsidR="00812AD1" w:rsidRPr="00243905">
          <w:rPr>
            <w:rStyle w:val="Hyperlink"/>
            <w:noProof/>
          </w:rPr>
          <w:t>10.</w:t>
        </w:r>
        <w:r w:rsidR="00812AD1">
          <w:rPr>
            <w:rFonts w:asciiTheme="minorHAnsi" w:eastAsiaTheme="minorEastAsia" w:hAnsiTheme="minorHAnsi" w:cstheme="minorBidi"/>
            <w:b w:val="0"/>
            <w:noProof/>
            <w:sz w:val="22"/>
            <w:szCs w:val="22"/>
            <w:lang w:eastAsia="en-NZ"/>
          </w:rPr>
          <w:tab/>
        </w:r>
        <w:r w:rsidR="00812AD1" w:rsidRPr="00243905">
          <w:rPr>
            <w:rStyle w:val="Hyperlink"/>
            <w:noProof/>
          </w:rPr>
          <w:t>Transactions</w:t>
        </w:r>
        <w:r w:rsidR="00812AD1">
          <w:rPr>
            <w:noProof/>
            <w:webHidden/>
          </w:rPr>
          <w:tab/>
        </w:r>
        <w:r>
          <w:rPr>
            <w:noProof/>
            <w:webHidden/>
          </w:rPr>
          <w:fldChar w:fldCharType="begin"/>
        </w:r>
        <w:r w:rsidR="00812AD1">
          <w:rPr>
            <w:noProof/>
            <w:webHidden/>
          </w:rPr>
          <w:instrText xml:space="preserve"> PAGEREF _Toc348091310 \h </w:instrText>
        </w:r>
        <w:r>
          <w:rPr>
            <w:noProof/>
            <w:webHidden/>
          </w:rPr>
        </w:r>
        <w:r>
          <w:rPr>
            <w:noProof/>
            <w:webHidden/>
          </w:rPr>
          <w:fldChar w:fldCharType="separate"/>
        </w:r>
        <w:r w:rsidR="00360727">
          <w:rPr>
            <w:noProof/>
            <w:webHidden/>
          </w:rPr>
          <w:t>9</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11" w:history="1">
        <w:r w:rsidR="00812AD1" w:rsidRPr="00243905">
          <w:rPr>
            <w:rStyle w:val="Hyperlink"/>
            <w:noProof/>
          </w:rPr>
          <w:t>11.</w:t>
        </w:r>
        <w:r w:rsidR="00812AD1">
          <w:rPr>
            <w:rFonts w:asciiTheme="minorHAnsi" w:eastAsiaTheme="minorEastAsia" w:hAnsiTheme="minorHAnsi" w:cstheme="minorBidi"/>
            <w:b w:val="0"/>
            <w:noProof/>
            <w:sz w:val="22"/>
            <w:szCs w:val="22"/>
            <w:lang w:eastAsia="en-NZ"/>
          </w:rPr>
          <w:tab/>
        </w:r>
        <w:r w:rsidR="00812AD1" w:rsidRPr="00243905">
          <w:rPr>
            <w:rStyle w:val="Hyperlink"/>
            <w:noProof/>
          </w:rPr>
          <w:t>Compliance statements</w:t>
        </w:r>
        <w:r w:rsidR="00812AD1">
          <w:rPr>
            <w:noProof/>
            <w:webHidden/>
          </w:rPr>
          <w:tab/>
        </w:r>
        <w:r>
          <w:rPr>
            <w:noProof/>
            <w:webHidden/>
          </w:rPr>
          <w:fldChar w:fldCharType="begin"/>
        </w:r>
        <w:r w:rsidR="00812AD1">
          <w:rPr>
            <w:noProof/>
            <w:webHidden/>
          </w:rPr>
          <w:instrText xml:space="preserve"> PAGEREF _Toc348091311 \h </w:instrText>
        </w:r>
        <w:r>
          <w:rPr>
            <w:noProof/>
            <w:webHidden/>
          </w:rPr>
        </w:r>
        <w:r>
          <w:rPr>
            <w:noProof/>
            <w:webHidden/>
          </w:rPr>
          <w:fldChar w:fldCharType="separate"/>
        </w:r>
        <w:r w:rsidR="00360727">
          <w:rPr>
            <w:noProof/>
            <w:webHidden/>
          </w:rPr>
          <w:t>11</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12" w:history="1">
        <w:r w:rsidR="00812AD1" w:rsidRPr="00243905">
          <w:rPr>
            <w:rStyle w:val="Hyperlink"/>
            <w:noProof/>
          </w:rPr>
          <w:t>Schedule 1: Starting prices</w:t>
        </w:r>
        <w:r w:rsidR="00812AD1">
          <w:rPr>
            <w:noProof/>
            <w:webHidden/>
          </w:rPr>
          <w:tab/>
        </w:r>
        <w:r>
          <w:rPr>
            <w:noProof/>
            <w:webHidden/>
          </w:rPr>
          <w:fldChar w:fldCharType="begin"/>
        </w:r>
        <w:r w:rsidR="00812AD1">
          <w:rPr>
            <w:noProof/>
            <w:webHidden/>
          </w:rPr>
          <w:instrText xml:space="preserve"> PAGEREF _Toc348091312 \h </w:instrText>
        </w:r>
        <w:r>
          <w:rPr>
            <w:noProof/>
            <w:webHidden/>
          </w:rPr>
        </w:r>
        <w:r>
          <w:rPr>
            <w:noProof/>
            <w:webHidden/>
          </w:rPr>
          <w:fldChar w:fldCharType="separate"/>
        </w:r>
        <w:r w:rsidR="00360727">
          <w:rPr>
            <w:noProof/>
            <w:webHidden/>
          </w:rPr>
          <w:t>14</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13" w:history="1">
        <w:r w:rsidR="00812AD1" w:rsidRPr="00243905">
          <w:rPr>
            <w:rStyle w:val="Hyperlink"/>
            <w:noProof/>
          </w:rPr>
          <w:t>Schedule 2: Rate of change</w:t>
        </w:r>
        <w:r w:rsidR="00812AD1">
          <w:rPr>
            <w:noProof/>
            <w:webHidden/>
          </w:rPr>
          <w:tab/>
        </w:r>
        <w:r>
          <w:rPr>
            <w:noProof/>
            <w:webHidden/>
          </w:rPr>
          <w:fldChar w:fldCharType="begin"/>
        </w:r>
        <w:r w:rsidR="00812AD1">
          <w:rPr>
            <w:noProof/>
            <w:webHidden/>
          </w:rPr>
          <w:instrText xml:space="preserve"> PAGEREF _Toc348091313 \h </w:instrText>
        </w:r>
        <w:r>
          <w:rPr>
            <w:noProof/>
            <w:webHidden/>
          </w:rPr>
        </w:r>
        <w:r>
          <w:rPr>
            <w:noProof/>
            <w:webHidden/>
          </w:rPr>
          <w:fldChar w:fldCharType="separate"/>
        </w:r>
        <w:r w:rsidR="00360727">
          <w:rPr>
            <w:noProof/>
            <w:webHidden/>
          </w:rPr>
          <w:t>15</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14" w:history="1">
        <w:r w:rsidR="00812AD1" w:rsidRPr="00243905">
          <w:rPr>
            <w:rStyle w:val="Hyperlink"/>
            <w:noProof/>
          </w:rPr>
          <w:t>Schedule 3: Allowable notional revenue for the first assessment period</w:t>
        </w:r>
        <w:r w:rsidR="00812AD1">
          <w:rPr>
            <w:noProof/>
            <w:webHidden/>
          </w:rPr>
          <w:tab/>
        </w:r>
        <w:r>
          <w:rPr>
            <w:noProof/>
            <w:webHidden/>
          </w:rPr>
          <w:fldChar w:fldCharType="begin"/>
        </w:r>
        <w:r w:rsidR="00812AD1">
          <w:rPr>
            <w:noProof/>
            <w:webHidden/>
          </w:rPr>
          <w:instrText xml:space="preserve"> PAGEREF _Toc348091314 \h </w:instrText>
        </w:r>
        <w:r>
          <w:rPr>
            <w:noProof/>
            <w:webHidden/>
          </w:rPr>
        </w:r>
        <w:r>
          <w:rPr>
            <w:noProof/>
            <w:webHidden/>
          </w:rPr>
          <w:fldChar w:fldCharType="separate"/>
        </w:r>
        <w:r w:rsidR="00360727">
          <w:rPr>
            <w:noProof/>
            <w:webHidden/>
          </w:rPr>
          <w:t>16</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15" w:history="1">
        <w:r w:rsidR="00812AD1" w:rsidRPr="00243905">
          <w:rPr>
            <w:rStyle w:val="Hyperlink"/>
            <w:noProof/>
          </w:rPr>
          <w:t>Schedule 4: Allowable notional revenue for all assessment periods other than the first assessment period</w:t>
        </w:r>
        <w:r w:rsidR="00812AD1">
          <w:rPr>
            <w:noProof/>
            <w:webHidden/>
          </w:rPr>
          <w:tab/>
        </w:r>
        <w:r>
          <w:rPr>
            <w:noProof/>
            <w:webHidden/>
          </w:rPr>
          <w:fldChar w:fldCharType="begin"/>
        </w:r>
        <w:r w:rsidR="00812AD1">
          <w:rPr>
            <w:noProof/>
            <w:webHidden/>
          </w:rPr>
          <w:instrText xml:space="preserve"> PAGEREF _Toc348091315 \h </w:instrText>
        </w:r>
        <w:r>
          <w:rPr>
            <w:noProof/>
            <w:webHidden/>
          </w:rPr>
        </w:r>
        <w:r>
          <w:rPr>
            <w:noProof/>
            <w:webHidden/>
          </w:rPr>
          <w:fldChar w:fldCharType="separate"/>
        </w:r>
        <w:r w:rsidR="00360727">
          <w:rPr>
            <w:noProof/>
            <w:webHidden/>
          </w:rPr>
          <w:t>18</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16" w:history="1">
        <w:r w:rsidR="00812AD1" w:rsidRPr="00243905">
          <w:rPr>
            <w:rStyle w:val="Hyperlink"/>
            <w:noProof/>
          </w:rPr>
          <w:t>Schedule 5: Process for determining the amount of pass-through costs and recoverable costs</w:t>
        </w:r>
        <w:r w:rsidR="00812AD1">
          <w:rPr>
            <w:noProof/>
            <w:webHidden/>
          </w:rPr>
          <w:tab/>
        </w:r>
        <w:r w:rsidR="00812AD1">
          <w:rPr>
            <w:noProof/>
            <w:webHidden/>
          </w:rPr>
          <w:tab/>
        </w:r>
        <w:r>
          <w:rPr>
            <w:noProof/>
            <w:webHidden/>
          </w:rPr>
          <w:fldChar w:fldCharType="begin"/>
        </w:r>
        <w:r w:rsidR="00812AD1">
          <w:rPr>
            <w:noProof/>
            <w:webHidden/>
          </w:rPr>
          <w:instrText xml:space="preserve"> PAGEREF _Toc348091316 \h </w:instrText>
        </w:r>
        <w:r>
          <w:rPr>
            <w:noProof/>
            <w:webHidden/>
          </w:rPr>
        </w:r>
        <w:r>
          <w:rPr>
            <w:noProof/>
            <w:webHidden/>
          </w:rPr>
          <w:fldChar w:fldCharType="separate"/>
        </w:r>
        <w:r w:rsidR="00360727">
          <w:rPr>
            <w:noProof/>
            <w:webHidden/>
          </w:rPr>
          <w:t>19</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17" w:history="1">
        <w:r w:rsidR="00812AD1" w:rsidRPr="00243905">
          <w:rPr>
            <w:rStyle w:val="Hyperlink"/>
            <w:noProof/>
          </w:rPr>
          <w:t>Schedule 6: Claw-back</w:t>
        </w:r>
        <w:r w:rsidR="00812AD1">
          <w:rPr>
            <w:noProof/>
            <w:webHidden/>
          </w:rPr>
          <w:tab/>
        </w:r>
        <w:r>
          <w:rPr>
            <w:noProof/>
            <w:webHidden/>
          </w:rPr>
          <w:fldChar w:fldCharType="begin"/>
        </w:r>
        <w:r w:rsidR="00812AD1">
          <w:rPr>
            <w:noProof/>
            <w:webHidden/>
          </w:rPr>
          <w:instrText xml:space="preserve"> PAGEREF _Toc348091317 \h </w:instrText>
        </w:r>
        <w:r>
          <w:rPr>
            <w:noProof/>
            <w:webHidden/>
          </w:rPr>
        </w:r>
        <w:r>
          <w:rPr>
            <w:noProof/>
            <w:webHidden/>
          </w:rPr>
          <w:fldChar w:fldCharType="separate"/>
        </w:r>
        <w:r w:rsidR="00360727">
          <w:rPr>
            <w:noProof/>
            <w:webHidden/>
          </w:rPr>
          <w:t>20</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18" w:history="1">
        <w:r w:rsidR="00812AD1" w:rsidRPr="00243905">
          <w:rPr>
            <w:rStyle w:val="Hyperlink"/>
            <w:noProof/>
          </w:rPr>
          <w:t>Schedule 7: Adjustments to allowable notional revenue and notional revenue resulting from a transaction</w:t>
        </w:r>
        <w:r w:rsidR="00812AD1">
          <w:rPr>
            <w:noProof/>
            <w:webHidden/>
          </w:rPr>
          <w:tab/>
        </w:r>
        <w:r>
          <w:rPr>
            <w:noProof/>
            <w:webHidden/>
          </w:rPr>
          <w:fldChar w:fldCharType="begin"/>
        </w:r>
        <w:r w:rsidR="00812AD1">
          <w:rPr>
            <w:noProof/>
            <w:webHidden/>
          </w:rPr>
          <w:instrText xml:space="preserve"> PAGEREF _Toc348091318 \h </w:instrText>
        </w:r>
        <w:r>
          <w:rPr>
            <w:noProof/>
            <w:webHidden/>
          </w:rPr>
        </w:r>
        <w:r>
          <w:rPr>
            <w:noProof/>
            <w:webHidden/>
          </w:rPr>
          <w:fldChar w:fldCharType="separate"/>
        </w:r>
        <w:r w:rsidR="00360727">
          <w:rPr>
            <w:noProof/>
            <w:webHidden/>
          </w:rPr>
          <w:t>23</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19" w:history="1">
        <w:r w:rsidR="00812AD1" w:rsidRPr="00243905">
          <w:rPr>
            <w:rStyle w:val="Hyperlink"/>
            <w:noProof/>
          </w:rPr>
          <w:t>Schedule 8: Form of directors’ certificate on compliance statement</w:t>
        </w:r>
        <w:r w:rsidR="00812AD1">
          <w:rPr>
            <w:noProof/>
            <w:webHidden/>
          </w:rPr>
          <w:tab/>
        </w:r>
        <w:r>
          <w:rPr>
            <w:noProof/>
            <w:webHidden/>
          </w:rPr>
          <w:fldChar w:fldCharType="begin"/>
        </w:r>
        <w:r w:rsidR="00812AD1">
          <w:rPr>
            <w:noProof/>
            <w:webHidden/>
          </w:rPr>
          <w:instrText xml:space="preserve"> PAGEREF _Toc348091319 \h </w:instrText>
        </w:r>
        <w:r>
          <w:rPr>
            <w:noProof/>
            <w:webHidden/>
          </w:rPr>
        </w:r>
        <w:r>
          <w:rPr>
            <w:noProof/>
            <w:webHidden/>
          </w:rPr>
          <w:fldChar w:fldCharType="separate"/>
        </w:r>
        <w:r w:rsidR="00360727">
          <w:rPr>
            <w:noProof/>
            <w:webHidden/>
          </w:rPr>
          <w:t>24</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20" w:history="1">
        <w:r w:rsidR="00812AD1" w:rsidRPr="00243905">
          <w:rPr>
            <w:rStyle w:val="Hyperlink"/>
            <w:noProof/>
          </w:rPr>
          <w:t>Schedule 9: Form of auditor’s report on compliance statement</w:t>
        </w:r>
        <w:r w:rsidR="00812AD1">
          <w:rPr>
            <w:noProof/>
            <w:webHidden/>
          </w:rPr>
          <w:tab/>
        </w:r>
        <w:r>
          <w:rPr>
            <w:noProof/>
            <w:webHidden/>
          </w:rPr>
          <w:fldChar w:fldCharType="begin"/>
        </w:r>
        <w:r w:rsidR="00812AD1">
          <w:rPr>
            <w:noProof/>
            <w:webHidden/>
          </w:rPr>
          <w:instrText xml:space="preserve"> PAGEREF _Toc348091320 \h </w:instrText>
        </w:r>
        <w:r>
          <w:rPr>
            <w:noProof/>
            <w:webHidden/>
          </w:rPr>
        </w:r>
        <w:r>
          <w:rPr>
            <w:noProof/>
            <w:webHidden/>
          </w:rPr>
          <w:fldChar w:fldCharType="separate"/>
        </w:r>
        <w:r w:rsidR="00360727">
          <w:rPr>
            <w:noProof/>
            <w:webHidden/>
          </w:rPr>
          <w:t>25</w:t>
        </w:r>
        <w:r>
          <w:rPr>
            <w:noProof/>
            <w:webHidden/>
          </w:rPr>
          <w:fldChar w:fldCharType="end"/>
        </w:r>
      </w:hyperlink>
    </w:p>
    <w:p w:rsidR="00812AD1" w:rsidRDefault="004E6FB5">
      <w:pPr>
        <w:pStyle w:val="TOC1"/>
        <w:rPr>
          <w:rFonts w:asciiTheme="minorHAnsi" w:eastAsiaTheme="minorEastAsia" w:hAnsiTheme="minorHAnsi" w:cstheme="minorBidi"/>
          <w:b w:val="0"/>
          <w:noProof/>
          <w:sz w:val="22"/>
          <w:szCs w:val="22"/>
          <w:lang w:eastAsia="en-NZ"/>
        </w:rPr>
      </w:pPr>
      <w:hyperlink w:anchor="_Toc348091321" w:history="1">
        <w:r w:rsidR="00812AD1" w:rsidRPr="00243905">
          <w:rPr>
            <w:rStyle w:val="Hyperlink"/>
            <w:noProof/>
          </w:rPr>
          <w:t>Explanatory note</w:t>
        </w:r>
        <w:r w:rsidR="00812AD1">
          <w:rPr>
            <w:noProof/>
            <w:webHidden/>
          </w:rPr>
          <w:tab/>
        </w:r>
        <w:r>
          <w:rPr>
            <w:noProof/>
            <w:webHidden/>
          </w:rPr>
          <w:fldChar w:fldCharType="begin"/>
        </w:r>
        <w:r w:rsidR="00812AD1">
          <w:rPr>
            <w:noProof/>
            <w:webHidden/>
          </w:rPr>
          <w:instrText xml:space="preserve"> PAGEREF _Toc348091321 \h </w:instrText>
        </w:r>
        <w:r>
          <w:rPr>
            <w:noProof/>
            <w:webHidden/>
          </w:rPr>
        </w:r>
        <w:r>
          <w:rPr>
            <w:noProof/>
            <w:webHidden/>
          </w:rPr>
          <w:fldChar w:fldCharType="separate"/>
        </w:r>
        <w:r w:rsidR="00360727">
          <w:rPr>
            <w:noProof/>
            <w:webHidden/>
          </w:rPr>
          <w:t>27</w:t>
        </w:r>
        <w:r>
          <w:rPr>
            <w:noProof/>
            <w:webHidden/>
          </w:rPr>
          <w:fldChar w:fldCharType="end"/>
        </w:r>
      </w:hyperlink>
    </w:p>
    <w:p w:rsidR="006E0663" w:rsidRDefault="004E6FB5">
      <w:pPr>
        <w:rPr>
          <w:b/>
          <w:sz w:val="28"/>
        </w:rPr>
      </w:pPr>
      <w:r>
        <w:rPr>
          <w:b/>
        </w:rPr>
        <w:fldChar w:fldCharType="end"/>
      </w:r>
      <w:r w:rsidR="006E0663">
        <w:br w:type="page"/>
      </w:r>
    </w:p>
    <w:p w:rsidR="0048622D" w:rsidRDefault="008A4488" w:rsidP="0048622D">
      <w:pPr>
        <w:pStyle w:val="Title"/>
      </w:pPr>
      <w:r>
        <w:t xml:space="preserve">Gas Distribution Services Default </w:t>
      </w:r>
      <w:r w:rsidR="0048622D" w:rsidRPr="0048622D">
        <w:t>Price-Quality Path Determination 2013</w:t>
      </w:r>
    </w:p>
    <w:p w:rsidR="00D53361" w:rsidRPr="00D53361" w:rsidRDefault="00D53361" w:rsidP="00D53361">
      <w:pPr>
        <w:pStyle w:val="BodyText"/>
      </w:pPr>
      <w:r w:rsidRPr="00D53361">
        <w:t>Pursuant to Part 4 of the Commerce Act 1986, the Commerce Commission makes the following determination:</w:t>
      </w:r>
    </w:p>
    <w:p w:rsidR="0048622D" w:rsidRDefault="00D53361" w:rsidP="0048622D">
      <w:pPr>
        <w:pStyle w:val="Heading1"/>
      </w:pPr>
      <w:bookmarkStart w:id="2" w:name="_Toc348091301"/>
      <w:r w:rsidRPr="006E0663">
        <w:t>Title</w:t>
      </w:r>
      <w:bookmarkEnd w:id="2"/>
    </w:p>
    <w:p w:rsidR="00D53361" w:rsidRPr="00D53361" w:rsidRDefault="00D53361" w:rsidP="00D53361">
      <w:pPr>
        <w:pStyle w:val="BodyTextIndent"/>
      </w:pPr>
      <w:r w:rsidRPr="00D53361">
        <w:t xml:space="preserve">This determination is the </w:t>
      </w:r>
      <w:r w:rsidR="008A4488">
        <w:t xml:space="preserve">Gas Distribution Services Default </w:t>
      </w:r>
      <w:r w:rsidRPr="00D53361">
        <w:t xml:space="preserve">Price-Quality Path Determination </w:t>
      </w:r>
      <w:r w:rsidR="00FC7918" w:rsidRPr="00D53361">
        <w:t>201</w:t>
      </w:r>
      <w:r w:rsidR="00FC7918">
        <w:t>3</w:t>
      </w:r>
      <w:r w:rsidRPr="00D53361">
        <w:t>.</w:t>
      </w:r>
    </w:p>
    <w:p w:rsidR="0048622D" w:rsidRDefault="00D53361" w:rsidP="0048622D">
      <w:pPr>
        <w:pStyle w:val="Heading1"/>
      </w:pPr>
      <w:bookmarkStart w:id="3" w:name="_Toc348091302"/>
      <w:r w:rsidRPr="00D53361">
        <w:t>Commencement</w:t>
      </w:r>
      <w:bookmarkEnd w:id="3"/>
    </w:p>
    <w:p w:rsidR="00D53361" w:rsidRPr="00D53361" w:rsidRDefault="00D53361" w:rsidP="00D53361">
      <w:pPr>
        <w:pStyle w:val="BodyTextIndent"/>
      </w:pPr>
      <w:r w:rsidRPr="00D53361">
        <w:t xml:space="preserve">This determination </w:t>
      </w:r>
      <w:r w:rsidR="006A21DF">
        <w:t xml:space="preserve">takes effect </w:t>
      </w:r>
      <w:r w:rsidRPr="00D53361">
        <w:t xml:space="preserve">on 1 July </w:t>
      </w:r>
      <w:r w:rsidR="00FC7918" w:rsidRPr="00D53361">
        <w:t>201</w:t>
      </w:r>
      <w:r w:rsidR="00FC7918">
        <w:t>3</w:t>
      </w:r>
      <w:r w:rsidRPr="00D53361">
        <w:t>.</w:t>
      </w:r>
    </w:p>
    <w:p w:rsidR="0048622D" w:rsidRDefault="00D53361" w:rsidP="0048622D">
      <w:pPr>
        <w:pStyle w:val="Heading1"/>
      </w:pPr>
      <w:bookmarkStart w:id="4" w:name="_Toc348091303"/>
      <w:r w:rsidRPr="00D53361">
        <w:t>Application</w:t>
      </w:r>
      <w:bookmarkEnd w:id="4"/>
    </w:p>
    <w:p w:rsidR="00D53361" w:rsidRDefault="00D53361" w:rsidP="00D53361">
      <w:pPr>
        <w:pStyle w:val="Para2"/>
      </w:pPr>
      <w:r w:rsidRPr="00D53361">
        <w:t xml:space="preserve">This determination sets </w:t>
      </w:r>
      <w:r w:rsidR="00400817">
        <w:t>the</w:t>
      </w:r>
      <w:r w:rsidRPr="00D53361">
        <w:t xml:space="preserve"> default price-quality path</w:t>
      </w:r>
      <w:r w:rsidR="00400817">
        <w:t>s</w:t>
      </w:r>
      <w:r w:rsidRPr="00D53361">
        <w:t xml:space="preserve"> for </w:t>
      </w:r>
      <w:proofErr w:type="spellStart"/>
      <w:r w:rsidRPr="00D53361">
        <w:rPr>
          <w:b/>
        </w:rPr>
        <w:t>GDBs</w:t>
      </w:r>
      <w:proofErr w:type="spellEnd"/>
      <w:r w:rsidR="00D67E57">
        <w:t xml:space="preserve"> and is made pursuant to s</w:t>
      </w:r>
      <w:r w:rsidRPr="00D53361">
        <w:t xml:space="preserve"> </w:t>
      </w:r>
      <w:proofErr w:type="spellStart"/>
      <w:proofErr w:type="gramStart"/>
      <w:r w:rsidRPr="00D53361">
        <w:t>55E</w:t>
      </w:r>
      <w:proofErr w:type="spellEnd"/>
      <w:r w:rsidRPr="00D53361">
        <w:t>(</w:t>
      </w:r>
      <w:proofErr w:type="gramEnd"/>
      <w:r w:rsidRPr="00D53361">
        <w:t xml:space="preserve">2) of the </w:t>
      </w:r>
      <w:r w:rsidRPr="00D53361">
        <w:rPr>
          <w:b/>
        </w:rPr>
        <w:t>Act</w:t>
      </w:r>
      <w:r w:rsidRPr="00D53361">
        <w:t>.</w:t>
      </w:r>
    </w:p>
    <w:p w:rsidR="00D53361" w:rsidRPr="00D53361" w:rsidRDefault="00D53361" w:rsidP="00D53361">
      <w:pPr>
        <w:pStyle w:val="Para2"/>
      </w:pPr>
      <w:r w:rsidRPr="00D53361">
        <w:t xml:space="preserve">This determination applies to </w:t>
      </w:r>
      <w:proofErr w:type="spellStart"/>
      <w:r w:rsidRPr="00D53361">
        <w:rPr>
          <w:b/>
        </w:rPr>
        <w:t>GDBs</w:t>
      </w:r>
      <w:proofErr w:type="spellEnd"/>
      <w:r w:rsidRPr="00D53361">
        <w:t xml:space="preserve"> </w:t>
      </w:r>
      <w:r w:rsidR="006A21DF">
        <w:t>for</w:t>
      </w:r>
      <w:r w:rsidRPr="00D53361">
        <w:t xml:space="preserve"> the </w:t>
      </w:r>
      <w:r w:rsidRPr="00D53361">
        <w:rPr>
          <w:b/>
        </w:rPr>
        <w:t>regulatory period</w:t>
      </w:r>
      <w:r w:rsidRPr="00D53361">
        <w:t>.</w:t>
      </w:r>
    </w:p>
    <w:p w:rsidR="0048622D" w:rsidRDefault="00D53361" w:rsidP="0048622D">
      <w:pPr>
        <w:pStyle w:val="Heading1"/>
      </w:pPr>
      <w:bookmarkStart w:id="5" w:name="_Toc348091304"/>
      <w:r w:rsidRPr="00D53361">
        <w:t>Interpretation</w:t>
      </w:r>
      <w:bookmarkEnd w:id="5"/>
    </w:p>
    <w:p w:rsidR="00D53361" w:rsidRPr="00D53361" w:rsidRDefault="00D53361" w:rsidP="00D53361">
      <w:pPr>
        <w:pStyle w:val="Para2"/>
      </w:pPr>
      <w:r w:rsidRPr="00D53361">
        <w:t>Unless the context otherwise requires—</w:t>
      </w:r>
    </w:p>
    <w:p w:rsidR="00D53361" w:rsidRPr="00D53361" w:rsidRDefault="00D53361" w:rsidP="00D53361">
      <w:pPr>
        <w:pStyle w:val="Para3"/>
      </w:pPr>
      <w:r w:rsidRPr="00D53361">
        <w:t xml:space="preserve">terms used in this determination that are defined in the </w:t>
      </w:r>
      <w:r w:rsidRPr="00D53361">
        <w:rPr>
          <w:b/>
        </w:rPr>
        <w:t>Act</w:t>
      </w:r>
      <w:r w:rsidRPr="00D53361">
        <w:t xml:space="preserve"> but not in this determination have the same meanings </w:t>
      </w:r>
      <w:r w:rsidR="00951603">
        <w:t>as in</w:t>
      </w:r>
      <w:r w:rsidRPr="00D53361">
        <w:t xml:space="preserve"> the </w:t>
      </w:r>
      <w:r w:rsidRPr="00D53361">
        <w:rPr>
          <w:b/>
        </w:rPr>
        <w:t>Act</w:t>
      </w:r>
      <w:r w:rsidRPr="00D53361">
        <w:t>;</w:t>
      </w:r>
    </w:p>
    <w:p w:rsidR="00D53361" w:rsidRPr="003E4D5E" w:rsidRDefault="0048622D" w:rsidP="00D53361">
      <w:pPr>
        <w:pStyle w:val="Para3"/>
      </w:pPr>
      <w:r w:rsidRPr="0048622D">
        <w:t xml:space="preserve">terms used in this determination that are defined in the </w:t>
      </w:r>
      <w:r w:rsidRPr="0048622D">
        <w:rPr>
          <w:b/>
        </w:rPr>
        <w:t>IM determination</w:t>
      </w:r>
      <w:r w:rsidRPr="0048622D">
        <w:t xml:space="preserve"> but not in this determination have the same meanings as in the </w:t>
      </w:r>
      <w:r w:rsidRPr="0048622D">
        <w:rPr>
          <w:b/>
        </w:rPr>
        <w:t>IM determination</w:t>
      </w:r>
      <w:r w:rsidRPr="0048622D">
        <w:t>;</w:t>
      </w:r>
      <w:r w:rsidR="00653435">
        <w:t xml:space="preserve"> and</w:t>
      </w:r>
    </w:p>
    <w:p w:rsidR="00D53361" w:rsidRPr="00D53361" w:rsidRDefault="00D53361" w:rsidP="00D53361">
      <w:pPr>
        <w:pStyle w:val="Para3"/>
      </w:pPr>
      <w:proofErr w:type="gramStart"/>
      <w:r w:rsidRPr="00D53361">
        <w:t>a</w:t>
      </w:r>
      <w:proofErr w:type="gramEnd"/>
      <w:r w:rsidRPr="00D53361">
        <w:t xml:space="preserve"> word which denotes the singular also denotes the plural and vice versa. </w:t>
      </w:r>
    </w:p>
    <w:p w:rsidR="00D53361" w:rsidRPr="00D53361" w:rsidRDefault="00D53361" w:rsidP="008A5C53">
      <w:pPr>
        <w:pStyle w:val="Para2"/>
      </w:pPr>
      <w:r w:rsidRPr="00D53361">
        <w:t>In this determination, unless the context otherwise requires—</w:t>
      </w:r>
    </w:p>
    <w:p w:rsidR="00D53361" w:rsidRPr="00D53361" w:rsidRDefault="00D53361" w:rsidP="008A5C53">
      <w:pPr>
        <w:pStyle w:val="BodyText"/>
        <w:ind w:left="1418"/>
      </w:pPr>
      <w:r w:rsidRPr="00D53361">
        <w:rPr>
          <w:b/>
        </w:rPr>
        <w:t>Act</w:t>
      </w:r>
      <w:r w:rsidRPr="00D53361">
        <w:t xml:space="preserve"> means the Commerce Act 1986;</w:t>
      </w:r>
    </w:p>
    <w:p w:rsidR="00D53361" w:rsidRPr="00D53361" w:rsidRDefault="00993C97" w:rsidP="008A5C53">
      <w:pPr>
        <w:pStyle w:val="BodyText"/>
        <w:ind w:left="1418"/>
      </w:pPr>
      <w:proofErr w:type="gramStart"/>
      <w:r w:rsidRPr="003D6204">
        <w:rPr>
          <w:b/>
        </w:rPr>
        <w:t>amalgamat</w:t>
      </w:r>
      <w:r>
        <w:rPr>
          <w:b/>
        </w:rPr>
        <w:t>ion</w:t>
      </w:r>
      <w:proofErr w:type="gramEnd"/>
      <w:r w:rsidRPr="003D6204">
        <w:rPr>
          <w:b/>
        </w:rPr>
        <w:t xml:space="preserve"> </w:t>
      </w:r>
      <w:r w:rsidR="00241F0D" w:rsidRPr="003D6204">
        <w:t xml:space="preserve">has the same meaning as clause 1.1.4 of the </w:t>
      </w:r>
      <w:r w:rsidR="00241F0D" w:rsidRPr="003D6204">
        <w:rPr>
          <w:b/>
        </w:rPr>
        <w:t>IM determination</w:t>
      </w:r>
      <w:r w:rsidR="00241F0D" w:rsidRPr="003D6204">
        <w:t>;</w:t>
      </w:r>
    </w:p>
    <w:p w:rsidR="00D53361" w:rsidRPr="00D53361" w:rsidRDefault="00D53361" w:rsidP="008A5C53">
      <w:pPr>
        <w:pStyle w:val="BodyText"/>
        <w:ind w:left="1418"/>
      </w:pPr>
      <w:proofErr w:type="gramStart"/>
      <w:r w:rsidRPr="00D53361">
        <w:rPr>
          <w:b/>
        </w:rPr>
        <w:t>assessment</w:t>
      </w:r>
      <w:proofErr w:type="gramEnd"/>
      <w:r w:rsidRPr="00D53361">
        <w:rPr>
          <w:b/>
        </w:rPr>
        <w:t xml:space="preserve"> period</w:t>
      </w:r>
      <w:r w:rsidRPr="00D53361">
        <w:t xml:space="preserve"> means a period for which compliance with the default price-quality path is to be demonstrated, being:</w:t>
      </w:r>
    </w:p>
    <w:p w:rsidR="0021025E" w:rsidRDefault="00D53361" w:rsidP="00984F71">
      <w:pPr>
        <w:pStyle w:val="Para4"/>
        <w:tabs>
          <w:tab w:val="clear" w:pos="2835"/>
          <w:tab w:val="num" w:pos="2268"/>
        </w:tabs>
        <w:spacing w:after="120" w:line="22" w:lineRule="atLeast"/>
        <w:ind w:left="2268" w:hanging="567"/>
      </w:pPr>
      <w:r w:rsidRPr="00D53361">
        <w:t xml:space="preserve">1 July </w:t>
      </w:r>
      <w:r w:rsidR="00FC7918" w:rsidRPr="00D53361">
        <w:t>201</w:t>
      </w:r>
      <w:r w:rsidR="00FC7918">
        <w:t>3</w:t>
      </w:r>
      <w:r w:rsidR="00FC7918" w:rsidRPr="00D53361">
        <w:t xml:space="preserve"> </w:t>
      </w:r>
      <w:r w:rsidRPr="00D53361">
        <w:t xml:space="preserve">to 30 September </w:t>
      </w:r>
      <w:r w:rsidR="00FC7918" w:rsidRPr="00D53361">
        <w:t>201</w:t>
      </w:r>
      <w:r w:rsidR="00FC7918">
        <w:t>4</w:t>
      </w:r>
      <w:r w:rsidRPr="00D53361">
        <w:t>;</w:t>
      </w:r>
    </w:p>
    <w:p w:rsidR="0021025E" w:rsidRDefault="00D53361" w:rsidP="00984F71">
      <w:pPr>
        <w:pStyle w:val="Para4"/>
        <w:tabs>
          <w:tab w:val="clear" w:pos="2835"/>
          <w:tab w:val="num" w:pos="2268"/>
        </w:tabs>
        <w:spacing w:after="120" w:line="22" w:lineRule="atLeast"/>
        <w:ind w:left="2268" w:hanging="567"/>
      </w:pPr>
      <w:r w:rsidRPr="00D53361">
        <w:t xml:space="preserve">1 October </w:t>
      </w:r>
      <w:r w:rsidR="00FC7918" w:rsidRPr="00D53361">
        <w:t>201</w:t>
      </w:r>
      <w:r w:rsidR="00FC7918">
        <w:t>4</w:t>
      </w:r>
      <w:r w:rsidR="00FC7918" w:rsidRPr="00D53361">
        <w:t xml:space="preserve"> </w:t>
      </w:r>
      <w:r w:rsidRPr="00D53361">
        <w:t xml:space="preserve">to 30 September </w:t>
      </w:r>
      <w:r w:rsidR="00FC7918" w:rsidRPr="00D53361">
        <w:t>201</w:t>
      </w:r>
      <w:r w:rsidR="00FC7918">
        <w:t>5</w:t>
      </w:r>
      <w:r w:rsidRPr="00D53361">
        <w:t>;</w:t>
      </w:r>
    </w:p>
    <w:p w:rsidR="0021025E" w:rsidRDefault="00D53361" w:rsidP="00984F71">
      <w:pPr>
        <w:pStyle w:val="Para4"/>
        <w:tabs>
          <w:tab w:val="clear" w:pos="2835"/>
          <w:tab w:val="num" w:pos="2268"/>
        </w:tabs>
        <w:spacing w:after="120" w:line="22" w:lineRule="atLeast"/>
        <w:ind w:left="2268" w:hanging="567"/>
      </w:pPr>
      <w:r w:rsidRPr="00D53361">
        <w:t xml:space="preserve">1 October </w:t>
      </w:r>
      <w:r w:rsidR="00FC7918" w:rsidRPr="00D53361">
        <w:t>201</w:t>
      </w:r>
      <w:r w:rsidR="00FC7918">
        <w:t>5</w:t>
      </w:r>
      <w:r w:rsidR="00FC7918" w:rsidRPr="00D53361">
        <w:t xml:space="preserve"> </w:t>
      </w:r>
      <w:r w:rsidRPr="00D53361">
        <w:t xml:space="preserve">to 30 September </w:t>
      </w:r>
      <w:r w:rsidR="00FC7918" w:rsidRPr="00D53361">
        <w:t>201</w:t>
      </w:r>
      <w:r w:rsidR="00FC7918">
        <w:t>6</w:t>
      </w:r>
      <w:r w:rsidRPr="00D53361">
        <w:t>; and</w:t>
      </w:r>
    </w:p>
    <w:p w:rsidR="0021025E" w:rsidRDefault="00D53361" w:rsidP="00984F71">
      <w:pPr>
        <w:pStyle w:val="Para4"/>
        <w:tabs>
          <w:tab w:val="clear" w:pos="2835"/>
          <w:tab w:val="num" w:pos="2268"/>
        </w:tabs>
        <w:spacing w:after="120" w:line="22" w:lineRule="atLeast"/>
        <w:ind w:left="2268" w:hanging="567"/>
      </w:pPr>
      <w:r w:rsidRPr="00D53361">
        <w:t xml:space="preserve">1 October </w:t>
      </w:r>
      <w:r w:rsidR="00FC7918" w:rsidRPr="00D53361">
        <w:t>201</w:t>
      </w:r>
      <w:r w:rsidR="00FC7918">
        <w:t>6</w:t>
      </w:r>
      <w:r w:rsidR="00FC7918" w:rsidRPr="00D53361">
        <w:t xml:space="preserve"> </w:t>
      </w:r>
      <w:r w:rsidRPr="00D53361">
        <w:t xml:space="preserve">to 30 September </w:t>
      </w:r>
      <w:r w:rsidR="00FC7918" w:rsidRPr="00D53361">
        <w:t>201</w:t>
      </w:r>
      <w:r w:rsidR="00FC7918">
        <w:t>7</w:t>
      </w:r>
      <w:r w:rsidRPr="00D53361">
        <w:t>;</w:t>
      </w:r>
    </w:p>
    <w:p w:rsidR="003E4D5E" w:rsidRPr="00965A1A" w:rsidRDefault="006A21DF" w:rsidP="003E4D5E">
      <w:pPr>
        <w:spacing w:after="120" w:line="22" w:lineRule="atLeast"/>
        <w:ind w:left="1985" w:hanging="567"/>
        <w:jc w:val="both"/>
        <w:outlineLvl w:val="1"/>
        <w:rPr>
          <w:color w:val="000000"/>
        </w:rPr>
      </w:pPr>
      <w:proofErr w:type="gramStart"/>
      <w:r>
        <w:rPr>
          <w:b/>
          <w:color w:val="000000"/>
        </w:rPr>
        <w:t>a</w:t>
      </w:r>
      <w:r w:rsidRPr="00965A1A">
        <w:rPr>
          <w:b/>
          <w:color w:val="000000"/>
        </w:rPr>
        <w:t>uditor</w:t>
      </w:r>
      <w:proofErr w:type="gramEnd"/>
      <w:r w:rsidR="003E4D5E" w:rsidRPr="00965A1A">
        <w:rPr>
          <w:color w:val="000000"/>
        </w:rPr>
        <w:t xml:space="preserve">, in relation to a </w:t>
      </w:r>
      <w:proofErr w:type="spellStart"/>
      <w:r w:rsidR="003E4D5E" w:rsidRPr="00B61196">
        <w:rPr>
          <w:b/>
          <w:color w:val="000000"/>
        </w:rPr>
        <w:t>G</w:t>
      </w:r>
      <w:r w:rsidR="003E4D5E">
        <w:rPr>
          <w:b/>
          <w:color w:val="000000"/>
        </w:rPr>
        <w:t>D</w:t>
      </w:r>
      <w:r w:rsidR="003E4D5E" w:rsidRPr="00B61196">
        <w:rPr>
          <w:b/>
          <w:color w:val="000000"/>
        </w:rPr>
        <w:t>B</w:t>
      </w:r>
      <w:proofErr w:type="spellEnd"/>
      <w:r w:rsidR="003E4D5E" w:rsidRPr="00965A1A">
        <w:rPr>
          <w:color w:val="000000"/>
        </w:rPr>
        <w:t xml:space="preserve">, means a </w:t>
      </w:r>
      <w:r>
        <w:rPr>
          <w:color w:val="000000"/>
        </w:rPr>
        <w:t>p</w:t>
      </w:r>
      <w:r w:rsidR="003E4D5E" w:rsidRPr="00965A1A">
        <w:rPr>
          <w:color w:val="000000"/>
        </w:rPr>
        <w:t>erson who:</w:t>
      </w:r>
    </w:p>
    <w:p w:rsidR="006F6D8C" w:rsidRDefault="003E4D5E">
      <w:pPr>
        <w:pStyle w:val="Numberlist"/>
        <w:numPr>
          <w:ilvl w:val="1"/>
          <w:numId w:val="36"/>
        </w:numPr>
        <w:tabs>
          <w:tab w:val="clear" w:pos="1920"/>
        </w:tabs>
        <w:spacing w:before="0" w:line="22" w:lineRule="atLeast"/>
        <w:ind w:left="2268" w:hanging="567"/>
        <w:jc w:val="both"/>
        <w:rPr>
          <w:rFonts w:ascii="Calibri" w:hAnsi="Calibri"/>
          <w:color w:val="000000"/>
          <w:lang w:eastAsia="en-GB"/>
        </w:rPr>
      </w:pPr>
      <w:r w:rsidRPr="00965A1A">
        <w:rPr>
          <w:rFonts w:ascii="Calibri" w:hAnsi="Calibri"/>
          <w:color w:val="000000"/>
          <w:lang w:eastAsia="en-GB"/>
        </w:rPr>
        <w:t>is qualified for appointment as auditor of a company under the Companies Act 1993</w:t>
      </w:r>
      <w:r>
        <w:rPr>
          <w:rFonts w:ascii="Calibri" w:hAnsi="Calibri"/>
          <w:color w:val="000000"/>
          <w:lang w:eastAsia="en-GB"/>
        </w:rPr>
        <w:t>; and</w:t>
      </w:r>
      <w:r w:rsidRPr="00965A1A">
        <w:rPr>
          <w:rFonts w:ascii="Calibri" w:hAnsi="Calibri"/>
          <w:color w:val="000000"/>
          <w:lang w:eastAsia="en-GB"/>
        </w:rPr>
        <w:t xml:space="preserve"> </w:t>
      </w:r>
    </w:p>
    <w:p w:rsidR="006F6D8C" w:rsidRDefault="003E4D5E">
      <w:pPr>
        <w:pStyle w:val="Numberlist"/>
        <w:numPr>
          <w:ilvl w:val="1"/>
          <w:numId w:val="36"/>
        </w:numPr>
        <w:spacing w:before="0" w:line="22" w:lineRule="atLeast"/>
        <w:ind w:left="2268" w:hanging="567"/>
        <w:jc w:val="both"/>
        <w:rPr>
          <w:rFonts w:ascii="Calibri" w:hAnsi="Calibri"/>
          <w:color w:val="000000"/>
          <w:lang w:eastAsia="en-GB"/>
        </w:rPr>
      </w:pPr>
      <w:r w:rsidRPr="00965A1A">
        <w:rPr>
          <w:rFonts w:ascii="Calibri" w:hAnsi="Calibri"/>
          <w:color w:val="000000"/>
          <w:lang w:eastAsia="en-GB"/>
        </w:rPr>
        <w:t xml:space="preserve">has no relationship with, or interest in, the </w:t>
      </w:r>
      <w:proofErr w:type="spellStart"/>
      <w:r w:rsidR="0048622D" w:rsidRPr="0048622D">
        <w:rPr>
          <w:rFonts w:ascii="Calibri" w:hAnsi="Calibri"/>
          <w:b/>
          <w:color w:val="000000"/>
          <w:lang w:eastAsia="en-GB"/>
        </w:rPr>
        <w:t>GDB</w:t>
      </w:r>
      <w:proofErr w:type="spellEnd"/>
      <w:r w:rsidRPr="00965A1A">
        <w:rPr>
          <w:rFonts w:ascii="Calibri" w:hAnsi="Calibri"/>
          <w:color w:val="000000"/>
          <w:lang w:eastAsia="en-GB"/>
        </w:rPr>
        <w:t xml:space="preserve"> that is likely to involve the </w:t>
      </w:r>
      <w:r w:rsidR="006A21DF">
        <w:rPr>
          <w:rFonts w:ascii="Calibri" w:hAnsi="Calibri"/>
          <w:color w:val="000000"/>
          <w:lang w:eastAsia="en-GB"/>
        </w:rPr>
        <w:t>p</w:t>
      </w:r>
      <w:r w:rsidRPr="00965A1A">
        <w:rPr>
          <w:rFonts w:ascii="Calibri" w:hAnsi="Calibri"/>
          <w:color w:val="000000"/>
          <w:lang w:eastAsia="en-GB"/>
        </w:rPr>
        <w:t>erson in a conflict of interest; and</w:t>
      </w:r>
    </w:p>
    <w:p w:rsidR="006F6D8C" w:rsidRDefault="003E4D5E">
      <w:pPr>
        <w:pStyle w:val="Numberlist"/>
        <w:numPr>
          <w:ilvl w:val="1"/>
          <w:numId w:val="36"/>
        </w:numPr>
        <w:spacing w:before="0" w:line="22" w:lineRule="atLeast"/>
        <w:ind w:left="2268" w:hanging="567"/>
        <w:jc w:val="both"/>
        <w:rPr>
          <w:rFonts w:ascii="Calibri" w:hAnsi="Calibri"/>
          <w:color w:val="000000"/>
          <w:lang w:eastAsia="en-GB"/>
        </w:rPr>
      </w:pPr>
      <w:r w:rsidRPr="00965A1A">
        <w:rPr>
          <w:rFonts w:ascii="Calibri" w:hAnsi="Calibri"/>
          <w:color w:val="000000"/>
          <w:lang w:eastAsia="en-GB"/>
        </w:rPr>
        <w:t xml:space="preserve">has not assisted with the preparation of the </w:t>
      </w:r>
      <w:r w:rsidR="004D6232">
        <w:rPr>
          <w:rFonts w:ascii="Calibri" w:hAnsi="Calibri"/>
          <w:b/>
          <w:color w:val="000000"/>
          <w:lang w:eastAsia="en-GB"/>
        </w:rPr>
        <w:t>compliance</w:t>
      </w:r>
      <w:r w:rsidR="00775B79" w:rsidRPr="00775B79">
        <w:rPr>
          <w:rFonts w:ascii="Calibri" w:hAnsi="Calibri"/>
          <w:b/>
          <w:color w:val="000000"/>
          <w:lang w:eastAsia="en-GB"/>
        </w:rPr>
        <w:t xml:space="preserve"> statement</w:t>
      </w:r>
      <w:r w:rsidRPr="00965A1A">
        <w:rPr>
          <w:rFonts w:ascii="Calibri" w:hAnsi="Calibri"/>
          <w:color w:val="000000"/>
          <w:lang w:eastAsia="en-GB"/>
        </w:rPr>
        <w:t xml:space="preserve"> or provided advice or opinions (other than in relation to audit reports) on the methodologies or processes used in preparing the </w:t>
      </w:r>
      <w:r w:rsidR="004D6232">
        <w:rPr>
          <w:rFonts w:ascii="Calibri" w:hAnsi="Calibri"/>
          <w:b/>
          <w:color w:val="000000"/>
          <w:lang w:eastAsia="en-GB"/>
        </w:rPr>
        <w:t>compliance</w:t>
      </w:r>
      <w:r w:rsidR="00775B79" w:rsidRPr="00775B79">
        <w:rPr>
          <w:rFonts w:ascii="Calibri" w:hAnsi="Calibri"/>
          <w:b/>
          <w:color w:val="000000"/>
          <w:lang w:eastAsia="en-GB"/>
        </w:rPr>
        <w:t xml:space="preserve"> statement</w:t>
      </w:r>
      <w:r w:rsidRPr="00965A1A">
        <w:rPr>
          <w:rFonts w:ascii="Calibri" w:hAnsi="Calibri"/>
          <w:color w:val="000000"/>
          <w:lang w:eastAsia="en-GB"/>
        </w:rPr>
        <w:t xml:space="preserve">; and </w:t>
      </w:r>
    </w:p>
    <w:p w:rsidR="006F6D8C" w:rsidRDefault="003E4D5E">
      <w:pPr>
        <w:pStyle w:val="Numberlist"/>
        <w:numPr>
          <w:ilvl w:val="1"/>
          <w:numId w:val="36"/>
        </w:numPr>
        <w:spacing w:before="0" w:line="22" w:lineRule="atLeast"/>
        <w:ind w:left="2268" w:hanging="567"/>
        <w:jc w:val="both"/>
        <w:rPr>
          <w:rFonts w:ascii="Calibri" w:hAnsi="Calibri"/>
          <w:color w:val="000000"/>
          <w:lang w:eastAsia="en-GB"/>
        </w:rPr>
      </w:pPr>
      <w:r w:rsidRPr="00965A1A">
        <w:rPr>
          <w:rFonts w:ascii="Calibri" w:hAnsi="Calibri"/>
          <w:color w:val="000000"/>
          <w:lang w:eastAsia="en-GB"/>
        </w:rPr>
        <w:t>has the necessary expertise to properly undertake an audit required by clause 11.</w:t>
      </w:r>
      <w:r w:rsidR="007B5EFE">
        <w:rPr>
          <w:rFonts w:ascii="Calibri" w:hAnsi="Calibri"/>
          <w:color w:val="000000"/>
          <w:lang w:eastAsia="en-GB"/>
        </w:rPr>
        <w:t>2.</w:t>
      </w:r>
      <w:r>
        <w:rPr>
          <w:rFonts w:ascii="Calibri" w:hAnsi="Calibri"/>
          <w:color w:val="000000"/>
          <w:lang w:eastAsia="en-GB"/>
        </w:rPr>
        <w:t>4</w:t>
      </w:r>
      <w:r w:rsidRPr="00965A1A">
        <w:rPr>
          <w:rFonts w:ascii="Calibri" w:hAnsi="Calibri"/>
          <w:color w:val="000000"/>
          <w:lang w:eastAsia="en-GB"/>
        </w:rPr>
        <w:t>; but</w:t>
      </w:r>
    </w:p>
    <w:p w:rsidR="006F6D8C" w:rsidRDefault="003E4D5E">
      <w:pPr>
        <w:pStyle w:val="Numberlist"/>
        <w:numPr>
          <w:ilvl w:val="1"/>
          <w:numId w:val="36"/>
        </w:numPr>
        <w:spacing w:before="0" w:line="22" w:lineRule="atLeast"/>
        <w:ind w:left="2268" w:hanging="567"/>
        <w:jc w:val="both"/>
        <w:rPr>
          <w:rFonts w:ascii="Calibri" w:hAnsi="Calibri"/>
          <w:color w:val="000000"/>
        </w:rPr>
      </w:pPr>
      <w:r w:rsidRPr="00965A1A">
        <w:rPr>
          <w:rFonts w:ascii="Calibri" w:hAnsi="Calibri"/>
          <w:color w:val="000000"/>
        </w:rPr>
        <w:t xml:space="preserve">need not be the same </w:t>
      </w:r>
      <w:r w:rsidR="006A21DF">
        <w:rPr>
          <w:rFonts w:ascii="Calibri" w:hAnsi="Calibri"/>
          <w:color w:val="000000"/>
        </w:rPr>
        <w:t>p</w:t>
      </w:r>
      <w:r w:rsidRPr="00965A1A">
        <w:rPr>
          <w:rFonts w:ascii="Calibri" w:hAnsi="Calibri"/>
          <w:color w:val="000000"/>
        </w:rPr>
        <w:t xml:space="preserve">erson as the </w:t>
      </w:r>
      <w:r w:rsidR="006A21DF">
        <w:rPr>
          <w:rFonts w:ascii="Calibri" w:hAnsi="Calibri"/>
          <w:color w:val="000000"/>
        </w:rPr>
        <w:t>p</w:t>
      </w:r>
      <w:r w:rsidRPr="00965A1A">
        <w:rPr>
          <w:rFonts w:ascii="Calibri" w:hAnsi="Calibri"/>
          <w:color w:val="000000"/>
        </w:rPr>
        <w:t xml:space="preserve">erson who audits the </w:t>
      </w:r>
      <w:r w:rsidR="0048622D" w:rsidRPr="0048622D">
        <w:rPr>
          <w:rFonts w:ascii="Calibri" w:hAnsi="Calibri"/>
          <w:b/>
          <w:color w:val="000000"/>
        </w:rPr>
        <w:t xml:space="preserve">GDB’s </w:t>
      </w:r>
      <w:r w:rsidRPr="00965A1A">
        <w:rPr>
          <w:rFonts w:ascii="Calibri" w:hAnsi="Calibri"/>
          <w:color w:val="000000"/>
        </w:rPr>
        <w:t>accounts for any other purpose</w:t>
      </w:r>
      <w:r w:rsidR="006A21DF">
        <w:rPr>
          <w:rFonts w:ascii="Calibri" w:hAnsi="Calibri"/>
          <w:color w:val="000000"/>
        </w:rPr>
        <w:t>;</w:t>
      </w:r>
    </w:p>
    <w:p w:rsidR="00D53361" w:rsidRPr="00D53361" w:rsidRDefault="00D53361" w:rsidP="008A5C53">
      <w:pPr>
        <w:pStyle w:val="BodyText"/>
        <w:ind w:left="1418"/>
      </w:pPr>
      <w:r w:rsidRPr="00D53361">
        <w:rPr>
          <w:b/>
        </w:rPr>
        <w:t>Commission</w:t>
      </w:r>
      <w:r w:rsidRPr="00D53361">
        <w:t xml:space="preserve"> means the Commerce Commission as </w:t>
      </w:r>
      <w:r w:rsidR="006A21DF">
        <w:t>defined</w:t>
      </w:r>
      <w:r w:rsidRPr="00D53361">
        <w:t xml:space="preserve"> in s 2 of the </w:t>
      </w:r>
      <w:r w:rsidRPr="00D53361">
        <w:rPr>
          <w:b/>
        </w:rPr>
        <w:t>Act</w:t>
      </w:r>
      <w:r w:rsidRPr="00D53361">
        <w:t xml:space="preserve">; </w:t>
      </w:r>
    </w:p>
    <w:p w:rsidR="002F738A" w:rsidRPr="00D53361" w:rsidRDefault="002F738A" w:rsidP="002F738A">
      <w:pPr>
        <w:pStyle w:val="BodyText"/>
        <w:ind w:left="1418"/>
      </w:pPr>
      <w:proofErr w:type="gramStart"/>
      <w:r w:rsidRPr="00D53361">
        <w:rPr>
          <w:b/>
        </w:rPr>
        <w:t>compliance</w:t>
      </w:r>
      <w:proofErr w:type="gramEnd"/>
      <w:r w:rsidRPr="00D53361">
        <w:rPr>
          <w:b/>
        </w:rPr>
        <w:t xml:space="preserve"> statement</w:t>
      </w:r>
      <w:r w:rsidRPr="00D53361">
        <w:t xml:space="preserve"> means a written statement made by a </w:t>
      </w:r>
      <w:proofErr w:type="spellStart"/>
      <w:r w:rsidRPr="00D53361">
        <w:rPr>
          <w:b/>
        </w:rPr>
        <w:t>GDB</w:t>
      </w:r>
      <w:proofErr w:type="spellEnd"/>
      <w:r w:rsidRPr="00D53361">
        <w:t xml:space="preserve"> under clause 11;</w:t>
      </w:r>
    </w:p>
    <w:p w:rsidR="003E4D5E" w:rsidRPr="000B5269" w:rsidRDefault="0048622D" w:rsidP="008A5C53">
      <w:pPr>
        <w:pStyle w:val="BodyText"/>
        <w:ind w:left="1418"/>
      </w:pPr>
      <w:proofErr w:type="gramStart"/>
      <w:r w:rsidRPr="0048622D">
        <w:rPr>
          <w:b/>
        </w:rPr>
        <w:t>c</w:t>
      </w:r>
      <w:r w:rsidR="009E2FF4" w:rsidRPr="00104420">
        <w:rPr>
          <w:b/>
        </w:rPr>
        <w:t>onsumer</w:t>
      </w:r>
      <w:proofErr w:type="gramEnd"/>
      <w:r w:rsidR="000B5269" w:rsidRPr="00104420">
        <w:rPr>
          <w:b/>
        </w:rPr>
        <w:t xml:space="preserve"> </w:t>
      </w:r>
      <w:r w:rsidRPr="0048622D">
        <w:t>has the same meaning as defined in s 2(1) of the Gas Act 1992;</w:t>
      </w:r>
    </w:p>
    <w:p w:rsidR="00D53361" w:rsidRPr="00D53361" w:rsidRDefault="00D53361" w:rsidP="008A5C53">
      <w:pPr>
        <w:pStyle w:val="BodyText"/>
        <w:ind w:left="1418"/>
      </w:pPr>
      <w:r w:rsidRPr="00D53361">
        <w:rPr>
          <w:b/>
        </w:rPr>
        <w:t xml:space="preserve">CPI </w:t>
      </w:r>
      <w:r w:rsidRPr="00D53361">
        <w:t>has the</w:t>
      </w:r>
      <w:r w:rsidR="00CF4792">
        <w:t xml:space="preserve"> same</w:t>
      </w:r>
      <w:r w:rsidRPr="00D53361">
        <w:t xml:space="preserve"> meaning </w:t>
      </w:r>
      <w:r w:rsidR="00CF4792">
        <w:t>as clause 1.1</w:t>
      </w:r>
      <w:r w:rsidR="00E97AB0">
        <w:t>.</w:t>
      </w:r>
      <w:r w:rsidR="00CF4792">
        <w:t>4 of the</w:t>
      </w:r>
      <w:r w:rsidRPr="00D53361">
        <w:t xml:space="preserve"> </w:t>
      </w:r>
      <w:r w:rsidRPr="00D53361">
        <w:rPr>
          <w:b/>
        </w:rPr>
        <w:t>IM determination</w:t>
      </w:r>
      <w:r w:rsidRPr="00D53361">
        <w:t xml:space="preserve">; </w:t>
      </w:r>
    </w:p>
    <w:p w:rsidR="00D53361" w:rsidRPr="00D53361" w:rsidRDefault="00D53361" w:rsidP="008A5C53">
      <w:pPr>
        <w:pStyle w:val="BodyText"/>
        <w:ind w:left="1418"/>
      </w:pPr>
      <w:r w:rsidRPr="00D53361">
        <w:rPr>
          <w:b/>
        </w:rPr>
        <w:t xml:space="preserve">CPP proposal </w:t>
      </w:r>
      <w:r w:rsidRPr="00D53361">
        <w:t xml:space="preserve">has the </w:t>
      </w:r>
      <w:r w:rsidR="00CF4792">
        <w:t xml:space="preserve">same </w:t>
      </w:r>
      <w:r w:rsidRPr="00D53361">
        <w:t>meaning</w:t>
      </w:r>
      <w:r w:rsidR="00CF4792">
        <w:t xml:space="preserve"> as clause 1.1</w:t>
      </w:r>
      <w:r w:rsidR="00E97AB0">
        <w:t>.</w:t>
      </w:r>
      <w:r w:rsidR="00CF4792">
        <w:t>4 of the</w:t>
      </w:r>
      <w:r w:rsidRPr="00D53361">
        <w:rPr>
          <w:b/>
        </w:rPr>
        <w:t xml:space="preserve"> IM determination</w:t>
      </w:r>
      <w:r w:rsidRPr="00D53361">
        <w:t>;</w:t>
      </w:r>
    </w:p>
    <w:p w:rsidR="00D53361" w:rsidRPr="00D53361" w:rsidRDefault="00D53361" w:rsidP="008A5C53">
      <w:pPr>
        <w:pStyle w:val="BodyText"/>
        <w:ind w:left="1418"/>
      </w:pPr>
      <w:proofErr w:type="gramStart"/>
      <w:r w:rsidRPr="00D53361">
        <w:rPr>
          <w:b/>
        </w:rPr>
        <w:t>director</w:t>
      </w:r>
      <w:proofErr w:type="gramEnd"/>
      <w:r w:rsidRPr="00D53361">
        <w:t xml:space="preserve"> has the </w:t>
      </w:r>
      <w:r w:rsidR="00CF4792">
        <w:t xml:space="preserve">same </w:t>
      </w:r>
      <w:r w:rsidRPr="00D53361">
        <w:t xml:space="preserve">meaning </w:t>
      </w:r>
      <w:r w:rsidR="00CF4792">
        <w:t>as clause 1.1</w:t>
      </w:r>
      <w:r w:rsidR="00E97AB0">
        <w:t>.</w:t>
      </w:r>
      <w:r w:rsidR="00CF4792">
        <w:t>4 of the</w:t>
      </w:r>
      <w:r w:rsidR="00CF4792" w:rsidRPr="00D53361">
        <w:rPr>
          <w:b/>
        </w:rPr>
        <w:t xml:space="preserve"> </w:t>
      </w:r>
      <w:r w:rsidRPr="00D53361">
        <w:rPr>
          <w:b/>
        </w:rPr>
        <w:t>IM determination</w:t>
      </w:r>
      <w:r w:rsidRPr="00D53361">
        <w:t>;</w:t>
      </w:r>
    </w:p>
    <w:p w:rsidR="0021025E" w:rsidRDefault="00D53361" w:rsidP="0021025E">
      <w:pPr>
        <w:pStyle w:val="BodyText"/>
        <w:spacing w:after="120" w:line="22" w:lineRule="atLeast"/>
        <w:ind w:left="1418"/>
      </w:pPr>
      <w:proofErr w:type="gramStart"/>
      <w:r w:rsidRPr="00D53361">
        <w:rPr>
          <w:b/>
        </w:rPr>
        <w:t>emergency</w:t>
      </w:r>
      <w:proofErr w:type="gramEnd"/>
      <w:r w:rsidRPr="00D53361">
        <w:rPr>
          <w:b/>
        </w:rPr>
        <w:t xml:space="preserve"> </w:t>
      </w:r>
      <w:r w:rsidR="003A6FBF">
        <w:t xml:space="preserve">means </w:t>
      </w:r>
      <w:r w:rsidR="00BD58CB">
        <w:t xml:space="preserve">an </w:t>
      </w:r>
      <w:r w:rsidR="00EC752E" w:rsidRPr="00601F60">
        <w:t>unplanned</w:t>
      </w:r>
      <w:r w:rsidR="00EC752E">
        <w:t xml:space="preserve"> interruption or disruption in the supply of gas arising from –</w:t>
      </w:r>
    </w:p>
    <w:p w:rsidR="0021025E" w:rsidRDefault="003A6FBF" w:rsidP="00984F71">
      <w:pPr>
        <w:pStyle w:val="Para4"/>
        <w:numPr>
          <w:ilvl w:val="3"/>
          <w:numId w:val="35"/>
        </w:numPr>
        <w:tabs>
          <w:tab w:val="clear" w:pos="2835"/>
          <w:tab w:val="num" w:pos="2268"/>
        </w:tabs>
        <w:spacing w:after="120" w:line="22" w:lineRule="atLeast"/>
        <w:ind w:left="2268" w:hanging="567"/>
      </w:pPr>
      <w:r>
        <w:t>a</w:t>
      </w:r>
      <w:r w:rsidRPr="00EC752E">
        <w:rPr>
          <w:rFonts w:eastAsiaTheme="minorHAnsi"/>
        </w:rPr>
        <w:t xml:space="preserve">n </w:t>
      </w:r>
      <w:r w:rsidR="0048622D" w:rsidRPr="0048622D">
        <w:t>unplanned</w:t>
      </w:r>
      <w:r w:rsidR="00E67016">
        <w:rPr>
          <w:rFonts w:eastAsiaTheme="minorHAnsi"/>
        </w:rPr>
        <w:t xml:space="preserve"> escape or ignition of gas that requires the active involvement of any emergencies service (i.e., </w:t>
      </w:r>
      <w:r w:rsidRPr="00EC752E">
        <w:rPr>
          <w:rFonts w:eastAsiaTheme="minorHAnsi"/>
        </w:rPr>
        <w:t>fire service, ambulance); or</w:t>
      </w:r>
    </w:p>
    <w:p w:rsidR="0021025E" w:rsidRDefault="003A6FBF" w:rsidP="00984F71">
      <w:pPr>
        <w:pStyle w:val="Para4"/>
        <w:numPr>
          <w:ilvl w:val="3"/>
          <w:numId w:val="35"/>
        </w:numPr>
        <w:tabs>
          <w:tab w:val="clear" w:pos="2835"/>
          <w:tab w:val="num" w:pos="2268"/>
        </w:tabs>
        <w:spacing w:after="120" w:line="22" w:lineRule="atLeast"/>
        <w:ind w:left="2268" w:hanging="567"/>
      </w:pPr>
      <w:r w:rsidRPr="00EC752E">
        <w:rPr>
          <w:rFonts w:eastAsiaTheme="minorHAnsi"/>
        </w:rPr>
        <w:t xml:space="preserve">an unplanned disruption in the supply of gas that affects more than five </w:t>
      </w:r>
      <w:r w:rsidR="00B84DA8">
        <w:rPr>
          <w:rFonts w:eastAsiaTheme="minorHAnsi"/>
        </w:rPr>
        <w:t>installation control points (</w:t>
      </w:r>
      <w:proofErr w:type="spellStart"/>
      <w:r w:rsidRPr="00EC752E">
        <w:rPr>
          <w:rFonts w:eastAsiaTheme="minorHAnsi"/>
        </w:rPr>
        <w:t>ICPs</w:t>
      </w:r>
      <w:proofErr w:type="spellEnd"/>
      <w:r w:rsidR="00B84DA8">
        <w:rPr>
          <w:rFonts w:eastAsiaTheme="minorHAnsi"/>
        </w:rPr>
        <w:t>)</w:t>
      </w:r>
      <w:r w:rsidRPr="00EC752E">
        <w:rPr>
          <w:rFonts w:eastAsiaTheme="minorHAnsi"/>
        </w:rPr>
        <w:t>; or</w:t>
      </w:r>
    </w:p>
    <w:p w:rsidR="0021025E" w:rsidRDefault="003A6FBF" w:rsidP="00984F71">
      <w:pPr>
        <w:pStyle w:val="Para4"/>
        <w:numPr>
          <w:ilvl w:val="3"/>
          <w:numId w:val="35"/>
        </w:numPr>
        <w:tabs>
          <w:tab w:val="clear" w:pos="2835"/>
          <w:tab w:val="num" w:pos="2268"/>
        </w:tabs>
        <w:spacing w:after="120" w:line="22" w:lineRule="atLeast"/>
        <w:ind w:left="2268" w:hanging="567"/>
      </w:pPr>
      <w:r w:rsidRPr="00EC752E">
        <w:rPr>
          <w:rFonts w:eastAsiaTheme="minorHAnsi"/>
        </w:rPr>
        <w:t>evacuat</w:t>
      </w:r>
      <w:r w:rsidR="00867EA4">
        <w:rPr>
          <w:rFonts w:eastAsiaTheme="minorHAnsi"/>
        </w:rPr>
        <w:t>ing</w:t>
      </w:r>
      <w:r w:rsidRPr="00EC752E">
        <w:rPr>
          <w:rFonts w:eastAsiaTheme="minorHAnsi"/>
        </w:rPr>
        <w:t xml:space="preserve"> premises as the result of escape or ignition of gas</w:t>
      </w:r>
      <w:r w:rsidR="00710F43">
        <w:rPr>
          <w:rFonts w:eastAsiaTheme="minorHAnsi"/>
        </w:rPr>
        <w:t>;</w:t>
      </w:r>
    </w:p>
    <w:p w:rsidR="00D53361" w:rsidRPr="00D53361" w:rsidRDefault="00D53361" w:rsidP="008A5C53">
      <w:pPr>
        <w:pStyle w:val="BodyText"/>
        <w:ind w:left="1418"/>
        <w:rPr>
          <w:b/>
        </w:rPr>
      </w:pPr>
      <w:proofErr w:type="gramStart"/>
      <w:r w:rsidRPr="00D53361">
        <w:rPr>
          <w:b/>
        </w:rPr>
        <w:t>first</w:t>
      </w:r>
      <w:proofErr w:type="gramEnd"/>
      <w:r w:rsidRPr="00D53361">
        <w:rPr>
          <w:b/>
        </w:rPr>
        <w:t xml:space="preserve"> assessment period </w:t>
      </w:r>
      <w:r w:rsidRPr="00D53361">
        <w:t xml:space="preserve">means the </w:t>
      </w:r>
      <w:r w:rsidRPr="00D53361">
        <w:rPr>
          <w:b/>
        </w:rPr>
        <w:t>assessment period</w:t>
      </w:r>
      <w:r w:rsidRPr="00D53361">
        <w:t xml:space="preserve"> for the 15 month period 1 July </w:t>
      </w:r>
      <w:r w:rsidR="00CF4792" w:rsidRPr="00D53361">
        <w:t>201</w:t>
      </w:r>
      <w:r w:rsidR="00CF4792">
        <w:t>3</w:t>
      </w:r>
      <w:r w:rsidR="00CF4792" w:rsidRPr="00D53361">
        <w:t xml:space="preserve"> </w:t>
      </w:r>
      <w:r w:rsidRPr="00D53361">
        <w:t xml:space="preserve">to 30 September </w:t>
      </w:r>
      <w:r w:rsidR="00CF4792" w:rsidRPr="00D53361">
        <w:t>201</w:t>
      </w:r>
      <w:r w:rsidR="00CF4792">
        <w:t>4</w:t>
      </w:r>
      <w:r w:rsidRPr="00D53361">
        <w:t>;</w:t>
      </w:r>
    </w:p>
    <w:p w:rsidR="00D53361" w:rsidRPr="00D53361" w:rsidRDefault="00D53361" w:rsidP="008A5C53">
      <w:pPr>
        <w:pStyle w:val="BodyText"/>
        <w:ind w:left="1418"/>
        <w:rPr>
          <w:b/>
        </w:rPr>
      </w:pPr>
      <w:proofErr w:type="gramStart"/>
      <w:r w:rsidRPr="00D53361">
        <w:rPr>
          <w:b/>
        </w:rPr>
        <w:t>gas</w:t>
      </w:r>
      <w:proofErr w:type="gramEnd"/>
      <w:r w:rsidRPr="00D53361">
        <w:rPr>
          <w:b/>
        </w:rPr>
        <w:t xml:space="preserve"> distribution services </w:t>
      </w:r>
      <w:r w:rsidRPr="00D53361">
        <w:t xml:space="preserve">has the </w:t>
      </w:r>
      <w:r w:rsidR="00CF4792">
        <w:t xml:space="preserve">same </w:t>
      </w:r>
      <w:r w:rsidRPr="00D53361">
        <w:t xml:space="preserve">meaning </w:t>
      </w:r>
      <w:r w:rsidR="00CF4792">
        <w:t>as clause 1.1</w:t>
      </w:r>
      <w:r w:rsidR="00E97AB0">
        <w:t>.</w:t>
      </w:r>
      <w:r w:rsidR="00CF4792">
        <w:t>4 of the</w:t>
      </w:r>
      <w:r w:rsidRPr="00D53361">
        <w:rPr>
          <w:b/>
        </w:rPr>
        <w:t xml:space="preserve"> IM </w:t>
      </w:r>
      <w:r w:rsidR="00E72E3D">
        <w:rPr>
          <w:b/>
        </w:rPr>
        <w:t>D</w:t>
      </w:r>
      <w:r w:rsidR="00E72E3D" w:rsidRPr="00D53361">
        <w:rPr>
          <w:b/>
        </w:rPr>
        <w:t>etermination</w:t>
      </w:r>
      <w:r w:rsidRPr="00D53361">
        <w:t>;</w:t>
      </w:r>
    </w:p>
    <w:p w:rsidR="00D53361" w:rsidRPr="00D53361" w:rsidRDefault="00D53361" w:rsidP="008A5C53">
      <w:pPr>
        <w:pStyle w:val="BodyText"/>
        <w:ind w:left="1418"/>
        <w:rPr>
          <w:b/>
        </w:rPr>
      </w:pPr>
      <w:proofErr w:type="spellStart"/>
      <w:r w:rsidRPr="00D53361">
        <w:rPr>
          <w:b/>
        </w:rPr>
        <w:t>GDB</w:t>
      </w:r>
      <w:proofErr w:type="spellEnd"/>
      <w:r w:rsidRPr="00D53361">
        <w:rPr>
          <w:b/>
        </w:rPr>
        <w:t xml:space="preserve"> </w:t>
      </w:r>
      <w:r w:rsidRPr="00D53361">
        <w:t xml:space="preserve">has the </w:t>
      </w:r>
      <w:r w:rsidR="00CF4792">
        <w:t xml:space="preserve">same </w:t>
      </w:r>
      <w:r w:rsidRPr="00D53361">
        <w:t xml:space="preserve">meaning </w:t>
      </w:r>
      <w:r w:rsidR="00CF4792">
        <w:t>as clause 1.1</w:t>
      </w:r>
      <w:r w:rsidR="00E97AB0">
        <w:t>.</w:t>
      </w:r>
      <w:r w:rsidR="00CF4792">
        <w:t>4 of the</w:t>
      </w:r>
      <w:r w:rsidRPr="00D53361">
        <w:rPr>
          <w:b/>
        </w:rPr>
        <w:t xml:space="preserve"> IM determination</w:t>
      </w:r>
      <w:r w:rsidRPr="00D53361">
        <w:t>;</w:t>
      </w:r>
    </w:p>
    <w:p w:rsidR="00D53361" w:rsidRDefault="00D53361" w:rsidP="008A5C53">
      <w:pPr>
        <w:pStyle w:val="BodyText"/>
        <w:ind w:left="1418"/>
      </w:pPr>
      <w:r w:rsidRPr="00D53361">
        <w:rPr>
          <w:b/>
        </w:rPr>
        <w:t xml:space="preserve">IM determination </w:t>
      </w:r>
      <w:r w:rsidRPr="00D53361">
        <w:t>means the</w:t>
      </w:r>
      <w:r w:rsidR="00EC752E">
        <w:t xml:space="preserve"> </w:t>
      </w:r>
      <w:r w:rsidRPr="00D53361">
        <w:t xml:space="preserve">Gas Distribution Services Input Methodologies Determination </w:t>
      </w:r>
      <w:r w:rsidR="00EC752E" w:rsidRPr="00D53361">
        <w:t>201</w:t>
      </w:r>
      <w:r w:rsidR="00EC752E">
        <w:t>2</w:t>
      </w:r>
      <w:r w:rsidRPr="00D53361">
        <w:t>;</w:t>
      </w:r>
    </w:p>
    <w:p w:rsidR="0048622D" w:rsidRDefault="003E4D5E" w:rsidP="0048622D">
      <w:pPr>
        <w:spacing w:after="120" w:line="22" w:lineRule="atLeast"/>
        <w:ind w:left="851" w:firstLine="567"/>
        <w:jc w:val="both"/>
        <w:outlineLvl w:val="1"/>
        <w:rPr>
          <w:b/>
          <w:color w:val="000000"/>
        </w:rPr>
      </w:pPr>
      <w:r w:rsidRPr="00965A1A">
        <w:rPr>
          <w:b/>
          <w:color w:val="000000"/>
        </w:rPr>
        <w:t xml:space="preserve">Input </w:t>
      </w:r>
      <w:r w:rsidR="00867EA4">
        <w:rPr>
          <w:b/>
          <w:color w:val="000000"/>
        </w:rPr>
        <w:t>m</w:t>
      </w:r>
      <w:r w:rsidRPr="00965A1A">
        <w:rPr>
          <w:b/>
          <w:color w:val="000000"/>
        </w:rPr>
        <w:t xml:space="preserve">ethodology </w:t>
      </w:r>
      <w:r w:rsidRPr="00965A1A">
        <w:rPr>
          <w:color w:val="000000"/>
        </w:rPr>
        <w:t xml:space="preserve">has the same meaning as in s </w:t>
      </w:r>
      <w:proofErr w:type="spellStart"/>
      <w:r w:rsidRPr="00965A1A">
        <w:rPr>
          <w:color w:val="000000"/>
        </w:rPr>
        <w:t>52C</w:t>
      </w:r>
      <w:proofErr w:type="spellEnd"/>
      <w:r w:rsidRPr="00965A1A">
        <w:rPr>
          <w:color w:val="000000"/>
        </w:rPr>
        <w:t xml:space="preserve"> of the </w:t>
      </w:r>
      <w:r w:rsidR="0048622D" w:rsidRPr="0048622D">
        <w:rPr>
          <w:b/>
          <w:color w:val="000000"/>
        </w:rPr>
        <w:t>Act</w:t>
      </w:r>
      <w:r w:rsidR="0048622D" w:rsidRPr="0048622D">
        <w:rPr>
          <w:color w:val="000000"/>
        </w:rPr>
        <w:t>;</w:t>
      </w:r>
    </w:p>
    <w:p w:rsidR="00993C97" w:rsidRDefault="00993C97" w:rsidP="00993C97">
      <w:pPr>
        <w:pStyle w:val="BodyText"/>
        <w:spacing w:after="120" w:line="22" w:lineRule="atLeast"/>
        <w:ind w:left="1418"/>
        <w:rPr>
          <w:color w:val="000000"/>
        </w:rPr>
      </w:pPr>
      <w:proofErr w:type="gramStart"/>
      <w:r>
        <w:rPr>
          <w:b/>
          <w:bCs/>
        </w:rPr>
        <w:t>merger</w:t>
      </w:r>
      <w:proofErr w:type="gramEnd"/>
      <w:r>
        <w:rPr>
          <w:b/>
          <w:bCs/>
        </w:rPr>
        <w:t xml:space="preserve"> or acquisition </w:t>
      </w:r>
      <w:r>
        <w:rPr>
          <w:color w:val="000000"/>
        </w:rPr>
        <w:t xml:space="preserve">means a transaction, other than an </w:t>
      </w:r>
      <w:r>
        <w:rPr>
          <w:b/>
          <w:bCs/>
          <w:color w:val="000000"/>
        </w:rPr>
        <w:t>amalgamation</w:t>
      </w:r>
      <w:r>
        <w:rPr>
          <w:color w:val="000000"/>
        </w:rPr>
        <w:t xml:space="preserve">, whereby a </w:t>
      </w:r>
      <w:proofErr w:type="spellStart"/>
      <w:r>
        <w:rPr>
          <w:b/>
          <w:bCs/>
          <w:color w:val="000000"/>
        </w:rPr>
        <w:t>GDB</w:t>
      </w:r>
      <w:proofErr w:type="spellEnd"/>
      <w:r>
        <w:rPr>
          <w:color w:val="000000"/>
        </w:rPr>
        <w:t>, directly or indirectly:</w:t>
      </w:r>
    </w:p>
    <w:p w:rsidR="00993C97" w:rsidRDefault="00993C97" w:rsidP="006961AF">
      <w:pPr>
        <w:pStyle w:val="Bullet"/>
        <w:numPr>
          <w:ilvl w:val="0"/>
          <w:numId w:val="106"/>
        </w:numPr>
        <w:tabs>
          <w:tab w:val="clear" w:pos="2836"/>
          <w:tab w:val="num" w:pos="2268"/>
        </w:tabs>
        <w:spacing w:after="120" w:line="22" w:lineRule="atLeast"/>
        <w:ind w:left="2268" w:hanging="567"/>
      </w:pPr>
      <w:r>
        <w:t xml:space="preserve">combines the ownership </w:t>
      </w:r>
      <w:r w:rsidR="00293EE7">
        <w:t xml:space="preserve">of substantially all of </w:t>
      </w:r>
      <w:r>
        <w:t xml:space="preserve">its assets with, or acquires ownership or control of, substantially all of the assets of another </w:t>
      </w:r>
      <w:proofErr w:type="spellStart"/>
      <w:r>
        <w:rPr>
          <w:b/>
          <w:bCs/>
        </w:rPr>
        <w:t>GDB</w:t>
      </w:r>
      <w:proofErr w:type="spellEnd"/>
      <w:r>
        <w:t>; or</w:t>
      </w:r>
    </w:p>
    <w:p w:rsidR="00993C97" w:rsidRDefault="00993C97" w:rsidP="006961AF">
      <w:pPr>
        <w:pStyle w:val="Bullet"/>
        <w:numPr>
          <w:ilvl w:val="0"/>
          <w:numId w:val="106"/>
        </w:numPr>
        <w:tabs>
          <w:tab w:val="clear" w:pos="2836"/>
          <w:tab w:val="num" w:pos="2268"/>
        </w:tabs>
        <w:spacing w:after="120" w:line="22" w:lineRule="atLeast"/>
        <w:ind w:left="2268" w:hanging="567"/>
      </w:pPr>
      <w:r>
        <w:t xml:space="preserve">combines its ownership with that of another </w:t>
      </w:r>
      <w:proofErr w:type="spellStart"/>
      <w:r>
        <w:rPr>
          <w:b/>
          <w:bCs/>
        </w:rPr>
        <w:t>GDB</w:t>
      </w:r>
      <w:proofErr w:type="spellEnd"/>
      <w:r>
        <w:t xml:space="preserve">, or acquires ownership or control of a majority of the voting power of another </w:t>
      </w:r>
      <w:proofErr w:type="spellStart"/>
      <w:r>
        <w:rPr>
          <w:b/>
          <w:bCs/>
        </w:rPr>
        <w:t>GDB</w:t>
      </w:r>
      <w:proofErr w:type="spellEnd"/>
      <w:r>
        <w:t>;</w:t>
      </w:r>
    </w:p>
    <w:p w:rsidR="00D53361" w:rsidRPr="00D53361" w:rsidRDefault="00D53361" w:rsidP="008A5C53">
      <w:pPr>
        <w:pStyle w:val="BodyText"/>
        <w:ind w:left="1418"/>
      </w:pPr>
      <w:proofErr w:type="gramStart"/>
      <w:r w:rsidRPr="00D53361">
        <w:rPr>
          <w:b/>
        </w:rPr>
        <w:t>pass-through</w:t>
      </w:r>
      <w:proofErr w:type="gramEnd"/>
      <w:r w:rsidRPr="00D53361">
        <w:rPr>
          <w:b/>
        </w:rPr>
        <w:t xml:space="preserve"> cost</w:t>
      </w:r>
      <w:r w:rsidR="00AB3E05">
        <w:rPr>
          <w:b/>
        </w:rPr>
        <w:t>s</w:t>
      </w:r>
      <w:r w:rsidRPr="00D53361">
        <w:t xml:space="preserve"> has the</w:t>
      </w:r>
      <w:r w:rsidR="00CF4792">
        <w:t xml:space="preserve"> same</w:t>
      </w:r>
      <w:r w:rsidRPr="00D53361">
        <w:t xml:space="preserve"> meaning </w:t>
      </w:r>
      <w:r w:rsidR="00CF4792">
        <w:t>as clause 1.1</w:t>
      </w:r>
      <w:r w:rsidR="00E97AB0">
        <w:t>.</w:t>
      </w:r>
      <w:r w:rsidR="00CF4792">
        <w:t>4 of the</w:t>
      </w:r>
      <w:r w:rsidRPr="00D53361">
        <w:t xml:space="preserve"> </w:t>
      </w:r>
      <w:r w:rsidRPr="00D53361">
        <w:rPr>
          <w:b/>
        </w:rPr>
        <w:t>IM determination</w:t>
      </w:r>
      <w:r w:rsidRPr="00D53361">
        <w:t xml:space="preserve">, and </w:t>
      </w:r>
      <w:r w:rsidR="00EC752E">
        <w:t xml:space="preserve">are </w:t>
      </w:r>
      <w:r w:rsidR="006B3E1C">
        <w:t>determined</w:t>
      </w:r>
      <w:r w:rsidR="006B3E1C" w:rsidRPr="00D53361">
        <w:t xml:space="preserve"> </w:t>
      </w:r>
      <w:r w:rsidRPr="00D53361">
        <w:t xml:space="preserve">in accordance with Schedule </w:t>
      </w:r>
      <w:r w:rsidR="00F153F9">
        <w:t>5</w:t>
      </w:r>
      <w:r w:rsidRPr="00D53361">
        <w:t>;</w:t>
      </w:r>
    </w:p>
    <w:p w:rsidR="00D53361" w:rsidRPr="00D53361" w:rsidRDefault="00D53361" w:rsidP="008A5C53">
      <w:pPr>
        <w:pStyle w:val="BodyText"/>
        <w:ind w:left="1418"/>
      </w:pPr>
      <w:proofErr w:type="gramStart"/>
      <w:r w:rsidRPr="00D53361">
        <w:rPr>
          <w:b/>
        </w:rPr>
        <w:t>prices</w:t>
      </w:r>
      <w:proofErr w:type="gramEnd"/>
      <w:r w:rsidRPr="00D53361">
        <w:t xml:space="preserve"> has the </w:t>
      </w:r>
      <w:r w:rsidR="00E97AB0">
        <w:t xml:space="preserve">same </w:t>
      </w:r>
      <w:r w:rsidRPr="00D53361">
        <w:t xml:space="preserve">meaning </w:t>
      </w:r>
      <w:r w:rsidR="00E97AB0">
        <w:t>as clause 1.1</w:t>
      </w:r>
      <w:r w:rsidR="009A3BD3">
        <w:t>.</w:t>
      </w:r>
      <w:r w:rsidR="00E97AB0">
        <w:t>4 of the</w:t>
      </w:r>
      <w:r w:rsidRPr="00D53361">
        <w:t xml:space="preserve"> </w:t>
      </w:r>
      <w:r w:rsidRPr="00D53361">
        <w:rPr>
          <w:b/>
        </w:rPr>
        <w:t>IM determination</w:t>
      </w:r>
      <w:r w:rsidRPr="00D53361">
        <w:t>;</w:t>
      </w:r>
    </w:p>
    <w:p w:rsidR="00112926" w:rsidRPr="00112926" w:rsidRDefault="00112926" w:rsidP="008A5C53">
      <w:pPr>
        <w:pStyle w:val="BodyText"/>
        <w:ind w:left="1418"/>
      </w:pPr>
      <w:proofErr w:type="gramStart"/>
      <w:r>
        <w:rPr>
          <w:b/>
        </w:rPr>
        <w:t>pricing</w:t>
      </w:r>
      <w:proofErr w:type="gramEnd"/>
      <w:r>
        <w:rPr>
          <w:b/>
        </w:rPr>
        <w:t xml:space="preserve"> period</w:t>
      </w:r>
      <w:r>
        <w:t xml:space="preserve"> means a 12 month period </w:t>
      </w:r>
      <w:r w:rsidR="00EA174D">
        <w:t xml:space="preserve">commencing 1 October and </w:t>
      </w:r>
      <w:r>
        <w:t>ending on 30 September</w:t>
      </w:r>
      <w:r w:rsidR="00EA174D">
        <w:t xml:space="preserve"> of the following year</w:t>
      </w:r>
      <w:r>
        <w:t>;</w:t>
      </w:r>
    </w:p>
    <w:p w:rsidR="00D53361" w:rsidRPr="00D53361" w:rsidRDefault="00D53361" w:rsidP="008A5C53">
      <w:pPr>
        <w:pStyle w:val="BodyText"/>
        <w:ind w:left="1418"/>
      </w:pPr>
      <w:proofErr w:type="gramStart"/>
      <w:r w:rsidRPr="00D53361">
        <w:rPr>
          <w:b/>
        </w:rPr>
        <w:t>quantit</w:t>
      </w:r>
      <w:r w:rsidR="006A21DF">
        <w:rPr>
          <w:b/>
        </w:rPr>
        <w:t>ies</w:t>
      </w:r>
      <w:proofErr w:type="gramEnd"/>
      <w:r w:rsidRPr="00D53361">
        <w:t xml:space="preserve"> </w:t>
      </w:r>
      <w:r w:rsidR="00E2393F" w:rsidRPr="00D53361">
        <w:t xml:space="preserve">has the </w:t>
      </w:r>
      <w:r w:rsidR="00E2393F">
        <w:t xml:space="preserve">same </w:t>
      </w:r>
      <w:r w:rsidR="00E2393F" w:rsidRPr="00D53361">
        <w:t xml:space="preserve">meaning </w:t>
      </w:r>
      <w:r w:rsidR="00E2393F">
        <w:t>as clause 3.1.1(5) of the</w:t>
      </w:r>
      <w:r w:rsidR="00E2393F" w:rsidRPr="00D53361">
        <w:t xml:space="preserve"> </w:t>
      </w:r>
      <w:r w:rsidR="00E2393F" w:rsidRPr="00D53361">
        <w:rPr>
          <w:b/>
        </w:rPr>
        <w:t>IM determination</w:t>
      </w:r>
      <w:r w:rsidRPr="00D53361">
        <w:t xml:space="preserve">; </w:t>
      </w:r>
    </w:p>
    <w:p w:rsidR="00D53361" w:rsidRPr="00D53361" w:rsidRDefault="00D53361" w:rsidP="008A5C53">
      <w:pPr>
        <w:pStyle w:val="BodyText"/>
        <w:ind w:left="1418"/>
      </w:pPr>
      <w:proofErr w:type="gramStart"/>
      <w:r w:rsidRPr="00D53361">
        <w:rPr>
          <w:b/>
        </w:rPr>
        <w:t>recoverable</w:t>
      </w:r>
      <w:proofErr w:type="gramEnd"/>
      <w:r w:rsidRPr="00D53361">
        <w:rPr>
          <w:b/>
        </w:rPr>
        <w:t xml:space="preserve"> cost</w:t>
      </w:r>
      <w:r w:rsidR="00AB3E05">
        <w:rPr>
          <w:b/>
        </w:rPr>
        <w:t>s</w:t>
      </w:r>
      <w:r w:rsidRPr="00D53361">
        <w:rPr>
          <w:b/>
        </w:rPr>
        <w:t xml:space="preserve"> </w:t>
      </w:r>
      <w:r w:rsidRPr="00D53361">
        <w:t>has the</w:t>
      </w:r>
      <w:r w:rsidR="00E97AB0">
        <w:t xml:space="preserve"> same</w:t>
      </w:r>
      <w:r w:rsidRPr="00D53361">
        <w:t xml:space="preserve"> meaning</w:t>
      </w:r>
      <w:r w:rsidR="00E97AB0">
        <w:t xml:space="preserve"> as clause 1.1.4 of the </w:t>
      </w:r>
      <w:r w:rsidRPr="00D53361">
        <w:rPr>
          <w:b/>
        </w:rPr>
        <w:t>IM determination</w:t>
      </w:r>
      <w:r w:rsidRPr="00D53361">
        <w:t xml:space="preserve">, and </w:t>
      </w:r>
      <w:r w:rsidR="009C50FB">
        <w:t xml:space="preserve">are </w:t>
      </w:r>
      <w:r w:rsidR="006B3E1C">
        <w:t xml:space="preserve">determined </w:t>
      </w:r>
      <w:r w:rsidRPr="00D53361">
        <w:t xml:space="preserve">in accordance with Schedule </w:t>
      </w:r>
      <w:r w:rsidR="00F153F9">
        <w:t>5</w:t>
      </w:r>
      <w:r w:rsidRPr="00D53361">
        <w:t xml:space="preserve">; </w:t>
      </w:r>
    </w:p>
    <w:p w:rsidR="00D53361" w:rsidRPr="00D53361" w:rsidRDefault="00D53361" w:rsidP="008A5C53">
      <w:pPr>
        <w:pStyle w:val="BodyText"/>
        <w:ind w:left="1418"/>
      </w:pPr>
      <w:proofErr w:type="gramStart"/>
      <w:r w:rsidRPr="00D53361">
        <w:rPr>
          <w:b/>
        </w:rPr>
        <w:t>regulatory</w:t>
      </w:r>
      <w:proofErr w:type="gramEnd"/>
      <w:r w:rsidRPr="00D53361">
        <w:rPr>
          <w:b/>
        </w:rPr>
        <w:t xml:space="preserve"> period</w:t>
      </w:r>
      <w:r w:rsidRPr="00D53361">
        <w:t xml:space="preserve"> means the period 1 July </w:t>
      </w:r>
      <w:r w:rsidR="00E72E3D" w:rsidRPr="00D53361">
        <w:t>201</w:t>
      </w:r>
      <w:r w:rsidR="00E72E3D">
        <w:t>3</w:t>
      </w:r>
      <w:r w:rsidR="00E72E3D" w:rsidRPr="00D53361">
        <w:t xml:space="preserve"> </w:t>
      </w:r>
      <w:r w:rsidRPr="00D53361">
        <w:t xml:space="preserve">to 30 September </w:t>
      </w:r>
      <w:r w:rsidR="00E72E3D" w:rsidRPr="00D53361">
        <w:t>201</w:t>
      </w:r>
      <w:r w:rsidR="00E72E3D">
        <w:t>7</w:t>
      </w:r>
      <w:r w:rsidRPr="00D53361">
        <w:t>; and</w:t>
      </w:r>
    </w:p>
    <w:p w:rsidR="00D20E7B" w:rsidRPr="00D20E7B" w:rsidRDefault="00D53361" w:rsidP="008A5C53">
      <w:pPr>
        <w:pStyle w:val="BodyText"/>
        <w:ind w:left="1418"/>
        <w:rPr>
          <w:szCs w:val="24"/>
        </w:rPr>
      </w:pPr>
      <w:r w:rsidRPr="00D53361">
        <w:rPr>
          <w:b/>
        </w:rPr>
        <w:t xml:space="preserve">RTE </w:t>
      </w:r>
      <w:r w:rsidRPr="00D53361">
        <w:t>means ‘response time to</w:t>
      </w:r>
      <w:r w:rsidRPr="00DA21EA">
        <w:t xml:space="preserve"> </w:t>
      </w:r>
      <w:r w:rsidR="0048622D" w:rsidRPr="00D20E7B">
        <w:rPr>
          <w:szCs w:val="24"/>
        </w:rPr>
        <w:t>emergenc</w:t>
      </w:r>
      <w:r w:rsidR="00F371DE" w:rsidRPr="00D20E7B">
        <w:rPr>
          <w:szCs w:val="24"/>
        </w:rPr>
        <w:t>ies’</w:t>
      </w:r>
      <w:r w:rsidRPr="00D20E7B">
        <w:rPr>
          <w:szCs w:val="24"/>
        </w:rPr>
        <w:t xml:space="preserve">, being </w:t>
      </w:r>
      <w:r w:rsidR="00D20E7B" w:rsidRPr="00D20E7B">
        <w:rPr>
          <w:rFonts w:cs="Calibri"/>
          <w:color w:val="000000"/>
          <w:szCs w:val="24"/>
          <w:lang w:eastAsia="en-NZ"/>
        </w:rPr>
        <w:t xml:space="preserve">the time elapsed from when an </w:t>
      </w:r>
      <w:r w:rsidR="00D20E7B" w:rsidRPr="00D20E7B">
        <w:rPr>
          <w:rFonts w:cs="Calibri"/>
          <w:b/>
          <w:color w:val="000000"/>
          <w:szCs w:val="24"/>
          <w:lang w:eastAsia="en-NZ"/>
        </w:rPr>
        <w:t>emergency</w:t>
      </w:r>
      <w:r w:rsidR="00D20E7B" w:rsidRPr="00D20E7B">
        <w:rPr>
          <w:rFonts w:cs="Calibri"/>
          <w:color w:val="000000"/>
          <w:szCs w:val="24"/>
          <w:lang w:eastAsia="en-NZ"/>
        </w:rPr>
        <w:t xml:space="preserve"> is reported to a </w:t>
      </w:r>
      <w:proofErr w:type="spellStart"/>
      <w:r w:rsidR="00D20E7B" w:rsidRPr="00D20E7B">
        <w:rPr>
          <w:rFonts w:cs="Calibri"/>
          <w:b/>
          <w:color w:val="000000"/>
          <w:szCs w:val="24"/>
          <w:lang w:eastAsia="en-NZ"/>
        </w:rPr>
        <w:t>GDB</w:t>
      </w:r>
      <w:proofErr w:type="spellEnd"/>
      <w:r w:rsidR="00D20E7B" w:rsidRPr="00D20E7B">
        <w:rPr>
          <w:rFonts w:cs="Calibri"/>
          <w:color w:val="000000"/>
          <w:szCs w:val="24"/>
          <w:lang w:eastAsia="en-NZ"/>
        </w:rPr>
        <w:t xml:space="preserve"> representative until the </w:t>
      </w:r>
      <w:r w:rsidR="00D20E7B" w:rsidRPr="00D20E7B">
        <w:rPr>
          <w:rFonts w:cs="Calibri"/>
          <w:b/>
          <w:color w:val="000000"/>
          <w:szCs w:val="24"/>
          <w:lang w:eastAsia="en-NZ"/>
        </w:rPr>
        <w:t>GDB’s</w:t>
      </w:r>
      <w:r w:rsidR="00D20E7B" w:rsidRPr="00D20E7B">
        <w:rPr>
          <w:rFonts w:cs="Calibri"/>
          <w:color w:val="000000"/>
          <w:szCs w:val="24"/>
          <w:lang w:eastAsia="en-NZ"/>
        </w:rPr>
        <w:t xml:space="preserve"> personnel arrives at the location of the </w:t>
      </w:r>
      <w:r w:rsidR="00D20E7B" w:rsidRPr="00D20E7B">
        <w:rPr>
          <w:rFonts w:cs="Calibri"/>
          <w:b/>
          <w:color w:val="000000"/>
          <w:szCs w:val="24"/>
          <w:lang w:eastAsia="en-NZ"/>
        </w:rPr>
        <w:t>emergency</w:t>
      </w:r>
      <w:r w:rsidR="00D20E7B" w:rsidRPr="00D20E7B">
        <w:rPr>
          <w:rFonts w:cs="Calibri"/>
          <w:color w:val="000000"/>
          <w:szCs w:val="24"/>
          <w:lang w:eastAsia="en-NZ"/>
        </w:rPr>
        <w:t>.</w:t>
      </w:r>
    </w:p>
    <w:p w:rsidR="0048622D" w:rsidRDefault="00D53361" w:rsidP="0048622D">
      <w:pPr>
        <w:pStyle w:val="Heading1"/>
      </w:pPr>
      <w:bookmarkStart w:id="6" w:name="_Toc348091305"/>
      <w:r w:rsidRPr="00D53361">
        <w:t>Default price-quality path</w:t>
      </w:r>
      <w:bookmarkEnd w:id="6"/>
    </w:p>
    <w:p w:rsidR="00D53361" w:rsidRPr="00D53361" w:rsidRDefault="00CC3DBC" w:rsidP="008A5C53">
      <w:pPr>
        <w:pStyle w:val="Para2"/>
      </w:pPr>
      <w:r w:rsidRPr="005A67FA">
        <w:t xml:space="preserve">During the </w:t>
      </w:r>
      <w:r w:rsidR="0048622D" w:rsidRPr="0048622D">
        <w:rPr>
          <w:b/>
        </w:rPr>
        <w:t>regulatory period</w:t>
      </w:r>
      <w:r w:rsidRPr="005A67FA">
        <w:t xml:space="preserve"> </w:t>
      </w:r>
      <w:r w:rsidR="00951603">
        <w:t xml:space="preserve">every </w:t>
      </w:r>
      <w:proofErr w:type="spellStart"/>
      <w:r w:rsidR="00FC4268" w:rsidRPr="00FC4268">
        <w:rPr>
          <w:b/>
        </w:rPr>
        <w:t>GDB</w:t>
      </w:r>
      <w:proofErr w:type="spellEnd"/>
      <w:r w:rsidR="00951603">
        <w:t xml:space="preserve"> subject to this determination</w:t>
      </w:r>
      <w:r w:rsidR="00951603" w:rsidRPr="00D53361">
        <w:t xml:space="preserve"> </w:t>
      </w:r>
      <w:r w:rsidR="00D53361" w:rsidRPr="008A5C53">
        <w:t>must</w:t>
      </w:r>
      <w:r w:rsidR="00D53361" w:rsidRPr="00D53361">
        <w:t xml:space="preserve"> comply with the default price-quality path, which consists of</w:t>
      </w:r>
      <w:r w:rsidR="00951603">
        <w:t xml:space="preserve"> both</w:t>
      </w:r>
      <w:r w:rsidR="00D53361" w:rsidRPr="00D53361">
        <w:t>:</w:t>
      </w:r>
    </w:p>
    <w:p w:rsidR="00D53361" w:rsidRPr="00D53361" w:rsidRDefault="00D53361" w:rsidP="008A5C53">
      <w:pPr>
        <w:pStyle w:val="Para3"/>
      </w:pPr>
      <w:r w:rsidRPr="00D53361">
        <w:t>the price path specified in clause 8; and</w:t>
      </w:r>
    </w:p>
    <w:p w:rsidR="00D53361" w:rsidRPr="00D53361" w:rsidRDefault="00D53361" w:rsidP="008A5C53">
      <w:pPr>
        <w:pStyle w:val="Para3"/>
      </w:pPr>
      <w:proofErr w:type="gramStart"/>
      <w:r w:rsidRPr="00D53361">
        <w:t>the</w:t>
      </w:r>
      <w:proofErr w:type="gramEnd"/>
      <w:r w:rsidRPr="00D53361">
        <w:t xml:space="preserve"> quality standards specified in clause 9.</w:t>
      </w:r>
    </w:p>
    <w:p w:rsidR="0048622D" w:rsidRDefault="00D53361" w:rsidP="0048622D">
      <w:pPr>
        <w:pStyle w:val="Heading1"/>
      </w:pPr>
      <w:bookmarkStart w:id="7" w:name="_Toc348091306"/>
      <w:r w:rsidRPr="00D53361">
        <w:t>Applicable input methodologies</w:t>
      </w:r>
      <w:bookmarkEnd w:id="7"/>
      <w:r w:rsidRPr="00D53361">
        <w:t xml:space="preserve"> </w:t>
      </w:r>
    </w:p>
    <w:p w:rsidR="00D53361" w:rsidRPr="00D53361" w:rsidRDefault="00D53361" w:rsidP="008A5C53">
      <w:pPr>
        <w:pStyle w:val="Para2"/>
      </w:pPr>
      <w:r w:rsidRPr="00D53361">
        <w:t xml:space="preserve">The </w:t>
      </w:r>
      <w:r w:rsidR="0048622D" w:rsidRPr="0048622D">
        <w:rPr>
          <w:b/>
        </w:rPr>
        <w:t>input methodologies</w:t>
      </w:r>
      <w:r w:rsidRPr="00D53361">
        <w:t xml:space="preserve"> that </w:t>
      </w:r>
      <w:r w:rsidR="00E72E3D">
        <w:t xml:space="preserve">are </w:t>
      </w:r>
      <w:r w:rsidRPr="00D53361">
        <w:t>appl</w:t>
      </w:r>
      <w:r w:rsidR="00E72E3D">
        <w:t>ied through</w:t>
      </w:r>
      <w:r w:rsidRPr="00D53361">
        <w:t xml:space="preserve"> this determination are</w:t>
      </w:r>
      <w:r w:rsidR="00E72E3D">
        <w:t xml:space="preserve"> the following parts of the </w:t>
      </w:r>
      <w:r w:rsidR="0048622D" w:rsidRPr="0048622D">
        <w:rPr>
          <w:b/>
        </w:rPr>
        <w:t>IM determination</w:t>
      </w:r>
      <w:r w:rsidRPr="00D53361">
        <w:t>:</w:t>
      </w:r>
    </w:p>
    <w:p w:rsidR="0021025E" w:rsidRDefault="00E72E3D" w:rsidP="00984F71">
      <w:pPr>
        <w:pStyle w:val="Para4"/>
        <w:tabs>
          <w:tab w:val="clear" w:pos="2835"/>
          <w:tab w:val="num" w:pos="2268"/>
        </w:tabs>
        <w:spacing w:after="120" w:line="22" w:lineRule="atLeast"/>
        <w:ind w:left="2268" w:hanging="567"/>
      </w:pPr>
      <w:r>
        <w:t xml:space="preserve">Subpart 1 of </w:t>
      </w:r>
      <w:r w:rsidR="00D53361" w:rsidRPr="00D53361">
        <w:t xml:space="preserve">Part 3 </w:t>
      </w:r>
      <w:r>
        <w:t>- specification of price;</w:t>
      </w:r>
    </w:p>
    <w:p w:rsidR="0021025E" w:rsidRDefault="0068070A" w:rsidP="00984F71">
      <w:pPr>
        <w:pStyle w:val="Para4"/>
        <w:tabs>
          <w:tab w:val="clear" w:pos="2835"/>
          <w:tab w:val="num" w:pos="2268"/>
        </w:tabs>
        <w:spacing w:after="120" w:line="22" w:lineRule="atLeast"/>
        <w:ind w:left="2268" w:hanging="567"/>
      </w:pPr>
      <w:r>
        <w:t>Subpart 2 of Part 3 – amalgamations;</w:t>
      </w:r>
    </w:p>
    <w:p w:rsidR="0021025E" w:rsidRDefault="00284778" w:rsidP="00984F71">
      <w:pPr>
        <w:pStyle w:val="Para4"/>
        <w:tabs>
          <w:tab w:val="clear" w:pos="2835"/>
          <w:tab w:val="num" w:pos="2268"/>
        </w:tabs>
        <w:spacing w:after="120" w:line="22" w:lineRule="atLeast"/>
        <w:ind w:left="2268" w:hanging="567"/>
      </w:pPr>
      <w:r>
        <w:t>Subpart 1 of Part 4 – cost allocation</w:t>
      </w:r>
      <w:r w:rsidR="005C0073">
        <w:t>;</w:t>
      </w:r>
    </w:p>
    <w:p w:rsidR="0021025E" w:rsidRDefault="00284778" w:rsidP="00984F71">
      <w:pPr>
        <w:pStyle w:val="Para4"/>
        <w:tabs>
          <w:tab w:val="clear" w:pos="2835"/>
          <w:tab w:val="num" w:pos="2268"/>
        </w:tabs>
        <w:spacing w:after="120" w:line="22" w:lineRule="atLeast"/>
        <w:ind w:left="2268" w:hanging="567"/>
      </w:pPr>
      <w:r>
        <w:t>Subpart 2 of Part 4 – asset valuation</w:t>
      </w:r>
      <w:r w:rsidR="005C0073">
        <w:t>;</w:t>
      </w:r>
    </w:p>
    <w:p w:rsidR="0021025E" w:rsidRDefault="00284778" w:rsidP="00984F71">
      <w:pPr>
        <w:pStyle w:val="Para4"/>
        <w:tabs>
          <w:tab w:val="clear" w:pos="2835"/>
          <w:tab w:val="num" w:pos="2268"/>
        </w:tabs>
        <w:spacing w:after="120" w:line="22" w:lineRule="atLeast"/>
        <w:ind w:left="2268" w:hanging="567"/>
      </w:pPr>
      <w:r>
        <w:t>Subpart 3 of Part 4 – treatment of taxation</w:t>
      </w:r>
      <w:r w:rsidR="005C0073">
        <w:t>;</w:t>
      </w:r>
    </w:p>
    <w:p w:rsidR="0021025E" w:rsidRDefault="00284778" w:rsidP="00984F71">
      <w:pPr>
        <w:pStyle w:val="Para4"/>
        <w:tabs>
          <w:tab w:val="clear" w:pos="2835"/>
          <w:tab w:val="num" w:pos="2268"/>
        </w:tabs>
        <w:spacing w:after="120" w:line="22" w:lineRule="atLeast"/>
        <w:ind w:left="2268" w:hanging="567"/>
      </w:pPr>
      <w:r>
        <w:t>Subpart 4 of Part 4 – cost of capital</w:t>
      </w:r>
      <w:r w:rsidR="005C0073">
        <w:t xml:space="preserve">; </w:t>
      </w:r>
    </w:p>
    <w:p w:rsidR="0021025E" w:rsidRDefault="009C50FB" w:rsidP="00984F71">
      <w:pPr>
        <w:pStyle w:val="Para4"/>
        <w:tabs>
          <w:tab w:val="clear" w:pos="2835"/>
          <w:tab w:val="num" w:pos="2268"/>
        </w:tabs>
        <w:spacing w:after="120" w:line="22" w:lineRule="atLeast"/>
        <w:ind w:left="2268" w:hanging="567"/>
      </w:pPr>
      <w:r>
        <w:t>Subpart 5 of Part 4 – reconsideration of the default price-quality path</w:t>
      </w:r>
      <w:r w:rsidR="006F6D8C">
        <w:t>;</w:t>
      </w:r>
    </w:p>
    <w:p w:rsidR="0021025E" w:rsidRDefault="00284778" w:rsidP="00984F71">
      <w:pPr>
        <w:pStyle w:val="Para4"/>
        <w:tabs>
          <w:tab w:val="clear" w:pos="2835"/>
          <w:tab w:val="num" w:pos="2268"/>
        </w:tabs>
        <w:spacing w:after="120" w:line="22" w:lineRule="atLeast"/>
        <w:ind w:left="2268" w:hanging="567"/>
      </w:pPr>
      <w:r>
        <w:t>Subpart 6 of Part 4 – treatment of periods that are not 12 month periods</w:t>
      </w:r>
      <w:r w:rsidR="00DA21EA">
        <w:t>;</w:t>
      </w:r>
      <w:r>
        <w:t xml:space="preserve"> </w:t>
      </w:r>
    </w:p>
    <w:p w:rsidR="0021025E" w:rsidRDefault="00DA21EA" w:rsidP="00984F71">
      <w:pPr>
        <w:pStyle w:val="Para4"/>
        <w:tabs>
          <w:tab w:val="clear" w:pos="2835"/>
          <w:tab w:val="num" w:pos="2268"/>
        </w:tabs>
        <w:spacing w:after="120" w:line="22" w:lineRule="atLeast"/>
        <w:ind w:left="2268" w:hanging="567"/>
      </w:pPr>
      <w:r>
        <w:t>Subpart 7 of Part 4 – availability of information; and</w:t>
      </w:r>
    </w:p>
    <w:p w:rsidR="0021025E" w:rsidRDefault="00DA21EA" w:rsidP="00984F71">
      <w:pPr>
        <w:pStyle w:val="Para4"/>
        <w:tabs>
          <w:tab w:val="clear" w:pos="2835"/>
          <w:tab w:val="num" w:pos="2268"/>
        </w:tabs>
        <w:spacing w:after="120" w:line="22" w:lineRule="atLeast"/>
        <w:ind w:left="2268" w:hanging="567"/>
      </w:pPr>
      <w:r>
        <w:t>Subpart 8 of Part 4 – transitional provision for Power</w:t>
      </w:r>
      <w:r w:rsidR="00E06BAB">
        <w:t>c</w:t>
      </w:r>
      <w:r>
        <w:t>o.</w:t>
      </w:r>
    </w:p>
    <w:p w:rsidR="0048622D" w:rsidRDefault="00D53361" w:rsidP="0048622D">
      <w:pPr>
        <w:pStyle w:val="Heading1"/>
      </w:pPr>
      <w:bookmarkStart w:id="8" w:name="_Toc348091307"/>
      <w:r w:rsidRPr="00D53361">
        <w:t>Customised price-quality path proposals</w:t>
      </w:r>
      <w:bookmarkEnd w:id="8"/>
    </w:p>
    <w:p w:rsidR="00D53361" w:rsidRPr="00D53361" w:rsidRDefault="00D53361" w:rsidP="008A5C53">
      <w:pPr>
        <w:pStyle w:val="BodyTextIndent"/>
      </w:pPr>
      <w:r w:rsidRPr="00D53361">
        <w:t xml:space="preserve">A </w:t>
      </w:r>
      <w:r w:rsidRPr="00D53361">
        <w:rPr>
          <w:b/>
        </w:rPr>
        <w:t>CPP proposal</w:t>
      </w:r>
      <w:r w:rsidRPr="00D53361">
        <w:t xml:space="preserve"> may be submitted to the </w:t>
      </w:r>
      <w:r w:rsidRPr="00D53361">
        <w:rPr>
          <w:b/>
        </w:rPr>
        <w:t>Commission</w:t>
      </w:r>
      <w:r w:rsidRPr="00D53361">
        <w:t xml:space="preserve"> at any time before 1 October </w:t>
      </w:r>
      <w:r w:rsidR="0068070A" w:rsidRPr="00D53361">
        <w:t>201</w:t>
      </w:r>
      <w:r w:rsidR="0068070A">
        <w:t>6</w:t>
      </w:r>
      <w:bookmarkStart w:id="9" w:name="_GoBack"/>
      <w:bookmarkEnd w:id="9"/>
      <w:r w:rsidRPr="00D53361">
        <w:t>.</w:t>
      </w:r>
    </w:p>
    <w:p w:rsidR="0048622D" w:rsidRDefault="00D53361" w:rsidP="0048622D">
      <w:pPr>
        <w:pStyle w:val="Heading1"/>
      </w:pPr>
      <w:bookmarkStart w:id="10" w:name="_Toc348091308"/>
      <w:r w:rsidRPr="00D53361">
        <w:t>Price path</w:t>
      </w:r>
      <w:bookmarkEnd w:id="10"/>
    </w:p>
    <w:p w:rsidR="00D53361" w:rsidRPr="00D53361" w:rsidRDefault="00D53361" w:rsidP="00564348">
      <w:pPr>
        <w:pStyle w:val="Heading3"/>
        <w:ind w:firstLine="709"/>
      </w:pPr>
      <w:r w:rsidRPr="00D53361">
        <w:t xml:space="preserve">Starting </w:t>
      </w:r>
      <w:r w:rsidRPr="008A5C53">
        <w:t>prices</w:t>
      </w:r>
    </w:p>
    <w:p w:rsidR="00D53361" w:rsidRPr="00D53361" w:rsidRDefault="00D53361" w:rsidP="008A5C53">
      <w:pPr>
        <w:pStyle w:val="Para2"/>
        <w:rPr>
          <w:b/>
          <w:bCs/>
          <w:iCs/>
        </w:rPr>
      </w:pPr>
      <w:r w:rsidRPr="008A5C53">
        <w:t xml:space="preserve">The starting </w:t>
      </w:r>
      <w:r w:rsidR="006256E3" w:rsidRPr="006256E3">
        <w:t>prices</w:t>
      </w:r>
      <w:r w:rsidRPr="008A5C53">
        <w:t xml:space="preserve"> that apply</w:t>
      </w:r>
      <w:r w:rsidR="00DA21EA">
        <w:t xml:space="preserve"> to</w:t>
      </w:r>
      <w:r w:rsidRPr="008A5C53">
        <w:t xml:space="preserve"> the </w:t>
      </w:r>
      <w:r w:rsidRPr="008A5C53">
        <w:rPr>
          <w:b/>
        </w:rPr>
        <w:t>regulatory p</w:t>
      </w:r>
      <w:r w:rsidR="008A5C53" w:rsidRPr="008A5C53">
        <w:rPr>
          <w:b/>
        </w:rPr>
        <w:t>eriod</w:t>
      </w:r>
      <w:r w:rsidR="008A5C53">
        <w:t xml:space="preserve"> are </w:t>
      </w:r>
      <w:r w:rsidR="00951603">
        <w:t xml:space="preserve">as </w:t>
      </w:r>
      <w:r w:rsidR="008A5C53">
        <w:t>set out in Schedule </w:t>
      </w:r>
      <w:r w:rsidR="006B3E1C">
        <w:t>1</w:t>
      </w:r>
      <w:r w:rsidR="008A5C53">
        <w:t>.</w:t>
      </w:r>
      <w:r w:rsidRPr="008A5C53">
        <w:t xml:space="preserve"> </w:t>
      </w:r>
    </w:p>
    <w:p w:rsidR="00D53361" w:rsidRPr="008A5C53" w:rsidRDefault="00D53361" w:rsidP="00564348">
      <w:pPr>
        <w:pStyle w:val="Heading3"/>
        <w:ind w:firstLine="709"/>
      </w:pPr>
      <w:r w:rsidRPr="008A5C53">
        <w:t>Rate of change</w:t>
      </w:r>
    </w:p>
    <w:p w:rsidR="00D53361" w:rsidRDefault="00D53361" w:rsidP="008A5C53">
      <w:pPr>
        <w:pStyle w:val="Para2"/>
      </w:pPr>
      <w:r w:rsidRPr="008A5C53">
        <w:t xml:space="preserve">The annual rate of change, relative to the </w:t>
      </w:r>
      <w:r w:rsidRPr="00E35DA5">
        <w:rPr>
          <w:b/>
        </w:rPr>
        <w:t>CPI</w:t>
      </w:r>
      <w:r w:rsidRPr="008A5C53">
        <w:t xml:space="preserve">, that is allowed during the </w:t>
      </w:r>
      <w:r w:rsidRPr="00E35DA5">
        <w:rPr>
          <w:b/>
        </w:rPr>
        <w:t>regulatory period</w:t>
      </w:r>
      <w:r w:rsidRPr="008A5C53">
        <w:t xml:space="preserve"> is set out in Schedule </w:t>
      </w:r>
      <w:r w:rsidR="006B3E1C">
        <w:t>2</w:t>
      </w:r>
      <w:r w:rsidRPr="008A5C53">
        <w:t>.</w:t>
      </w:r>
    </w:p>
    <w:p w:rsidR="00951603" w:rsidRDefault="00951603" w:rsidP="00951603">
      <w:pPr>
        <w:pStyle w:val="Heading3"/>
        <w:ind w:firstLine="709"/>
      </w:pPr>
      <w:r>
        <w:t>Allowable notional revenue</w:t>
      </w:r>
    </w:p>
    <w:p w:rsidR="006652C9" w:rsidRDefault="00951603">
      <w:pPr>
        <w:pStyle w:val="Para2"/>
        <w:rPr>
          <w:i/>
        </w:rPr>
      </w:pPr>
      <w:r>
        <w:t xml:space="preserve">Allowable notional revenue </w:t>
      </w:r>
      <w:r w:rsidR="00867EA4" w:rsidRPr="00793D4C">
        <w:t>determined under this clause</w:t>
      </w:r>
      <w:r w:rsidR="00867EA4">
        <w:t xml:space="preserve"> </w:t>
      </w:r>
      <w:r w:rsidR="004E43C3">
        <w:t>specifies</w:t>
      </w:r>
      <w:r w:rsidR="00DA21EA">
        <w:t xml:space="preserve"> </w:t>
      </w:r>
      <w:r>
        <w:t xml:space="preserve">the maximum </w:t>
      </w:r>
      <w:r w:rsidR="0048622D" w:rsidRPr="0048622D">
        <w:rPr>
          <w:b/>
        </w:rPr>
        <w:t>prices</w:t>
      </w:r>
      <w:r w:rsidR="00DA21EA">
        <w:t xml:space="preserve"> </w:t>
      </w:r>
      <w:r>
        <w:t xml:space="preserve">that may be charged during an </w:t>
      </w:r>
      <w:r w:rsidR="0048622D" w:rsidRPr="0048622D">
        <w:rPr>
          <w:b/>
        </w:rPr>
        <w:t>assessment period.</w:t>
      </w:r>
      <w:r>
        <w:t xml:space="preserve"> </w:t>
      </w:r>
    </w:p>
    <w:p w:rsidR="00692B0E" w:rsidRDefault="00692B0E" w:rsidP="00692B0E">
      <w:pPr>
        <w:pStyle w:val="Heading3"/>
        <w:ind w:firstLine="709"/>
      </w:pPr>
      <w:r>
        <w:t>Compliance with the price path</w:t>
      </w:r>
    </w:p>
    <w:p w:rsidR="00692B0E" w:rsidRDefault="00692B0E" w:rsidP="00692B0E">
      <w:pPr>
        <w:pStyle w:val="Para2"/>
      </w:pPr>
      <w:r>
        <w:t>The notional revenue of a</w:t>
      </w:r>
      <w:r w:rsidR="0048622D" w:rsidRPr="0048622D">
        <w:rPr>
          <w:b/>
        </w:rPr>
        <w:t xml:space="preserve"> </w:t>
      </w:r>
      <w:proofErr w:type="spellStart"/>
      <w:r w:rsidR="00FC4268" w:rsidRPr="00FC4268">
        <w:rPr>
          <w:b/>
        </w:rPr>
        <w:t>GDB</w:t>
      </w:r>
      <w:proofErr w:type="spellEnd"/>
      <w:r w:rsidR="003E4D5E">
        <w:t xml:space="preserve"> </w:t>
      </w:r>
      <w:r w:rsidR="00E2393F">
        <w:t>for</w:t>
      </w:r>
      <w:r>
        <w:t xml:space="preserve"> the </w:t>
      </w:r>
      <w:r w:rsidR="0048622D" w:rsidRPr="0048622D">
        <w:rPr>
          <w:b/>
        </w:rPr>
        <w:t>assessm</w:t>
      </w:r>
      <w:r w:rsidR="0048622D" w:rsidRPr="00867EA4">
        <w:rPr>
          <w:b/>
        </w:rPr>
        <w:t>ent pe</w:t>
      </w:r>
      <w:r w:rsidR="0048622D" w:rsidRPr="0048622D">
        <w:rPr>
          <w:b/>
        </w:rPr>
        <w:t>riod</w:t>
      </w:r>
      <w:r w:rsidR="00DA21EA">
        <w:t xml:space="preserve"> </w:t>
      </w:r>
      <w:r>
        <w:t xml:space="preserve">must not exceed the </w:t>
      </w:r>
      <w:r w:rsidR="00DA21EA">
        <w:t>a</w:t>
      </w:r>
      <w:r>
        <w:t>llowa</w:t>
      </w:r>
      <w:r w:rsidR="006256E3" w:rsidRPr="006256E3">
        <w:rPr>
          <w:b/>
        </w:rPr>
        <w:t>ble notional reven</w:t>
      </w:r>
      <w:r>
        <w:t>ue</w:t>
      </w:r>
      <w:r w:rsidR="006256E3" w:rsidRPr="006256E3">
        <w:rPr>
          <w:i/>
        </w:rPr>
        <w:t xml:space="preserve"> </w:t>
      </w:r>
      <w:r>
        <w:t xml:space="preserve">for the </w:t>
      </w:r>
      <w:r w:rsidR="0048622D" w:rsidRPr="0048622D">
        <w:rPr>
          <w:b/>
        </w:rPr>
        <w:t>assessment period</w:t>
      </w:r>
      <w:r>
        <w:t>, such that:</w:t>
      </w:r>
    </w:p>
    <w:p w:rsidR="007F2A3B" w:rsidRDefault="007F2A3B" w:rsidP="00EC63FD">
      <w:pPr>
        <w:pStyle w:val="Para3"/>
      </w:pPr>
      <w:r>
        <w:t xml:space="preserve">for the </w:t>
      </w:r>
      <w:r w:rsidRPr="00EC63FD">
        <w:rPr>
          <w:b/>
        </w:rPr>
        <w:t>first assessment period</w:t>
      </w:r>
      <w:r>
        <w:t xml:space="preserve"> –</w:t>
      </w:r>
    </w:p>
    <w:p w:rsidR="007F2A3B" w:rsidRPr="007F2A3B" w:rsidRDefault="007F2A3B" w:rsidP="00EC63FD">
      <w:pPr>
        <w:pStyle w:val="BodyText"/>
        <w:ind w:left="2126"/>
        <w:rPr>
          <w:color w:val="000000"/>
          <w:szCs w:val="24"/>
          <w:lang w:eastAsia="en-US"/>
        </w:rPr>
      </w:pPr>
      <w:r w:rsidRPr="007267DA">
        <w:object w:dxaOrig="46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55pt;height:18.15pt" o:ole="">
            <v:imagedata r:id="rId8" o:title=""/>
          </v:shape>
          <o:OLEObject Type="Embed" ProgID="Equation.3" ShapeID="_x0000_i1025" DrawAspect="Content" ObjectID="_1421844980" r:id="rId9"/>
        </w:object>
      </w:r>
    </w:p>
    <w:p w:rsidR="007F2A3B" w:rsidRDefault="007F2A3B" w:rsidP="00EC63FD">
      <w:pPr>
        <w:pStyle w:val="Para3"/>
      </w:pPr>
      <w:r>
        <w:t xml:space="preserve">for each </w:t>
      </w:r>
      <w:r w:rsidRPr="00EC63FD">
        <w:rPr>
          <w:b/>
        </w:rPr>
        <w:t>assessment period</w:t>
      </w:r>
      <w:r>
        <w:t xml:space="preserve"> after the </w:t>
      </w:r>
      <w:r w:rsidRPr="00EC63FD">
        <w:rPr>
          <w:b/>
        </w:rPr>
        <w:t>first assessment period</w:t>
      </w:r>
      <w:r>
        <w:t xml:space="preserve"> –</w:t>
      </w:r>
    </w:p>
    <w:p w:rsidR="00C67AA5" w:rsidRDefault="002F38F4" w:rsidP="00EC63FD">
      <w:pPr>
        <w:pStyle w:val="Heading3"/>
        <w:ind w:left="1418" w:firstLine="709"/>
      </w:pPr>
      <w:r w:rsidRPr="002F38F4">
        <w:rPr>
          <w:position w:val="-12"/>
        </w:rPr>
        <w:object w:dxaOrig="1200" w:dyaOrig="380">
          <v:shape id="_x0000_i1026" type="#_x0000_t75" style="width:63.25pt;height:18.15pt" o:ole="">
            <v:imagedata r:id="rId10" o:title=""/>
          </v:shape>
          <o:OLEObject Type="Embed" ProgID="Equation.3" ShapeID="_x0000_i1026" DrawAspect="Content" ObjectID="_1421844981" r:id="rId11"/>
        </w:object>
      </w:r>
    </w:p>
    <w:p w:rsidR="0048622D" w:rsidRDefault="007F2A3B" w:rsidP="00EC63FD">
      <w:pPr>
        <w:pStyle w:val="Para2"/>
      </w:pPr>
      <w:r>
        <w:t>For the purposes of calculating notional revenue and allowable notional revenue in clause 8.4</w:t>
      </w:r>
      <w:r w:rsidR="00692B0E">
        <w:t>:</w:t>
      </w:r>
    </w:p>
    <w:p w:rsidR="00F8547D" w:rsidRDefault="00F8547D" w:rsidP="00F8547D">
      <w:pPr>
        <w:pStyle w:val="Para3"/>
      </w:pPr>
      <w:r>
        <w:t>n</w:t>
      </w:r>
      <w:r w:rsidRPr="00C05311">
        <w:t>otional revenue</w:t>
      </w:r>
      <w:r>
        <w:t xml:space="preserve"> for the </w:t>
      </w:r>
      <w:r>
        <w:rPr>
          <w:b/>
        </w:rPr>
        <w:t xml:space="preserve">pricing period </w:t>
      </w:r>
      <w:r w:rsidRPr="002F28C5">
        <w:t>ending in year</w:t>
      </w:r>
      <w:r>
        <w:t xml:space="preserve"> </w:t>
      </w:r>
      <w:r w:rsidRPr="006D25BD">
        <w:t>t</w:t>
      </w:r>
      <w:r>
        <w:t xml:space="preserve"> is </w:t>
      </w:r>
      <w:proofErr w:type="spellStart"/>
      <w:r>
        <w:t>NR</w:t>
      </w:r>
      <w:r w:rsidRPr="004F2427">
        <w:rPr>
          <w:vertAlign w:val="subscript"/>
        </w:rPr>
        <w:t>t</w:t>
      </w:r>
      <w:proofErr w:type="spellEnd"/>
      <w:r>
        <w:t>, where:</w:t>
      </w:r>
    </w:p>
    <w:p w:rsidR="0048622D" w:rsidRDefault="00692B0E" w:rsidP="0048622D">
      <w:pPr>
        <w:pStyle w:val="BodyText"/>
        <w:ind w:left="1414" w:firstLine="709"/>
        <w:rPr>
          <w:position w:val="-28"/>
        </w:rPr>
      </w:pPr>
      <w:r w:rsidRPr="00AB4F72">
        <w:rPr>
          <w:position w:val="-28"/>
        </w:rPr>
        <w:object w:dxaOrig="2720" w:dyaOrig="540">
          <v:shape id="_x0000_i1027" type="#_x0000_t75" style="width:136.5pt;height:26.9pt" o:ole="" fillcolor="window">
            <v:imagedata r:id="rId12" o:title=""/>
          </v:shape>
          <o:OLEObject Type="Embed" ProgID="Equation.3" ShapeID="_x0000_i1027" DrawAspect="Content" ObjectID="_1421844982" r:id="rId13"/>
        </w:object>
      </w:r>
    </w:p>
    <w:p w:rsidR="00692B0E" w:rsidRDefault="00692B0E" w:rsidP="00692B0E">
      <w:pPr>
        <w:pStyle w:val="BodyText"/>
        <w:ind w:left="709"/>
      </w:pPr>
      <w:r>
        <w:rPr>
          <w:position w:val="-28"/>
        </w:rPr>
        <w:tab/>
      </w:r>
      <w:r w:rsidR="009C50FB">
        <w:rPr>
          <w:position w:val="-28"/>
        </w:rPr>
        <w:tab/>
      </w:r>
      <w:proofErr w:type="gramStart"/>
      <w:r>
        <w:rPr>
          <w:position w:val="-28"/>
        </w:rPr>
        <w:t>where</w:t>
      </w:r>
      <w:proofErr w:type="gramEnd"/>
      <w:r>
        <w:rPr>
          <w:position w:val="-28"/>
        </w:rPr>
        <w:t>:</w:t>
      </w:r>
    </w:p>
    <w:tbl>
      <w:tblPr>
        <w:tblW w:w="6804" w:type="dxa"/>
        <w:tblInd w:w="2235" w:type="dxa"/>
        <w:tblLayout w:type="fixed"/>
        <w:tblLook w:val="01E0"/>
      </w:tblPr>
      <w:tblGrid>
        <w:gridCol w:w="868"/>
        <w:gridCol w:w="5936"/>
      </w:tblGrid>
      <w:tr w:rsidR="00692B0E" w:rsidRPr="003107B1" w:rsidDel="00020DDB" w:rsidTr="00F8547D">
        <w:trPr>
          <w:trHeight w:val="319"/>
        </w:trPr>
        <w:tc>
          <w:tcPr>
            <w:tcW w:w="868" w:type="dxa"/>
          </w:tcPr>
          <w:p w:rsidR="00692B0E" w:rsidRPr="00DC7E8A" w:rsidDel="00020DDB" w:rsidRDefault="00692B0E" w:rsidP="00E16CAF">
            <w:pPr>
              <w:pStyle w:val="Tablebodytext"/>
              <w:rPr>
                <w:i/>
                <w:position w:val="-12"/>
              </w:rPr>
            </w:pPr>
            <w:r w:rsidRPr="00DC7E8A">
              <w:rPr>
                <w:i/>
                <w:position w:val="-12"/>
              </w:rPr>
              <w:t>t</w:t>
            </w:r>
          </w:p>
        </w:tc>
        <w:tc>
          <w:tcPr>
            <w:tcW w:w="5936" w:type="dxa"/>
          </w:tcPr>
          <w:p w:rsidR="002F738A" w:rsidRDefault="00C5284E" w:rsidP="00E16CAF">
            <w:pPr>
              <w:pStyle w:val="Tablebodytext"/>
              <w:rPr>
                <w:rFonts w:asciiTheme="minorHAnsi" w:hAnsiTheme="minorHAnsi"/>
              </w:rPr>
            </w:pPr>
            <w:r>
              <w:rPr>
                <w:position w:val="-28"/>
              </w:rPr>
              <w:t>i</w:t>
            </w:r>
            <w:r w:rsidR="00E16CAF">
              <w:rPr>
                <w:position w:val="-28"/>
              </w:rPr>
              <w:t>s the</w:t>
            </w:r>
            <w:r w:rsidR="00692B0E">
              <w:rPr>
                <w:position w:val="-28"/>
              </w:rPr>
              <w:t xml:space="preserve"> </w:t>
            </w:r>
            <w:r w:rsidR="00A75457">
              <w:rPr>
                <w:position w:val="-28"/>
              </w:rPr>
              <w:t xml:space="preserve">year in which the </w:t>
            </w:r>
            <w:r w:rsidR="00A75457" w:rsidRPr="00A75457">
              <w:rPr>
                <w:b/>
                <w:position w:val="-28"/>
              </w:rPr>
              <w:t>pricing period</w:t>
            </w:r>
            <w:r w:rsidR="00A75457">
              <w:rPr>
                <w:position w:val="-28"/>
              </w:rPr>
              <w:t xml:space="preserve"> ends</w:t>
            </w:r>
            <w:r w:rsidR="00692B0E">
              <w:rPr>
                <w:position w:val="-28"/>
              </w:rPr>
              <w:t>;</w:t>
            </w:r>
          </w:p>
        </w:tc>
      </w:tr>
      <w:tr w:rsidR="00692B0E" w:rsidRPr="003107B1" w:rsidTr="00F8547D">
        <w:trPr>
          <w:trHeight w:val="400"/>
        </w:trPr>
        <w:tc>
          <w:tcPr>
            <w:tcW w:w="868" w:type="dxa"/>
          </w:tcPr>
          <w:p w:rsidR="00692B0E" w:rsidRPr="00EC63FD" w:rsidRDefault="00E91026" w:rsidP="00E16CAF">
            <w:pPr>
              <w:pStyle w:val="Tablebodytext"/>
              <w:rPr>
                <w:i/>
                <w:position w:val="-12"/>
              </w:rPr>
            </w:pPr>
            <w:proofErr w:type="spellStart"/>
            <w:r w:rsidRPr="00EC63FD">
              <w:rPr>
                <w:i/>
                <w:position w:val="-12"/>
              </w:rPr>
              <w:t>i</w:t>
            </w:r>
            <w:proofErr w:type="spellEnd"/>
          </w:p>
        </w:tc>
        <w:tc>
          <w:tcPr>
            <w:tcW w:w="5936" w:type="dxa"/>
          </w:tcPr>
          <w:p w:rsidR="00692B0E" w:rsidRPr="003107B1" w:rsidRDefault="007F2A3B" w:rsidP="00E16CAF">
            <w:pPr>
              <w:pStyle w:val="Tablebodytext"/>
              <w:rPr>
                <w:rFonts w:asciiTheme="minorHAnsi" w:hAnsiTheme="minorHAnsi"/>
              </w:rPr>
            </w:pPr>
            <w:r>
              <w:rPr>
                <w:position w:val="-28"/>
              </w:rPr>
              <w:t xml:space="preserve">is </w:t>
            </w:r>
            <w:r w:rsidR="00692B0E">
              <w:rPr>
                <w:position w:val="-28"/>
              </w:rPr>
              <w:t xml:space="preserve">each </w:t>
            </w:r>
            <w:r w:rsidR="0048622D" w:rsidRPr="0048622D">
              <w:rPr>
                <w:b/>
                <w:position w:val="-28"/>
              </w:rPr>
              <w:t>price</w:t>
            </w:r>
            <w:r w:rsidR="00731281">
              <w:rPr>
                <w:position w:val="-28"/>
              </w:rPr>
              <w:t xml:space="preserve"> </w:t>
            </w:r>
            <w:r w:rsidR="00692B0E">
              <w:rPr>
                <w:position w:val="-28"/>
              </w:rPr>
              <w:t xml:space="preserve">relating to a </w:t>
            </w:r>
            <w:r w:rsidR="0048622D" w:rsidRPr="0048622D">
              <w:rPr>
                <w:b/>
                <w:position w:val="-28"/>
              </w:rPr>
              <w:t>gas distribution service</w:t>
            </w:r>
            <w:r w:rsidR="006256E3" w:rsidRPr="006256E3">
              <w:rPr>
                <w:position w:val="-28"/>
              </w:rPr>
              <w:t>;</w:t>
            </w:r>
          </w:p>
        </w:tc>
      </w:tr>
      <w:tr w:rsidR="00692B0E" w:rsidRPr="003107B1" w:rsidTr="00F8547D">
        <w:trPr>
          <w:trHeight w:val="397"/>
        </w:trPr>
        <w:tc>
          <w:tcPr>
            <w:tcW w:w="868" w:type="dxa"/>
          </w:tcPr>
          <w:p w:rsidR="00692B0E" w:rsidRPr="00D53361" w:rsidRDefault="00692B0E" w:rsidP="00E16CAF">
            <w:pPr>
              <w:pStyle w:val="Tablebodytext"/>
              <w:rPr>
                <w:i/>
              </w:rPr>
            </w:pPr>
            <w:r w:rsidRPr="00413932">
              <w:rPr>
                <w:position w:val="-12"/>
              </w:rPr>
              <w:object w:dxaOrig="320" w:dyaOrig="340">
                <v:shape id="_x0000_i1028" type="#_x0000_t75" style="width:16.3pt;height:19.4pt" o:ole="">
                  <v:imagedata r:id="rId14" o:title=""/>
                </v:shape>
                <o:OLEObject Type="Embed" ProgID="Equation.3" ShapeID="_x0000_i1028" DrawAspect="Content" ObjectID="_1421844983" r:id="rId15"/>
              </w:object>
            </w:r>
          </w:p>
        </w:tc>
        <w:tc>
          <w:tcPr>
            <w:tcW w:w="5936" w:type="dxa"/>
          </w:tcPr>
          <w:p w:rsidR="008605D2" w:rsidRDefault="00692B0E" w:rsidP="00E16CAF">
            <w:pPr>
              <w:pStyle w:val="Tablebodytext"/>
              <w:rPr>
                <w:rFonts w:asciiTheme="minorHAnsi" w:hAnsiTheme="minorHAnsi"/>
                <w:i/>
              </w:rPr>
            </w:pPr>
            <w:r>
              <w:rPr>
                <w:rFonts w:asciiTheme="minorHAnsi" w:hAnsiTheme="minorHAnsi"/>
              </w:rPr>
              <w:t xml:space="preserve">is the </w:t>
            </w:r>
            <w:proofErr w:type="spellStart"/>
            <w:r>
              <w:rPr>
                <w:rFonts w:asciiTheme="minorHAnsi" w:hAnsiTheme="minorHAnsi"/>
              </w:rPr>
              <w:t>i</w:t>
            </w:r>
            <w:r w:rsidRPr="00DC7E8A">
              <w:rPr>
                <w:rFonts w:asciiTheme="minorHAnsi" w:hAnsiTheme="minorHAnsi"/>
                <w:vertAlign w:val="superscript"/>
              </w:rPr>
              <w:t>th</w:t>
            </w:r>
            <w:proofErr w:type="spellEnd"/>
            <w:r>
              <w:rPr>
                <w:rFonts w:asciiTheme="minorHAnsi" w:hAnsiTheme="minorHAnsi"/>
                <w:vertAlign w:val="superscript"/>
              </w:rPr>
              <w:t xml:space="preserve"> </w:t>
            </w:r>
            <w:r w:rsidR="0048622D" w:rsidRPr="0048622D">
              <w:rPr>
                <w:rFonts w:asciiTheme="minorHAnsi" w:hAnsiTheme="minorHAnsi"/>
                <w:b/>
              </w:rPr>
              <w:t>price</w:t>
            </w:r>
            <w:r>
              <w:rPr>
                <w:rFonts w:asciiTheme="minorHAnsi" w:hAnsiTheme="minorHAnsi"/>
              </w:rPr>
              <w:t xml:space="preserve"> </w:t>
            </w:r>
            <w:r w:rsidR="002B75A3">
              <w:rPr>
                <w:rFonts w:asciiTheme="minorHAnsi" w:hAnsiTheme="minorHAnsi"/>
              </w:rPr>
              <w:t xml:space="preserve">for </w:t>
            </w:r>
            <w:r>
              <w:rPr>
                <w:rFonts w:asciiTheme="minorHAnsi" w:hAnsiTheme="minorHAnsi"/>
              </w:rPr>
              <w:t xml:space="preserve">any part of </w:t>
            </w:r>
            <w:r w:rsidR="00A75457">
              <w:rPr>
                <w:rFonts w:asciiTheme="minorHAnsi" w:hAnsiTheme="minorHAnsi"/>
              </w:rPr>
              <w:t xml:space="preserve">the </w:t>
            </w:r>
            <w:r w:rsidR="00A75457" w:rsidRPr="00A75457">
              <w:rPr>
                <w:rFonts w:asciiTheme="minorHAnsi" w:hAnsiTheme="minorHAnsi"/>
                <w:b/>
              </w:rPr>
              <w:t>pricing period</w:t>
            </w:r>
            <w:r w:rsidR="006256E3" w:rsidRPr="006256E3">
              <w:rPr>
                <w:rFonts w:asciiTheme="minorHAnsi" w:hAnsiTheme="minorHAnsi"/>
              </w:rPr>
              <w:t>;</w:t>
            </w:r>
            <w:r w:rsidR="004018A8">
              <w:rPr>
                <w:rFonts w:asciiTheme="minorHAnsi" w:hAnsiTheme="minorHAnsi"/>
                <w:i/>
              </w:rPr>
              <w:t xml:space="preserve"> </w:t>
            </w:r>
          </w:p>
        </w:tc>
      </w:tr>
      <w:tr w:rsidR="00692B0E" w:rsidRPr="003107B1" w:rsidTr="00F8547D">
        <w:trPr>
          <w:trHeight w:val="397"/>
        </w:trPr>
        <w:tc>
          <w:tcPr>
            <w:tcW w:w="868" w:type="dxa"/>
          </w:tcPr>
          <w:p w:rsidR="00692B0E" w:rsidRPr="00413932" w:rsidRDefault="00692B0E" w:rsidP="00E16CAF">
            <w:pPr>
              <w:pStyle w:val="Tablebodytext"/>
              <w:rPr>
                <w:position w:val="-12"/>
              </w:rPr>
            </w:pPr>
            <w:r w:rsidRPr="00413932">
              <w:rPr>
                <w:position w:val="-18"/>
              </w:rPr>
              <w:object w:dxaOrig="620" w:dyaOrig="400">
                <v:shape id="_x0000_i1029" type="#_x0000_t75" style="width:31.95pt;height:19.4pt" o:ole="">
                  <v:imagedata r:id="rId16" o:title=""/>
                </v:shape>
                <o:OLEObject Type="Embed" ProgID="Equation.3" ShapeID="_x0000_i1029" DrawAspect="Content" ObjectID="_1421844984" r:id="rId17"/>
              </w:object>
            </w:r>
          </w:p>
        </w:tc>
        <w:tc>
          <w:tcPr>
            <w:tcW w:w="5936" w:type="dxa"/>
          </w:tcPr>
          <w:p w:rsidR="00692B0E" w:rsidRPr="00AD6BDC" w:rsidRDefault="00692B0E" w:rsidP="00E16CAF">
            <w:pPr>
              <w:pStyle w:val="Tablebodytext"/>
            </w:pPr>
            <w:r w:rsidRPr="00AD6BDC">
              <w:t xml:space="preserve">is the </w:t>
            </w:r>
            <w:r w:rsidR="0048622D" w:rsidRPr="0048622D">
              <w:rPr>
                <w:b/>
              </w:rPr>
              <w:t>quantity</w:t>
            </w:r>
            <w:r w:rsidR="00731281" w:rsidRPr="00AD6BDC">
              <w:t xml:space="preserve"> </w:t>
            </w:r>
            <w:r w:rsidRPr="00AD6BDC">
              <w:t xml:space="preserve">corresponding to the </w:t>
            </w:r>
            <w:proofErr w:type="spellStart"/>
            <w:r w:rsidRPr="00A75457">
              <w:t>i</w:t>
            </w:r>
            <w:r w:rsidRPr="00A75457">
              <w:rPr>
                <w:vertAlign w:val="superscript"/>
              </w:rPr>
              <w:t>t</w:t>
            </w:r>
            <w:r w:rsidRPr="00DC7E8A">
              <w:rPr>
                <w:vertAlign w:val="superscript"/>
              </w:rPr>
              <w:t>h</w:t>
            </w:r>
            <w:proofErr w:type="spellEnd"/>
            <w:r w:rsidRPr="00AD6BDC">
              <w:t xml:space="preserve"> </w:t>
            </w:r>
            <w:r w:rsidR="0048622D" w:rsidRPr="0048622D">
              <w:rPr>
                <w:b/>
              </w:rPr>
              <w:t>price</w:t>
            </w:r>
            <w:r w:rsidRPr="00AD6BDC">
              <w:t xml:space="preserve"> during </w:t>
            </w:r>
            <w:r>
              <w:t>the</w:t>
            </w:r>
            <w:r w:rsidR="00B658DC">
              <w:t xml:space="preserve"> </w:t>
            </w:r>
            <w:r w:rsidR="00A75457" w:rsidRPr="00E16CAF">
              <w:rPr>
                <w:b/>
              </w:rPr>
              <w:t>pricing period</w:t>
            </w:r>
            <w:r w:rsidR="00A75457">
              <w:t xml:space="preserve"> </w:t>
            </w:r>
            <w:r w:rsidR="00867EA4">
              <w:t xml:space="preserve">ending in year </w:t>
            </w:r>
            <w:r w:rsidRPr="00A75457">
              <w:t>t-</w:t>
            </w:r>
            <w:r w:rsidR="0048622D" w:rsidRPr="00A75457">
              <w:t>2</w:t>
            </w:r>
            <w:r w:rsidR="00B658DC">
              <w:t>;</w:t>
            </w:r>
          </w:p>
        </w:tc>
      </w:tr>
      <w:tr w:rsidR="00692B0E" w:rsidRPr="003107B1" w:rsidTr="00F8547D">
        <w:trPr>
          <w:trHeight w:val="397"/>
        </w:trPr>
        <w:tc>
          <w:tcPr>
            <w:tcW w:w="868" w:type="dxa"/>
          </w:tcPr>
          <w:p w:rsidR="00692B0E" w:rsidRPr="00413932" w:rsidRDefault="00692B0E" w:rsidP="00E16CAF">
            <w:pPr>
              <w:pStyle w:val="Tablebodytext"/>
              <w:rPr>
                <w:position w:val="-12"/>
              </w:rPr>
            </w:pPr>
            <w:r>
              <w:rPr>
                <w:position w:val="-12"/>
              </w:rPr>
              <w:t>K</w:t>
            </w:r>
            <w:r w:rsidRPr="00DC7E8A">
              <w:rPr>
                <w:position w:val="-12"/>
                <w:vertAlign w:val="subscript"/>
              </w:rPr>
              <w:t>t</w:t>
            </w:r>
          </w:p>
        </w:tc>
        <w:tc>
          <w:tcPr>
            <w:tcW w:w="5936" w:type="dxa"/>
          </w:tcPr>
          <w:p w:rsidR="002F738A" w:rsidRDefault="00692B0E" w:rsidP="00EA174D">
            <w:pPr>
              <w:pStyle w:val="Tablebodytext"/>
            </w:pPr>
            <w:r>
              <w:t xml:space="preserve">is the sum of all </w:t>
            </w:r>
            <w:r w:rsidR="0048622D" w:rsidRPr="0048622D">
              <w:rPr>
                <w:b/>
              </w:rPr>
              <w:t>pass-through costs</w:t>
            </w:r>
            <w:r w:rsidR="00731281">
              <w:t xml:space="preserve"> </w:t>
            </w:r>
            <w:r w:rsidR="002B75A3">
              <w:t>for</w:t>
            </w:r>
            <w:r w:rsidR="003506C1">
              <w:t xml:space="preserve"> the</w:t>
            </w:r>
            <w:r w:rsidR="002B75A3">
              <w:t xml:space="preserve"> </w:t>
            </w:r>
            <w:r w:rsidR="00E16CAF" w:rsidRPr="00E16CAF">
              <w:rPr>
                <w:b/>
              </w:rPr>
              <w:t>pricing period</w:t>
            </w:r>
            <w:r w:rsidR="00EA174D" w:rsidRPr="00EA174D">
              <w:t>,</w:t>
            </w:r>
            <w:r w:rsidR="00EA174D">
              <w:t xml:space="preserve"> determined in accordance with Schedule 5</w:t>
            </w:r>
            <w:r>
              <w:t>;</w:t>
            </w:r>
          </w:p>
        </w:tc>
      </w:tr>
      <w:tr w:rsidR="00692B0E" w:rsidRPr="003107B1" w:rsidTr="00F8547D">
        <w:trPr>
          <w:trHeight w:val="624"/>
        </w:trPr>
        <w:tc>
          <w:tcPr>
            <w:tcW w:w="868" w:type="dxa"/>
          </w:tcPr>
          <w:p w:rsidR="00692B0E" w:rsidRPr="00413932" w:rsidRDefault="00692B0E" w:rsidP="00E16CAF">
            <w:pPr>
              <w:pStyle w:val="Tablebodytext"/>
              <w:rPr>
                <w:position w:val="-12"/>
              </w:rPr>
            </w:pPr>
            <w:proofErr w:type="spellStart"/>
            <w:r>
              <w:rPr>
                <w:position w:val="-12"/>
              </w:rPr>
              <w:t>V</w:t>
            </w:r>
            <w:r w:rsidRPr="00DC7E8A">
              <w:rPr>
                <w:position w:val="-12"/>
                <w:vertAlign w:val="subscript"/>
              </w:rPr>
              <w:t>t</w:t>
            </w:r>
            <w:proofErr w:type="spellEnd"/>
          </w:p>
        </w:tc>
        <w:tc>
          <w:tcPr>
            <w:tcW w:w="5936" w:type="dxa"/>
          </w:tcPr>
          <w:p w:rsidR="002F738A" w:rsidRDefault="00692B0E" w:rsidP="003506C1">
            <w:pPr>
              <w:pStyle w:val="Tablebodytext"/>
            </w:pPr>
            <w:r>
              <w:t xml:space="preserve">is the sum of all </w:t>
            </w:r>
            <w:r w:rsidR="0048622D" w:rsidRPr="0048622D">
              <w:rPr>
                <w:b/>
              </w:rPr>
              <w:t>recoverable costs</w:t>
            </w:r>
            <w:r w:rsidR="00731281">
              <w:t xml:space="preserve"> </w:t>
            </w:r>
            <w:r w:rsidR="002B75A3">
              <w:t xml:space="preserve">for </w:t>
            </w:r>
            <w:r w:rsidR="003506C1">
              <w:t xml:space="preserve">the </w:t>
            </w:r>
            <w:r w:rsidR="00E16CAF" w:rsidRPr="00E16CAF">
              <w:rPr>
                <w:b/>
              </w:rPr>
              <w:t>pricing period</w:t>
            </w:r>
            <w:r w:rsidR="00EA174D" w:rsidRPr="00EA174D">
              <w:t>,</w:t>
            </w:r>
            <w:r w:rsidR="00EA174D">
              <w:t xml:space="preserve"> determined in accordance with Schedule 5</w:t>
            </w:r>
            <w:r>
              <w:t>;</w:t>
            </w:r>
            <w:r w:rsidR="00F8547D">
              <w:t xml:space="preserve"> and</w:t>
            </w:r>
          </w:p>
        </w:tc>
      </w:tr>
    </w:tbl>
    <w:p w:rsidR="00F8547D" w:rsidRDefault="00F8547D" w:rsidP="00F8547D">
      <w:pPr>
        <w:pStyle w:val="Para3"/>
        <w:numPr>
          <w:ilvl w:val="2"/>
          <w:numId w:val="111"/>
        </w:numPr>
      </w:pPr>
      <w:r>
        <w:t>allowable n</w:t>
      </w:r>
      <w:r w:rsidRPr="00C05311">
        <w:t>otional revenue</w:t>
      </w:r>
      <w:r>
        <w:t xml:space="preserve"> for the </w:t>
      </w:r>
      <w:r w:rsidRPr="00F8547D">
        <w:rPr>
          <w:b/>
        </w:rPr>
        <w:t xml:space="preserve">pricing period </w:t>
      </w:r>
      <w:r w:rsidRPr="002F28C5">
        <w:t>ending in year</w:t>
      </w:r>
      <w:r>
        <w:t xml:space="preserve"> </w:t>
      </w:r>
      <w:r w:rsidRPr="006D25BD">
        <w:t>t</w:t>
      </w:r>
      <w:r>
        <w:t xml:space="preserve"> is </w:t>
      </w:r>
      <w:proofErr w:type="spellStart"/>
      <w:r>
        <w:t>ANR</w:t>
      </w:r>
      <w:r w:rsidRPr="00F8547D">
        <w:rPr>
          <w:vertAlign w:val="subscript"/>
        </w:rPr>
        <w:t>t</w:t>
      </w:r>
      <w:proofErr w:type="spellEnd"/>
      <w:r>
        <w:t xml:space="preserve">, </w:t>
      </w:r>
      <w:r w:rsidRPr="00632188">
        <w:t>as specified in</w:t>
      </w:r>
      <w:r>
        <w:t>:</w:t>
      </w:r>
    </w:p>
    <w:p w:rsidR="00F8547D" w:rsidRDefault="00F8547D" w:rsidP="00F8547D">
      <w:pPr>
        <w:pStyle w:val="Para4"/>
        <w:numPr>
          <w:ilvl w:val="3"/>
          <w:numId w:val="111"/>
        </w:numPr>
      </w:pPr>
      <w:r>
        <w:t xml:space="preserve">Schedule 3 for the </w:t>
      </w:r>
      <w:r w:rsidRPr="0048622D">
        <w:rPr>
          <w:b/>
        </w:rPr>
        <w:t>first assessment period</w:t>
      </w:r>
      <w:r>
        <w:t>; and</w:t>
      </w:r>
    </w:p>
    <w:p w:rsidR="00F8547D" w:rsidRDefault="00F8547D" w:rsidP="00F8547D">
      <w:pPr>
        <w:pStyle w:val="Para4"/>
        <w:numPr>
          <w:ilvl w:val="3"/>
          <w:numId w:val="111"/>
        </w:numPr>
      </w:pPr>
      <w:r>
        <w:t xml:space="preserve">Schedule 4 for all other </w:t>
      </w:r>
      <w:r w:rsidRPr="0048622D">
        <w:rPr>
          <w:b/>
        </w:rPr>
        <w:t>assessment periods</w:t>
      </w:r>
      <w:r>
        <w:rPr>
          <w:b/>
        </w:rPr>
        <w:t>.</w:t>
      </w:r>
    </w:p>
    <w:p w:rsidR="0048622D" w:rsidRDefault="00574800" w:rsidP="0048622D">
      <w:pPr>
        <w:pStyle w:val="Para2"/>
        <w:numPr>
          <w:ilvl w:val="0"/>
          <w:numId w:val="0"/>
        </w:numPr>
        <w:ind w:left="1418" w:hanging="709"/>
        <w:rPr>
          <w:b/>
          <w:i/>
        </w:rPr>
      </w:pPr>
      <w:r w:rsidRPr="00574800">
        <w:rPr>
          <w:i/>
        </w:rPr>
        <w:t xml:space="preserve">Recovery of claw-back within the </w:t>
      </w:r>
      <w:r w:rsidR="006267BD">
        <w:rPr>
          <w:i/>
        </w:rPr>
        <w:t>r</w:t>
      </w:r>
      <w:r w:rsidR="006267BD" w:rsidRPr="00574800">
        <w:rPr>
          <w:i/>
        </w:rPr>
        <w:t xml:space="preserve">egulatory </w:t>
      </w:r>
      <w:r w:rsidR="006267BD">
        <w:rPr>
          <w:i/>
        </w:rPr>
        <w:t>p</w:t>
      </w:r>
      <w:r w:rsidR="006267BD" w:rsidRPr="00574800">
        <w:rPr>
          <w:i/>
        </w:rPr>
        <w:t>eriod</w:t>
      </w:r>
    </w:p>
    <w:p w:rsidR="0048622D" w:rsidRPr="0048622D" w:rsidRDefault="006256E3" w:rsidP="0048622D">
      <w:pPr>
        <w:pStyle w:val="Para2"/>
        <w:rPr>
          <w:b/>
          <w:bCs/>
        </w:rPr>
      </w:pPr>
      <w:r w:rsidRPr="006256E3">
        <w:t>A</w:t>
      </w:r>
      <w:r w:rsidR="00F80B8A">
        <w:rPr>
          <w:b/>
        </w:rPr>
        <w:t xml:space="preserve"> </w:t>
      </w:r>
      <w:proofErr w:type="spellStart"/>
      <w:r w:rsidR="0048622D" w:rsidRPr="0048622D">
        <w:rPr>
          <w:b/>
        </w:rPr>
        <w:t>GDB</w:t>
      </w:r>
      <w:proofErr w:type="spellEnd"/>
      <w:r w:rsidR="00574800" w:rsidRPr="00965A1A">
        <w:t xml:space="preserve"> listed in Schedule </w:t>
      </w:r>
      <w:r w:rsidR="00E035FB">
        <w:t xml:space="preserve">6 </w:t>
      </w:r>
      <w:r w:rsidR="00574800" w:rsidRPr="00965A1A">
        <w:t>must</w:t>
      </w:r>
      <w:r w:rsidR="00E91026" w:rsidRPr="00EC63FD">
        <w:t xml:space="preserve"> </w:t>
      </w:r>
      <w:r w:rsidR="00EA174D">
        <w:t>treat</w:t>
      </w:r>
      <w:r w:rsidR="00EA174D" w:rsidRPr="00965A1A">
        <w:t xml:space="preserve"> </w:t>
      </w:r>
      <w:r w:rsidR="00574800">
        <w:t>the</w:t>
      </w:r>
      <w:r w:rsidR="00574800" w:rsidRPr="00965A1A">
        <w:t xml:space="preserve"> claw-back amount calculated in accordance with that sche</w:t>
      </w:r>
      <w:r w:rsidR="00574800">
        <w:t>dule</w:t>
      </w:r>
      <w:r w:rsidR="00C7214C" w:rsidRPr="00965A1A">
        <w:t xml:space="preserve"> </w:t>
      </w:r>
      <w:r w:rsidR="0014623A">
        <w:t xml:space="preserve">as </w:t>
      </w:r>
      <w:r w:rsidR="00EA174D">
        <w:t xml:space="preserve">a </w:t>
      </w:r>
      <w:r w:rsidR="0014623A">
        <w:rPr>
          <w:b/>
        </w:rPr>
        <w:t>recoverable cost</w:t>
      </w:r>
      <w:r w:rsidR="003506C1" w:rsidRPr="003506C1">
        <w:t xml:space="preserve"> </w:t>
      </w:r>
      <w:r w:rsidR="00A72FA3">
        <w:t>when</w:t>
      </w:r>
      <w:r w:rsidR="003506C1">
        <w:t xml:space="preserve"> calculating their </w:t>
      </w:r>
      <w:r w:rsidR="003506C1" w:rsidRPr="003506C1">
        <w:t>allowable notional revenue and notional revenue for</w:t>
      </w:r>
      <w:r w:rsidR="003506C1">
        <w:t xml:space="preserve"> each</w:t>
      </w:r>
      <w:r w:rsidR="003506C1" w:rsidRPr="00965A1A">
        <w:t xml:space="preserve"> </w:t>
      </w:r>
      <w:r w:rsidR="003506C1" w:rsidRPr="00775B79">
        <w:rPr>
          <w:b/>
        </w:rPr>
        <w:t>assessment period</w:t>
      </w:r>
      <w:r w:rsidR="00D50503">
        <w:t>.</w:t>
      </w:r>
    </w:p>
    <w:p w:rsidR="0048622D" w:rsidRDefault="00D53361" w:rsidP="0048622D">
      <w:pPr>
        <w:pStyle w:val="Heading1"/>
      </w:pPr>
      <w:bookmarkStart w:id="11" w:name="_Toc348091309"/>
      <w:r w:rsidRPr="00D53361">
        <w:t>Quality standards</w:t>
      </w:r>
      <w:bookmarkEnd w:id="11"/>
    </w:p>
    <w:p w:rsidR="008605D2" w:rsidRDefault="00F80B8A" w:rsidP="00EC63FD">
      <w:pPr>
        <w:pStyle w:val="Para2"/>
        <w:numPr>
          <w:ilvl w:val="0"/>
          <w:numId w:val="0"/>
        </w:numPr>
        <w:ind w:left="1418" w:hanging="709"/>
      </w:pPr>
      <w:r>
        <w:rPr>
          <w:i/>
        </w:rPr>
        <w:t>Compliance with a</w:t>
      </w:r>
      <w:r w:rsidR="002C29F9">
        <w:rPr>
          <w:i/>
        </w:rPr>
        <w:t xml:space="preserve">nnual quality assessment formula </w:t>
      </w:r>
    </w:p>
    <w:p w:rsidR="00D53361" w:rsidRPr="006D238B" w:rsidRDefault="005B1CA3" w:rsidP="00E35DA5">
      <w:pPr>
        <w:pStyle w:val="Para2"/>
        <w:rPr>
          <w:b/>
          <w:bCs/>
          <w:iCs/>
        </w:rPr>
      </w:pPr>
      <w:r>
        <w:rPr>
          <w:bCs/>
          <w:iCs/>
        </w:rPr>
        <w:t xml:space="preserve">A </w:t>
      </w:r>
      <w:r w:rsidR="00FC4268" w:rsidRPr="00FC4268">
        <w:rPr>
          <w:b/>
        </w:rPr>
        <w:t>GDB</w:t>
      </w:r>
      <w:r w:rsidR="00D53361" w:rsidRPr="00D53361">
        <w:rPr>
          <w:b/>
          <w:bCs/>
          <w:iCs/>
        </w:rPr>
        <w:t>’s RTE</w:t>
      </w:r>
      <w:r w:rsidR="00D53361" w:rsidRPr="00D53361">
        <w:rPr>
          <w:bCs/>
          <w:iCs/>
        </w:rPr>
        <w:t xml:space="preserve"> values for an </w:t>
      </w:r>
      <w:r w:rsidR="00775B79" w:rsidRPr="00775B79">
        <w:rPr>
          <w:b/>
          <w:bCs/>
          <w:iCs/>
        </w:rPr>
        <w:t>assessment period</w:t>
      </w:r>
      <w:r w:rsidR="00D53361" w:rsidRPr="00D53361">
        <w:rPr>
          <w:bCs/>
          <w:iCs/>
        </w:rPr>
        <w:t xml:space="preserve"> must be such that:</w:t>
      </w:r>
    </w:p>
    <w:p w:rsidR="006D238B" w:rsidRPr="006D238B" w:rsidRDefault="006D238B" w:rsidP="006D238B">
      <w:pPr>
        <w:pStyle w:val="Para3"/>
        <w:rPr>
          <w:bCs/>
          <w:iCs/>
        </w:rPr>
      </w:pPr>
      <w:r w:rsidRPr="00AF4210">
        <w:object w:dxaOrig="2240" w:dyaOrig="680">
          <v:shape id="_x0000_i1030" type="#_x0000_t75" style="width:112.7pt;height:33.2pt" o:ole="" fillcolor="window">
            <v:imagedata r:id="rId18" o:title=""/>
          </v:shape>
          <o:OLEObject Type="Embed" ProgID="Equation.3" ShapeID="_x0000_i1030" DrawAspect="Content" ObjectID="_1421844985" r:id="rId19"/>
        </w:object>
      </w:r>
      <w:r w:rsidRPr="006D238B">
        <w:rPr>
          <w:bCs/>
          <w:iCs/>
        </w:rPr>
        <w:t xml:space="preserve">; and </w:t>
      </w:r>
    </w:p>
    <w:p w:rsidR="00D53361" w:rsidRPr="00D53361" w:rsidRDefault="00ED676F" w:rsidP="006D238B">
      <w:pPr>
        <w:pStyle w:val="Para3"/>
      </w:pPr>
      <w:r w:rsidRPr="00ED676F">
        <w:rPr>
          <w:position w:val="-30"/>
        </w:rPr>
        <w:object w:dxaOrig="2060" w:dyaOrig="680">
          <v:shape id="_x0000_i1031" type="#_x0000_t75" style="width:103.95pt;height:33.2pt" o:ole="" fillcolor="window">
            <v:imagedata r:id="rId20" o:title=""/>
          </v:shape>
          <o:OLEObject Type="Embed" ProgID="Equation.3" ShapeID="_x0000_i1031" DrawAspect="Content" ObjectID="_1421844986" r:id="rId21"/>
        </w:object>
      </w:r>
    </w:p>
    <w:p w:rsidR="006D238B" w:rsidRDefault="006D238B" w:rsidP="00812AD1">
      <w:pPr>
        <w:pStyle w:val="Para2"/>
        <w:keepNext/>
      </w:pPr>
      <w:r>
        <w:t xml:space="preserve">For the purposes of calculating the </w:t>
      </w:r>
      <w:r w:rsidRPr="00930AAC">
        <w:rPr>
          <w:b/>
        </w:rPr>
        <w:t>RTE</w:t>
      </w:r>
      <w:r>
        <w:t xml:space="preserve"> values in clause 9.1:</w:t>
      </w:r>
    </w:p>
    <w:p w:rsidR="009419F5" w:rsidRDefault="009419F5" w:rsidP="006D238B">
      <w:pPr>
        <w:pStyle w:val="BodyText"/>
        <w:ind w:left="3544" w:hanging="2126"/>
      </w:pPr>
      <w:r w:rsidRPr="00AF4210">
        <w:rPr>
          <w:position w:val="-12"/>
        </w:rPr>
        <w:object w:dxaOrig="620" w:dyaOrig="340">
          <v:shape id="_x0000_i1032" type="#_x0000_t75" style="width:31.3pt;height:17.55pt" o:ole="">
            <v:imagedata r:id="rId22" o:title=""/>
          </v:shape>
          <o:OLEObject Type="Embed" ProgID="Equation.3" ShapeID="_x0000_i1032" DrawAspect="Content" ObjectID="_1421844987" r:id="rId23"/>
        </w:object>
      </w:r>
      <w:r w:rsidRPr="00D53361">
        <w:tab/>
      </w:r>
      <w:r w:rsidRPr="00D53361">
        <w:tab/>
      </w:r>
      <w:proofErr w:type="gramStart"/>
      <w:r w:rsidRPr="00D53361">
        <w:t>is</w:t>
      </w:r>
      <w:proofErr w:type="gramEnd"/>
      <w:r w:rsidRPr="00D53361">
        <w:t xml:space="preserve"> the total number of </w:t>
      </w:r>
      <w:r w:rsidRPr="00D53361">
        <w:rPr>
          <w:b/>
        </w:rPr>
        <w:t>emergencies</w:t>
      </w:r>
      <w:r w:rsidRPr="00D53361">
        <w:t xml:space="preserve"> in </w:t>
      </w:r>
      <w:r>
        <w:t xml:space="preserve">the </w:t>
      </w:r>
      <w:r w:rsidRPr="00D53361">
        <w:rPr>
          <w:b/>
        </w:rPr>
        <w:t>assessment period</w:t>
      </w:r>
      <w:r>
        <w:t>;</w:t>
      </w:r>
    </w:p>
    <w:p w:rsidR="006D238B" w:rsidRPr="00D53361" w:rsidRDefault="00ED676F" w:rsidP="006D238B">
      <w:pPr>
        <w:pStyle w:val="BodyText"/>
        <w:ind w:left="3544" w:hanging="2126"/>
      </w:pPr>
      <w:r w:rsidRPr="00ED676F">
        <w:rPr>
          <w:position w:val="-12"/>
        </w:rPr>
        <w:object w:dxaOrig="820" w:dyaOrig="340">
          <v:shape id="_x0000_i1033" type="#_x0000_t75" style="width:40.7pt;height:17.55pt" o:ole="">
            <v:imagedata r:id="rId24" o:title=""/>
          </v:shape>
          <o:OLEObject Type="Embed" ProgID="Equation.3" ShapeID="_x0000_i1033" DrawAspect="Content" ObjectID="_1421844988" r:id="rId25"/>
        </w:object>
      </w:r>
      <w:r w:rsidR="006D238B">
        <w:tab/>
      </w:r>
      <w:proofErr w:type="gramStart"/>
      <w:r w:rsidR="006D238B">
        <w:t>is</w:t>
      </w:r>
      <w:proofErr w:type="gramEnd"/>
      <w:r w:rsidR="006D238B">
        <w:t xml:space="preserve"> the total number of </w:t>
      </w:r>
      <w:r w:rsidR="006D238B" w:rsidRPr="00D53361">
        <w:rPr>
          <w:b/>
        </w:rPr>
        <w:t>emergencies</w:t>
      </w:r>
      <w:r w:rsidR="006D238B" w:rsidRPr="00D53361">
        <w:t xml:space="preserve"> in </w:t>
      </w:r>
      <w:r w:rsidR="006D238B">
        <w:t xml:space="preserve">the </w:t>
      </w:r>
      <w:r w:rsidR="006D238B" w:rsidRPr="00D53361">
        <w:rPr>
          <w:b/>
        </w:rPr>
        <w:t>assessment period</w:t>
      </w:r>
      <w:r w:rsidR="006D238B">
        <w:rPr>
          <w:b/>
        </w:rPr>
        <w:t xml:space="preserve"> </w:t>
      </w:r>
      <w:r w:rsidR="00780FDF">
        <w:t>for which</w:t>
      </w:r>
      <w:r w:rsidR="006D238B" w:rsidRPr="006D238B">
        <w:t xml:space="preserve"> </w:t>
      </w:r>
      <w:r w:rsidR="00780FDF">
        <w:t xml:space="preserve">the </w:t>
      </w:r>
      <w:r w:rsidR="00780FDF" w:rsidRPr="00780FDF">
        <w:rPr>
          <w:b/>
        </w:rPr>
        <w:t>Commission</w:t>
      </w:r>
      <w:r w:rsidR="00780FDF">
        <w:t xml:space="preserve"> has granted an exemption</w:t>
      </w:r>
      <w:r w:rsidR="00930AAC" w:rsidRPr="00EA174D">
        <w:t>;</w:t>
      </w:r>
      <w:r w:rsidR="006D238B" w:rsidRPr="006D238B">
        <w:t xml:space="preserve"> </w:t>
      </w:r>
    </w:p>
    <w:p w:rsidR="00D53361" w:rsidRPr="00D53361" w:rsidRDefault="006D238B" w:rsidP="006D238B">
      <w:pPr>
        <w:pStyle w:val="BodyText"/>
        <w:ind w:left="3544" w:hanging="2126"/>
      </w:pPr>
      <w:r w:rsidRPr="00AF4210">
        <w:rPr>
          <w:position w:val="-12"/>
        </w:rPr>
        <w:object w:dxaOrig="1540" w:dyaOrig="340">
          <v:shape id="_x0000_i1034" type="#_x0000_t75" style="width:76.4pt;height:17.55pt" o:ole="">
            <v:imagedata r:id="rId26" o:title=""/>
          </v:shape>
          <o:OLEObject Type="Embed" ProgID="Equation.3" ShapeID="_x0000_i1034" DrawAspect="Content" ObjectID="_1421844989" r:id="rId27"/>
        </w:object>
      </w:r>
      <w:r w:rsidR="00D53361" w:rsidRPr="00D53361">
        <w:tab/>
      </w:r>
      <w:proofErr w:type="gramStart"/>
      <w:r w:rsidR="00D53361" w:rsidRPr="00D53361">
        <w:t>is</w:t>
      </w:r>
      <w:proofErr w:type="gramEnd"/>
      <w:r w:rsidR="00D53361" w:rsidRPr="00D53361">
        <w:t xml:space="preserve"> the </w:t>
      </w:r>
      <w:r w:rsidR="0014623A">
        <w:t xml:space="preserve">total </w:t>
      </w:r>
      <w:r w:rsidR="00D53361" w:rsidRPr="00D53361">
        <w:t xml:space="preserve">number of </w:t>
      </w:r>
      <w:r w:rsidR="00D53361" w:rsidRPr="00D53361">
        <w:rPr>
          <w:b/>
        </w:rPr>
        <w:t xml:space="preserve">emergencies </w:t>
      </w:r>
      <w:r w:rsidR="00D53361" w:rsidRPr="00D53361">
        <w:t xml:space="preserve">in </w:t>
      </w:r>
      <w:r w:rsidR="00C7214C">
        <w:t xml:space="preserve">the </w:t>
      </w:r>
      <w:r w:rsidR="00D53361" w:rsidRPr="00D53361">
        <w:rPr>
          <w:b/>
        </w:rPr>
        <w:t>assessment period</w:t>
      </w:r>
      <w:r w:rsidR="00D53361" w:rsidRPr="00D53361">
        <w:t xml:space="preserve"> where the </w:t>
      </w:r>
      <w:r w:rsidR="00FC4268" w:rsidRPr="00FC4268">
        <w:rPr>
          <w:b/>
        </w:rPr>
        <w:t>GDB</w:t>
      </w:r>
      <w:r w:rsidR="00D53361" w:rsidRPr="00D53361">
        <w:rPr>
          <w:b/>
        </w:rPr>
        <w:t>’s</w:t>
      </w:r>
      <w:r w:rsidR="00D53361" w:rsidRPr="00D53361">
        <w:t xml:space="preserve"> </w:t>
      </w:r>
      <w:r w:rsidR="00D53361" w:rsidRPr="00D53361">
        <w:rPr>
          <w:b/>
        </w:rPr>
        <w:t>RTE</w:t>
      </w:r>
      <w:r w:rsidR="00D53361" w:rsidRPr="00D53361">
        <w:t xml:space="preserve"> </w:t>
      </w:r>
      <w:r w:rsidR="00F80B8A">
        <w:t xml:space="preserve">for the </w:t>
      </w:r>
      <w:r w:rsidR="006256E3" w:rsidRPr="006256E3">
        <w:rPr>
          <w:b/>
        </w:rPr>
        <w:t>emergency</w:t>
      </w:r>
      <w:r w:rsidR="00F80B8A">
        <w:t xml:space="preserve"> </w:t>
      </w:r>
      <w:r w:rsidR="006F6D8C" w:rsidRPr="00D53361">
        <w:t>w</w:t>
      </w:r>
      <w:r w:rsidR="006F6D8C">
        <w:t>as</w:t>
      </w:r>
      <w:r w:rsidR="006F6D8C" w:rsidRPr="00D53361">
        <w:t xml:space="preserve"> </w:t>
      </w:r>
      <w:r w:rsidR="00D53361" w:rsidRPr="00D53361">
        <w:t>less than or equal to 60 minutes</w:t>
      </w:r>
      <w:r w:rsidR="005B1CA3">
        <w:t>;</w:t>
      </w:r>
      <w:r w:rsidR="00930AAC">
        <w:t xml:space="preserve"> and</w:t>
      </w:r>
    </w:p>
    <w:p w:rsidR="00D53361" w:rsidRDefault="00AA75B9" w:rsidP="006D238B">
      <w:pPr>
        <w:pStyle w:val="BodyText"/>
        <w:ind w:left="3544" w:hanging="2126"/>
      </w:pPr>
      <w:r w:rsidRPr="00AF4210">
        <w:rPr>
          <w:position w:val="-12"/>
        </w:rPr>
        <w:object w:dxaOrig="1660" w:dyaOrig="340">
          <v:shape id="_x0000_i1035" type="#_x0000_t75" style="width:83.9pt;height:17.55pt" o:ole="">
            <v:imagedata r:id="rId28" o:title=""/>
          </v:shape>
          <o:OLEObject Type="Embed" ProgID="Equation.3" ShapeID="_x0000_i1035" DrawAspect="Content" ObjectID="_1421844990" r:id="rId29"/>
        </w:object>
      </w:r>
      <w:r w:rsidR="00D53361" w:rsidRPr="00D53361">
        <w:tab/>
      </w:r>
      <w:proofErr w:type="gramStart"/>
      <w:r w:rsidR="00D53361" w:rsidRPr="00D53361">
        <w:t>is</w:t>
      </w:r>
      <w:proofErr w:type="gramEnd"/>
      <w:r w:rsidR="00D53361" w:rsidRPr="00D53361">
        <w:t xml:space="preserve"> the </w:t>
      </w:r>
      <w:r w:rsidR="0014623A">
        <w:t xml:space="preserve">total </w:t>
      </w:r>
      <w:r w:rsidR="00D53361" w:rsidRPr="00D53361">
        <w:t xml:space="preserve">number of </w:t>
      </w:r>
      <w:r w:rsidR="00D53361" w:rsidRPr="00D53361">
        <w:rPr>
          <w:b/>
        </w:rPr>
        <w:t>emergencies</w:t>
      </w:r>
      <w:r w:rsidR="00D53361" w:rsidRPr="00D53361">
        <w:t xml:space="preserve"> in </w:t>
      </w:r>
      <w:r w:rsidR="00C7214C">
        <w:t xml:space="preserve">the </w:t>
      </w:r>
      <w:r w:rsidR="00D53361" w:rsidRPr="00D53361">
        <w:rPr>
          <w:b/>
        </w:rPr>
        <w:t>assessment period</w:t>
      </w:r>
      <w:r w:rsidR="00D53361" w:rsidRPr="00D53361">
        <w:t xml:space="preserve"> where the </w:t>
      </w:r>
      <w:r w:rsidR="00FC4268" w:rsidRPr="00FC4268">
        <w:rPr>
          <w:b/>
        </w:rPr>
        <w:t>GDB</w:t>
      </w:r>
      <w:r w:rsidR="00D53361" w:rsidRPr="00D53361">
        <w:rPr>
          <w:b/>
        </w:rPr>
        <w:t xml:space="preserve">’s RTE </w:t>
      </w:r>
      <w:r w:rsidR="00F80B8A">
        <w:t xml:space="preserve">for the </w:t>
      </w:r>
      <w:r w:rsidR="00F80B8A" w:rsidRPr="00F80B8A">
        <w:rPr>
          <w:b/>
        </w:rPr>
        <w:t>emergency</w:t>
      </w:r>
      <w:r w:rsidR="00F80B8A">
        <w:t xml:space="preserve"> </w:t>
      </w:r>
      <w:r w:rsidR="006F6D8C" w:rsidRPr="00D53361">
        <w:t>w</w:t>
      </w:r>
      <w:r w:rsidR="006F6D8C">
        <w:t>as</w:t>
      </w:r>
      <w:r w:rsidR="006F6D8C" w:rsidRPr="00D53361">
        <w:t xml:space="preserve"> </w:t>
      </w:r>
      <w:r w:rsidR="00D53361" w:rsidRPr="00D53361">
        <w:t>less than or equal to 180 minutes.</w:t>
      </w:r>
    </w:p>
    <w:p w:rsidR="008605D2" w:rsidRPr="00EC63FD" w:rsidRDefault="006A21DF" w:rsidP="00EC63FD">
      <w:pPr>
        <w:pStyle w:val="Para2"/>
        <w:numPr>
          <w:ilvl w:val="0"/>
          <w:numId w:val="0"/>
        </w:numPr>
        <w:ind w:left="1418" w:hanging="709"/>
        <w:rPr>
          <w:i/>
        </w:rPr>
      </w:pPr>
      <w:r>
        <w:rPr>
          <w:i/>
        </w:rPr>
        <w:t xml:space="preserve">Exclusion of </w:t>
      </w:r>
      <w:r w:rsidR="00E91026" w:rsidRPr="00EC63FD">
        <w:rPr>
          <w:i/>
        </w:rPr>
        <w:t>approved emergencies</w:t>
      </w:r>
    </w:p>
    <w:p w:rsidR="0048622D" w:rsidRDefault="00B456B5" w:rsidP="0048622D">
      <w:pPr>
        <w:pStyle w:val="Para2"/>
      </w:pPr>
      <w:r>
        <w:t xml:space="preserve">If a </w:t>
      </w:r>
      <w:proofErr w:type="spellStart"/>
      <w:r w:rsidR="0048622D" w:rsidRPr="0048622D">
        <w:rPr>
          <w:b/>
        </w:rPr>
        <w:t>GDB</w:t>
      </w:r>
      <w:proofErr w:type="spellEnd"/>
      <w:r>
        <w:t xml:space="preserve"> </w:t>
      </w:r>
      <w:r w:rsidR="0014623A">
        <w:t xml:space="preserve">has reasonable </w:t>
      </w:r>
      <w:r w:rsidR="00F80B8A">
        <w:t xml:space="preserve">grounds </w:t>
      </w:r>
      <w:r w:rsidR="0014623A">
        <w:t xml:space="preserve">for not </w:t>
      </w:r>
      <w:r>
        <w:t>respond</w:t>
      </w:r>
      <w:r w:rsidR="0014623A">
        <w:t>ing</w:t>
      </w:r>
      <w:r w:rsidR="00B87C6B">
        <w:t xml:space="preserve"> </w:t>
      </w:r>
      <w:r w:rsidR="0014623A">
        <w:t xml:space="preserve">to an </w:t>
      </w:r>
      <w:r w:rsidR="0014623A">
        <w:rPr>
          <w:b/>
        </w:rPr>
        <w:t xml:space="preserve">emergency </w:t>
      </w:r>
      <w:r w:rsidR="0014623A" w:rsidRPr="00EC63FD">
        <w:t>with</w:t>
      </w:r>
      <w:r>
        <w:t xml:space="preserve">in </w:t>
      </w:r>
      <w:r w:rsidR="00780FDF">
        <w:t>180 minutes</w:t>
      </w:r>
      <w:r w:rsidR="0014623A">
        <w:t xml:space="preserve">, </w:t>
      </w:r>
      <w:r>
        <w:t xml:space="preserve">a </w:t>
      </w:r>
      <w:proofErr w:type="spellStart"/>
      <w:r w:rsidR="0048622D" w:rsidRPr="0048622D">
        <w:rPr>
          <w:b/>
        </w:rPr>
        <w:t>GDB</w:t>
      </w:r>
      <w:proofErr w:type="spellEnd"/>
      <w:r>
        <w:t xml:space="preserve"> may apply to the </w:t>
      </w:r>
      <w:r w:rsidR="0048622D" w:rsidRPr="0048622D">
        <w:rPr>
          <w:b/>
        </w:rPr>
        <w:t>Commission</w:t>
      </w:r>
      <w:r>
        <w:t xml:space="preserve"> </w:t>
      </w:r>
      <w:r w:rsidR="0014623A">
        <w:t>to exclude the</w:t>
      </w:r>
      <w:r>
        <w:t xml:space="preserve"> </w:t>
      </w:r>
      <w:r w:rsidR="0048622D" w:rsidRPr="0048622D">
        <w:rPr>
          <w:b/>
        </w:rPr>
        <w:t>emergency</w:t>
      </w:r>
      <w:r w:rsidR="0048622D" w:rsidRPr="0048622D">
        <w:t xml:space="preserve"> </w:t>
      </w:r>
      <w:r w:rsidR="0014623A">
        <w:t>from</w:t>
      </w:r>
      <w:r w:rsidR="0014623A" w:rsidRPr="0048622D">
        <w:t xml:space="preserve"> </w:t>
      </w:r>
      <w:r w:rsidR="0048622D" w:rsidRPr="0048622D">
        <w:t xml:space="preserve">the </w:t>
      </w:r>
      <w:r w:rsidR="00930AAC" w:rsidRPr="00930AAC">
        <w:t xml:space="preserve">total </w:t>
      </w:r>
      <w:r w:rsidR="00930AAC" w:rsidRPr="00D53361">
        <w:t xml:space="preserve">number of </w:t>
      </w:r>
      <w:r w:rsidR="00930AAC" w:rsidRPr="00D53361">
        <w:rPr>
          <w:b/>
        </w:rPr>
        <w:t>emergencies</w:t>
      </w:r>
      <w:r w:rsidR="00930AAC" w:rsidRPr="00D53361">
        <w:t xml:space="preserve"> </w:t>
      </w:r>
      <w:r w:rsidR="00ED676F">
        <w:t>for the calculation required by</w:t>
      </w:r>
      <w:r w:rsidR="00930AAC" w:rsidRPr="00930AAC">
        <w:t xml:space="preserve"> clause 9.1.</w:t>
      </w:r>
      <w:r w:rsidR="00930AAC">
        <w:t>2</w:t>
      </w:r>
      <w:r w:rsidR="00C7214C">
        <w:t>.</w:t>
      </w:r>
    </w:p>
    <w:p w:rsidR="0014623A" w:rsidRDefault="006917C3" w:rsidP="0048622D">
      <w:pPr>
        <w:pStyle w:val="Para2"/>
      </w:pPr>
      <w:r>
        <w:t xml:space="preserve">An </w:t>
      </w:r>
      <w:r w:rsidR="006A21DF">
        <w:t xml:space="preserve">exclusion </w:t>
      </w:r>
      <w:r>
        <w:t>request</w:t>
      </w:r>
      <w:r w:rsidR="0014623A">
        <w:t xml:space="preserve"> must–</w:t>
      </w:r>
    </w:p>
    <w:p w:rsidR="0014623A" w:rsidRDefault="00930AAC" w:rsidP="00EC63FD">
      <w:pPr>
        <w:pStyle w:val="Para3"/>
      </w:pPr>
      <w:r>
        <w:t xml:space="preserve">be submitted in writing to the </w:t>
      </w:r>
      <w:r w:rsidRPr="0014623A">
        <w:rPr>
          <w:b/>
        </w:rPr>
        <w:t>Commission</w:t>
      </w:r>
      <w:r>
        <w:t xml:space="preserve"> within 30 </w:t>
      </w:r>
      <w:r w:rsidR="007430E1">
        <w:t>working days</w:t>
      </w:r>
      <w:r>
        <w:t xml:space="preserve"> of the </w:t>
      </w:r>
      <w:r w:rsidRPr="0014623A">
        <w:rPr>
          <w:b/>
        </w:rPr>
        <w:t>emergency</w:t>
      </w:r>
      <w:r w:rsidR="0014623A">
        <w:t>;</w:t>
      </w:r>
      <w:r>
        <w:t xml:space="preserve"> and</w:t>
      </w:r>
    </w:p>
    <w:p w:rsidR="0048622D" w:rsidRDefault="006917C3" w:rsidP="00EC63FD">
      <w:pPr>
        <w:pStyle w:val="Para3"/>
      </w:pPr>
      <w:proofErr w:type="gramStart"/>
      <w:r>
        <w:t>include</w:t>
      </w:r>
      <w:proofErr w:type="gramEnd"/>
      <w:r>
        <w:t xml:space="preserve"> </w:t>
      </w:r>
      <w:r w:rsidR="0014623A">
        <w:t>sufficient</w:t>
      </w:r>
      <w:r>
        <w:t xml:space="preserve"> evidence </w:t>
      </w:r>
      <w:r w:rsidR="0014623A">
        <w:t xml:space="preserve">demonstrating why </w:t>
      </w:r>
      <w:r w:rsidR="00ED676F">
        <w:t xml:space="preserve">it was reasonable that the </w:t>
      </w:r>
      <w:r w:rsidR="0014623A">
        <w:rPr>
          <w:b/>
        </w:rPr>
        <w:t>GDB</w:t>
      </w:r>
      <w:r w:rsidR="00ED676F">
        <w:rPr>
          <w:b/>
        </w:rPr>
        <w:t xml:space="preserve">’s </w:t>
      </w:r>
      <w:r w:rsidR="00ED676F" w:rsidRPr="00ED676F">
        <w:rPr>
          <w:b/>
        </w:rPr>
        <w:t>RTE</w:t>
      </w:r>
      <w:r w:rsidR="00ED676F">
        <w:rPr>
          <w:b/>
        </w:rPr>
        <w:t xml:space="preserve"> was greater than </w:t>
      </w:r>
      <w:r w:rsidR="00930AAC">
        <w:t>180 minutes</w:t>
      </w:r>
      <w:r w:rsidR="002C29F9">
        <w:t>.</w:t>
      </w:r>
    </w:p>
    <w:p w:rsidR="0048622D" w:rsidRDefault="006917C3" w:rsidP="0048622D">
      <w:pPr>
        <w:pStyle w:val="Para2"/>
      </w:pPr>
      <w:r>
        <w:t>A</w:t>
      </w:r>
      <w:r w:rsidR="0014623A">
        <w:t xml:space="preserve"> </w:t>
      </w:r>
      <w:proofErr w:type="spellStart"/>
      <w:r w:rsidR="0014623A">
        <w:rPr>
          <w:b/>
        </w:rPr>
        <w:t>GDB</w:t>
      </w:r>
      <w:proofErr w:type="spellEnd"/>
      <w:r w:rsidR="0014623A">
        <w:t xml:space="preserve"> may exclude a</w:t>
      </w:r>
      <w:r>
        <w:t xml:space="preserve">n </w:t>
      </w:r>
      <w:r w:rsidR="0048622D" w:rsidRPr="0048622D">
        <w:rPr>
          <w:b/>
        </w:rPr>
        <w:t>emerg</w:t>
      </w:r>
      <w:r w:rsidR="0048622D" w:rsidRPr="00930AAC">
        <w:rPr>
          <w:b/>
        </w:rPr>
        <w:t>ency</w:t>
      </w:r>
      <w:r w:rsidRPr="00930AAC">
        <w:rPr>
          <w:b/>
        </w:rPr>
        <w:t xml:space="preserve"> </w:t>
      </w:r>
      <w:r w:rsidRPr="00E34C09">
        <w:t>from</w:t>
      </w:r>
      <w:r>
        <w:t xml:space="preserve"> the </w:t>
      </w:r>
      <w:r w:rsidR="00ED676F">
        <w:t xml:space="preserve">calculations of </w:t>
      </w:r>
      <w:r w:rsidR="006256E3" w:rsidRPr="006256E3">
        <w:rPr>
          <w:b/>
        </w:rPr>
        <w:t>RTE</w:t>
      </w:r>
      <w:r w:rsidR="00ED676F">
        <w:t xml:space="preserve"> values for the </w:t>
      </w:r>
      <w:r w:rsidR="006256E3" w:rsidRPr="006256E3">
        <w:rPr>
          <w:b/>
        </w:rPr>
        <w:t>GDB’s</w:t>
      </w:r>
      <w:r w:rsidR="00ED676F">
        <w:t xml:space="preserve"> </w:t>
      </w:r>
      <w:r w:rsidR="0014623A" w:rsidRPr="00EC63FD">
        <w:rPr>
          <w:b/>
        </w:rPr>
        <w:t>complia</w:t>
      </w:r>
      <w:r w:rsidR="0014623A" w:rsidRPr="00930AAC">
        <w:rPr>
          <w:b/>
        </w:rPr>
        <w:t>nce</w:t>
      </w:r>
      <w:r w:rsidR="0014623A" w:rsidRPr="00EC63FD">
        <w:rPr>
          <w:b/>
        </w:rPr>
        <w:t xml:space="preserve"> statement</w:t>
      </w:r>
      <w:r w:rsidR="0014623A">
        <w:t xml:space="preserve"> only</w:t>
      </w:r>
      <w:r>
        <w:t xml:space="preserve"> where the </w:t>
      </w:r>
      <w:r w:rsidR="0048622D" w:rsidRPr="0048622D">
        <w:rPr>
          <w:b/>
        </w:rPr>
        <w:t>Commi</w:t>
      </w:r>
      <w:r w:rsidR="0048622D" w:rsidRPr="00930AAC">
        <w:rPr>
          <w:b/>
        </w:rPr>
        <w:t xml:space="preserve">ssion </w:t>
      </w:r>
      <w:r w:rsidRPr="00E34C09">
        <w:t>has</w:t>
      </w:r>
      <w:r w:rsidRPr="00930AAC">
        <w:rPr>
          <w:b/>
        </w:rPr>
        <w:t xml:space="preserve"> </w:t>
      </w:r>
      <w:r w:rsidR="006A21DF">
        <w:t>agreed to this</w:t>
      </w:r>
      <w:r w:rsidR="0014623A">
        <w:t xml:space="preserve"> </w:t>
      </w:r>
      <w:r w:rsidR="0014623A" w:rsidRPr="00E34C09">
        <w:t>in writing</w:t>
      </w:r>
      <w:r w:rsidR="00ED676F">
        <w:t xml:space="preserve"> for that </w:t>
      </w:r>
      <w:r w:rsidR="006256E3" w:rsidRPr="006256E3">
        <w:rPr>
          <w:b/>
        </w:rPr>
        <w:t>emergency</w:t>
      </w:r>
      <w:r w:rsidR="00ED676F">
        <w:t xml:space="preserve"> by the time the </w:t>
      </w:r>
      <w:r w:rsidR="006256E3" w:rsidRPr="006256E3">
        <w:rPr>
          <w:b/>
        </w:rPr>
        <w:t>compliance statement</w:t>
      </w:r>
      <w:r w:rsidR="00ED676F">
        <w:t xml:space="preserve"> is provided to the </w:t>
      </w:r>
      <w:r w:rsidR="006256E3" w:rsidRPr="006256E3">
        <w:rPr>
          <w:b/>
        </w:rPr>
        <w:t>Commission</w:t>
      </w:r>
      <w:r w:rsidRPr="00E34C09">
        <w:t>.</w:t>
      </w:r>
      <w:r w:rsidR="00B456B5">
        <w:t xml:space="preserve"> </w:t>
      </w:r>
    </w:p>
    <w:p w:rsidR="0048622D" w:rsidRDefault="00D53361" w:rsidP="0048622D">
      <w:pPr>
        <w:pStyle w:val="Heading1"/>
      </w:pPr>
      <w:bookmarkStart w:id="12" w:name="_Toc348091310"/>
      <w:r w:rsidRPr="00D53361">
        <w:t>Transactions</w:t>
      </w:r>
      <w:bookmarkEnd w:id="12"/>
    </w:p>
    <w:p w:rsidR="009A3BD3" w:rsidRPr="00812AD1" w:rsidRDefault="009A3BD3" w:rsidP="009A3BD3">
      <w:pPr>
        <w:pStyle w:val="Para1"/>
        <w:numPr>
          <w:ilvl w:val="0"/>
          <w:numId w:val="0"/>
        </w:numPr>
        <w:ind w:left="567"/>
        <w:rPr>
          <w:i/>
        </w:rPr>
      </w:pPr>
      <w:r w:rsidRPr="00812AD1">
        <w:rPr>
          <w:i/>
        </w:rPr>
        <w:t>Amalgamations</w:t>
      </w:r>
    </w:p>
    <w:p w:rsidR="00D35193" w:rsidRPr="00812AD1" w:rsidRDefault="00D35193" w:rsidP="00D35193">
      <w:pPr>
        <w:pStyle w:val="Para2"/>
        <w:numPr>
          <w:ilvl w:val="1"/>
          <w:numId w:val="107"/>
        </w:numPr>
        <w:tabs>
          <w:tab w:val="left" w:pos="720"/>
        </w:tabs>
        <w:ind w:left="1418" w:hanging="709"/>
      </w:pPr>
      <w:r w:rsidRPr="00812AD1">
        <w:t xml:space="preserve">A </w:t>
      </w:r>
      <w:proofErr w:type="spellStart"/>
      <w:r w:rsidRPr="00812AD1">
        <w:rPr>
          <w:b/>
          <w:bCs/>
        </w:rPr>
        <w:t>GDB</w:t>
      </w:r>
      <w:proofErr w:type="spellEnd"/>
      <w:r w:rsidRPr="00812AD1">
        <w:t xml:space="preserve"> that participates in an </w:t>
      </w:r>
      <w:r w:rsidRPr="00812AD1">
        <w:rPr>
          <w:b/>
          <w:bCs/>
        </w:rPr>
        <w:t>amalgamation</w:t>
      </w:r>
      <w:r w:rsidRPr="00812AD1">
        <w:t xml:space="preserve"> with another </w:t>
      </w:r>
      <w:proofErr w:type="spellStart"/>
      <w:r w:rsidRPr="00812AD1">
        <w:rPr>
          <w:b/>
          <w:bCs/>
        </w:rPr>
        <w:t>GDB</w:t>
      </w:r>
      <w:proofErr w:type="spellEnd"/>
      <w:r w:rsidRPr="00812AD1">
        <w:t xml:space="preserve"> subject to a default price-quality path must, in complying with -</w:t>
      </w:r>
    </w:p>
    <w:p w:rsidR="00D35193" w:rsidRPr="00812AD1" w:rsidRDefault="00D35193" w:rsidP="00D35193">
      <w:pPr>
        <w:pStyle w:val="Para2"/>
        <w:numPr>
          <w:ilvl w:val="2"/>
          <w:numId w:val="107"/>
        </w:numPr>
        <w:tabs>
          <w:tab w:val="left" w:pos="720"/>
        </w:tabs>
      </w:pPr>
      <w:r w:rsidRPr="00812AD1">
        <w:t xml:space="preserve">the price path specified in clause 8, aggregate the notional revenue and allowable notional revenue specified in clause 8 with those of the other </w:t>
      </w:r>
      <w:proofErr w:type="spellStart"/>
      <w:r w:rsidRPr="00812AD1">
        <w:rPr>
          <w:b/>
          <w:bCs/>
        </w:rPr>
        <w:t>GDB</w:t>
      </w:r>
      <w:proofErr w:type="spellEnd"/>
      <w:r w:rsidRPr="00812AD1">
        <w:t>; and</w:t>
      </w:r>
    </w:p>
    <w:p w:rsidR="00D35193" w:rsidRPr="00812AD1" w:rsidRDefault="00D35193" w:rsidP="00D35193">
      <w:pPr>
        <w:pStyle w:val="Para2"/>
        <w:numPr>
          <w:ilvl w:val="2"/>
          <w:numId w:val="107"/>
        </w:numPr>
        <w:tabs>
          <w:tab w:val="left" w:pos="720"/>
        </w:tabs>
      </w:pPr>
      <w:r w:rsidRPr="00812AD1">
        <w:t xml:space="preserve">the quality standards specified in clause 9, aggregate the total number of </w:t>
      </w:r>
      <w:r w:rsidRPr="00812AD1">
        <w:rPr>
          <w:b/>
          <w:bCs/>
        </w:rPr>
        <w:t>emergencies</w:t>
      </w:r>
      <w:r w:rsidRPr="00812AD1">
        <w:t xml:space="preserve"> with those of the other </w:t>
      </w:r>
      <w:proofErr w:type="spellStart"/>
      <w:r w:rsidRPr="00812AD1">
        <w:rPr>
          <w:b/>
          <w:bCs/>
        </w:rPr>
        <w:t>GDB</w:t>
      </w:r>
      <w:proofErr w:type="spellEnd"/>
      <w:r w:rsidRPr="00812AD1">
        <w:rPr>
          <w:b/>
          <w:bCs/>
        </w:rPr>
        <w:t xml:space="preserve"> </w:t>
      </w:r>
      <w:r w:rsidRPr="00812AD1">
        <w:t xml:space="preserve">in calculating its </w:t>
      </w:r>
      <w:r w:rsidRPr="00812AD1">
        <w:rPr>
          <w:b/>
          <w:bCs/>
        </w:rPr>
        <w:t>RTE</w:t>
      </w:r>
      <w:r w:rsidRPr="00812AD1">
        <w:t xml:space="preserve"> values;</w:t>
      </w:r>
    </w:p>
    <w:p w:rsidR="00D35193" w:rsidRPr="00812AD1" w:rsidRDefault="00D35193" w:rsidP="00D35193">
      <w:pPr>
        <w:pStyle w:val="Para2"/>
        <w:numPr>
          <w:ilvl w:val="0"/>
          <w:numId w:val="0"/>
        </w:numPr>
        <w:tabs>
          <w:tab w:val="left" w:pos="720"/>
        </w:tabs>
        <w:ind w:left="1418"/>
      </w:pPr>
      <w:proofErr w:type="gramStart"/>
      <w:r w:rsidRPr="00812AD1">
        <w:t>with</w:t>
      </w:r>
      <w:proofErr w:type="gramEnd"/>
      <w:r w:rsidRPr="00812AD1">
        <w:t xml:space="preserve"> effect from the start of the </w:t>
      </w:r>
      <w:r w:rsidRPr="00812AD1">
        <w:rPr>
          <w:b/>
          <w:bCs/>
        </w:rPr>
        <w:t>assessment period</w:t>
      </w:r>
      <w:r w:rsidRPr="00812AD1">
        <w:t xml:space="preserve"> immediately following the date of default price-quality path aggregation specified by clause 3.2.1 of the </w:t>
      </w:r>
      <w:r w:rsidRPr="00812AD1">
        <w:rPr>
          <w:b/>
          <w:bCs/>
        </w:rPr>
        <w:t>IM determination</w:t>
      </w:r>
      <w:r w:rsidRPr="00812AD1">
        <w:t>.</w:t>
      </w:r>
    </w:p>
    <w:p w:rsidR="009A3BD3" w:rsidRPr="00812AD1" w:rsidRDefault="009A3BD3" w:rsidP="009A3BD3">
      <w:pPr>
        <w:pStyle w:val="Para2"/>
        <w:numPr>
          <w:ilvl w:val="0"/>
          <w:numId w:val="0"/>
        </w:numPr>
        <w:tabs>
          <w:tab w:val="left" w:pos="720"/>
        </w:tabs>
        <w:ind w:left="1418" w:hanging="709"/>
        <w:rPr>
          <w:i/>
          <w:iCs/>
        </w:rPr>
      </w:pPr>
      <w:r w:rsidRPr="00812AD1">
        <w:rPr>
          <w:i/>
          <w:iCs/>
        </w:rPr>
        <w:t xml:space="preserve">Merger or acquisition </w:t>
      </w:r>
    </w:p>
    <w:p w:rsidR="009A3BD3" w:rsidRPr="00812AD1" w:rsidRDefault="00D35193" w:rsidP="009A3BD3">
      <w:pPr>
        <w:pStyle w:val="Para2"/>
        <w:numPr>
          <w:ilvl w:val="1"/>
          <w:numId w:val="107"/>
        </w:numPr>
        <w:tabs>
          <w:tab w:val="left" w:pos="720"/>
        </w:tabs>
        <w:autoSpaceDE w:val="0"/>
        <w:autoSpaceDN w:val="0"/>
        <w:ind w:left="1418" w:hanging="709"/>
      </w:pPr>
      <w:r w:rsidRPr="00812AD1">
        <w:t xml:space="preserve">A </w:t>
      </w:r>
      <w:proofErr w:type="spellStart"/>
      <w:r w:rsidRPr="00812AD1">
        <w:rPr>
          <w:b/>
          <w:bCs/>
        </w:rPr>
        <w:t>GDB</w:t>
      </w:r>
      <w:proofErr w:type="spellEnd"/>
      <w:r w:rsidRPr="00812AD1">
        <w:t xml:space="preserve"> participating in a </w:t>
      </w:r>
      <w:r w:rsidRPr="00812AD1">
        <w:rPr>
          <w:b/>
          <w:bCs/>
        </w:rPr>
        <w:t>merger or acquisition</w:t>
      </w:r>
      <w:r w:rsidRPr="00812AD1">
        <w:t xml:space="preserve"> must comply with the price path and quality standards by treating the </w:t>
      </w:r>
      <w:r w:rsidRPr="00812AD1">
        <w:rPr>
          <w:b/>
          <w:bCs/>
        </w:rPr>
        <w:t>merger or acquisition</w:t>
      </w:r>
      <w:r w:rsidRPr="00812AD1">
        <w:t xml:space="preserve"> as if it were an </w:t>
      </w:r>
      <w:r w:rsidRPr="00812AD1">
        <w:rPr>
          <w:b/>
          <w:bCs/>
        </w:rPr>
        <w:t>amalgamation</w:t>
      </w:r>
      <w:r w:rsidRPr="00812AD1">
        <w:t xml:space="preserve"> for the purposes of the </w:t>
      </w:r>
      <w:r w:rsidRPr="00812AD1">
        <w:rPr>
          <w:b/>
          <w:bCs/>
        </w:rPr>
        <w:t>IM determination</w:t>
      </w:r>
      <w:r w:rsidRPr="00812AD1">
        <w:t xml:space="preserve"> and clause 10.1.</w:t>
      </w:r>
    </w:p>
    <w:p w:rsidR="009A3BD3" w:rsidRPr="00812AD1" w:rsidRDefault="009A3BD3" w:rsidP="009A3BD3">
      <w:pPr>
        <w:pStyle w:val="Para2"/>
        <w:numPr>
          <w:ilvl w:val="0"/>
          <w:numId w:val="0"/>
        </w:numPr>
        <w:tabs>
          <w:tab w:val="left" w:pos="720"/>
        </w:tabs>
        <w:ind w:left="420" w:firstLine="289"/>
        <w:rPr>
          <w:i/>
          <w:iCs/>
        </w:rPr>
      </w:pPr>
      <w:r w:rsidRPr="00812AD1">
        <w:rPr>
          <w:i/>
          <w:iCs/>
        </w:rPr>
        <w:t xml:space="preserve">Transactions resulting in consumers being supplied by another </w:t>
      </w:r>
      <w:proofErr w:type="spellStart"/>
      <w:r w:rsidRPr="00812AD1">
        <w:rPr>
          <w:i/>
          <w:iCs/>
        </w:rPr>
        <w:t>GDB</w:t>
      </w:r>
      <w:proofErr w:type="spellEnd"/>
      <w:r w:rsidRPr="00812AD1">
        <w:rPr>
          <w:i/>
          <w:iCs/>
        </w:rPr>
        <w:t xml:space="preserve"> </w:t>
      </w:r>
    </w:p>
    <w:p w:rsidR="009A3BD3" w:rsidRPr="00812AD1" w:rsidRDefault="00D35193" w:rsidP="009A3BD3">
      <w:pPr>
        <w:pStyle w:val="Para2"/>
        <w:numPr>
          <w:ilvl w:val="1"/>
          <w:numId w:val="107"/>
        </w:numPr>
        <w:tabs>
          <w:tab w:val="left" w:pos="720"/>
        </w:tabs>
        <w:autoSpaceDE w:val="0"/>
        <w:autoSpaceDN w:val="0"/>
        <w:ind w:left="1418" w:hanging="709"/>
      </w:pPr>
      <w:r w:rsidRPr="00812AD1">
        <w:t xml:space="preserve">A </w:t>
      </w:r>
      <w:proofErr w:type="spellStart"/>
      <w:r w:rsidRPr="00812AD1">
        <w:rPr>
          <w:b/>
          <w:bCs/>
        </w:rPr>
        <w:t>GDB</w:t>
      </w:r>
      <w:proofErr w:type="spellEnd"/>
      <w:r w:rsidRPr="00812AD1">
        <w:t xml:space="preserve"> that commences or ceases to supply </w:t>
      </w:r>
      <w:r w:rsidRPr="00812AD1">
        <w:rPr>
          <w:b/>
          <w:bCs/>
        </w:rPr>
        <w:t>gas pipeline services</w:t>
      </w:r>
      <w:r w:rsidRPr="00812AD1">
        <w:t xml:space="preserve"> to any </w:t>
      </w:r>
      <w:r w:rsidRPr="00812AD1">
        <w:rPr>
          <w:b/>
          <w:bCs/>
        </w:rPr>
        <w:t>consumer</w:t>
      </w:r>
      <w:r w:rsidRPr="00812AD1">
        <w:t xml:space="preserve"> in an </w:t>
      </w:r>
      <w:r w:rsidRPr="00812AD1">
        <w:rPr>
          <w:b/>
          <w:bCs/>
        </w:rPr>
        <w:t xml:space="preserve">assessment period </w:t>
      </w:r>
      <w:r w:rsidRPr="00812AD1">
        <w:t xml:space="preserve">as a result of the </w:t>
      </w:r>
      <w:proofErr w:type="spellStart"/>
      <w:r w:rsidRPr="00812AD1">
        <w:rPr>
          <w:b/>
          <w:bCs/>
        </w:rPr>
        <w:t>GDB</w:t>
      </w:r>
      <w:proofErr w:type="spellEnd"/>
      <w:r w:rsidRPr="00812AD1">
        <w:rPr>
          <w:b/>
          <w:bCs/>
        </w:rPr>
        <w:t xml:space="preserve"> </w:t>
      </w:r>
      <w:r w:rsidRPr="00812AD1">
        <w:t xml:space="preserve">participating in a transaction involving a transfer of assets to or from another </w:t>
      </w:r>
      <w:proofErr w:type="spellStart"/>
      <w:r w:rsidRPr="00812AD1">
        <w:rPr>
          <w:b/>
          <w:bCs/>
        </w:rPr>
        <w:t>GDB</w:t>
      </w:r>
      <w:proofErr w:type="spellEnd"/>
      <w:r w:rsidRPr="00812AD1">
        <w:t xml:space="preserve"> (other than a transaction which is an </w:t>
      </w:r>
      <w:r w:rsidRPr="00812AD1">
        <w:rPr>
          <w:b/>
          <w:bCs/>
        </w:rPr>
        <w:t>amalgamation</w:t>
      </w:r>
      <w:r w:rsidRPr="00812AD1">
        <w:t xml:space="preserve"> or a </w:t>
      </w:r>
      <w:r w:rsidRPr="00812AD1">
        <w:rPr>
          <w:b/>
          <w:bCs/>
        </w:rPr>
        <w:t>merger or acquisition</w:t>
      </w:r>
      <w:r w:rsidRPr="00812AD1">
        <w:t xml:space="preserve">), must increase or decrease the allowable notional revenue and notional revenue calculated for that </w:t>
      </w:r>
      <w:r w:rsidRPr="00812AD1">
        <w:rPr>
          <w:b/>
          <w:bCs/>
        </w:rPr>
        <w:t>assessment period</w:t>
      </w:r>
      <w:r w:rsidRPr="00812AD1">
        <w:t xml:space="preserve"> as specified in Schedule 7.</w:t>
      </w:r>
    </w:p>
    <w:p w:rsidR="00D35193" w:rsidRPr="00812AD1" w:rsidRDefault="00D35193" w:rsidP="00D35193">
      <w:pPr>
        <w:pStyle w:val="Para2"/>
        <w:numPr>
          <w:ilvl w:val="0"/>
          <w:numId w:val="0"/>
        </w:numPr>
        <w:tabs>
          <w:tab w:val="left" w:pos="720"/>
        </w:tabs>
        <w:ind w:left="420" w:firstLine="289"/>
        <w:rPr>
          <w:i/>
          <w:iCs/>
        </w:rPr>
      </w:pPr>
      <w:r w:rsidRPr="00812AD1">
        <w:rPr>
          <w:i/>
          <w:iCs/>
        </w:rPr>
        <w:t xml:space="preserve">Transactions resulting in consumers being supplied by another </w:t>
      </w:r>
      <w:proofErr w:type="spellStart"/>
      <w:r w:rsidRPr="00812AD1">
        <w:rPr>
          <w:i/>
          <w:iCs/>
        </w:rPr>
        <w:t>GDB</w:t>
      </w:r>
      <w:proofErr w:type="spellEnd"/>
      <w:r w:rsidRPr="00812AD1">
        <w:rPr>
          <w:i/>
          <w:iCs/>
        </w:rPr>
        <w:t xml:space="preserve"> </w:t>
      </w:r>
    </w:p>
    <w:p w:rsidR="00D35193" w:rsidRPr="00812AD1" w:rsidRDefault="00D35193" w:rsidP="00D35193">
      <w:pPr>
        <w:pStyle w:val="Para2"/>
        <w:numPr>
          <w:ilvl w:val="1"/>
          <w:numId w:val="109"/>
        </w:numPr>
        <w:tabs>
          <w:tab w:val="left" w:pos="1418"/>
        </w:tabs>
        <w:autoSpaceDE w:val="0"/>
        <w:autoSpaceDN w:val="0"/>
        <w:ind w:left="1418" w:hanging="709"/>
      </w:pPr>
      <w:r w:rsidRPr="00812AD1">
        <w:t xml:space="preserve">A </w:t>
      </w:r>
      <w:proofErr w:type="spellStart"/>
      <w:r w:rsidRPr="00812AD1">
        <w:rPr>
          <w:b/>
          <w:bCs/>
        </w:rPr>
        <w:t>GDB</w:t>
      </w:r>
      <w:proofErr w:type="spellEnd"/>
      <w:r w:rsidRPr="00812AD1">
        <w:t xml:space="preserve"> that commences or ceases to supply </w:t>
      </w:r>
      <w:r w:rsidRPr="00812AD1">
        <w:rPr>
          <w:b/>
          <w:bCs/>
        </w:rPr>
        <w:t>gas pipeline services</w:t>
      </w:r>
      <w:r w:rsidRPr="00812AD1">
        <w:t xml:space="preserve"> to any </w:t>
      </w:r>
      <w:r w:rsidRPr="00812AD1">
        <w:rPr>
          <w:b/>
          <w:bCs/>
        </w:rPr>
        <w:t>consumer</w:t>
      </w:r>
      <w:r w:rsidRPr="00812AD1">
        <w:rPr>
          <w:bCs/>
        </w:rPr>
        <w:t>, shipper or welded party</w:t>
      </w:r>
      <w:r w:rsidRPr="00812AD1">
        <w:t xml:space="preserve"> in an </w:t>
      </w:r>
      <w:r w:rsidRPr="00812AD1">
        <w:rPr>
          <w:b/>
          <w:bCs/>
        </w:rPr>
        <w:t xml:space="preserve">assessment period </w:t>
      </w:r>
      <w:r w:rsidRPr="00812AD1">
        <w:t xml:space="preserve">as a result of the </w:t>
      </w:r>
      <w:proofErr w:type="spellStart"/>
      <w:r w:rsidRPr="00812AD1">
        <w:rPr>
          <w:b/>
          <w:bCs/>
        </w:rPr>
        <w:t>GDB</w:t>
      </w:r>
      <w:proofErr w:type="spellEnd"/>
      <w:r w:rsidRPr="00812AD1">
        <w:t xml:space="preserve"> participating in a transaction involving a transfer of assets to or from another </w:t>
      </w:r>
      <w:proofErr w:type="spellStart"/>
      <w:r w:rsidRPr="00812AD1">
        <w:rPr>
          <w:b/>
          <w:bCs/>
        </w:rPr>
        <w:t>GDB</w:t>
      </w:r>
      <w:proofErr w:type="spellEnd"/>
      <w:r w:rsidRPr="00812AD1">
        <w:t xml:space="preserve"> (other than a transaction which is an </w:t>
      </w:r>
      <w:r w:rsidRPr="00812AD1">
        <w:rPr>
          <w:b/>
          <w:bCs/>
        </w:rPr>
        <w:t>amalgamation</w:t>
      </w:r>
      <w:r w:rsidRPr="00812AD1">
        <w:t xml:space="preserve"> or a </w:t>
      </w:r>
      <w:r w:rsidRPr="00812AD1">
        <w:rPr>
          <w:b/>
          <w:bCs/>
        </w:rPr>
        <w:t>merger or acquisition</w:t>
      </w:r>
      <w:r w:rsidRPr="00812AD1">
        <w:t xml:space="preserve">), must increase or decrease the allowable notional revenue and notional revenue calculated for that </w:t>
      </w:r>
      <w:r w:rsidRPr="00812AD1">
        <w:rPr>
          <w:b/>
          <w:bCs/>
        </w:rPr>
        <w:t>assessment period</w:t>
      </w:r>
      <w:r w:rsidRPr="00812AD1">
        <w:t xml:space="preserve"> as specified in Schedule 7.</w:t>
      </w:r>
    </w:p>
    <w:p w:rsidR="00D35193" w:rsidRPr="00812AD1" w:rsidRDefault="00D35193" w:rsidP="00D35193">
      <w:pPr>
        <w:pStyle w:val="Para2"/>
        <w:numPr>
          <w:ilvl w:val="0"/>
          <w:numId w:val="0"/>
        </w:numPr>
        <w:tabs>
          <w:tab w:val="left" w:pos="720"/>
        </w:tabs>
        <w:ind w:left="1418" w:hanging="709"/>
        <w:rPr>
          <w:i/>
          <w:iCs/>
        </w:rPr>
      </w:pPr>
      <w:r w:rsidRPr="00812AD1">
        <w:rPr>
          <w:i/>
          <w:iCs/>
        </w:rPr>
        <w:t xml:space="preserve">Alternative demonstration of compliance for amalgamation or merger or acquisition </w:t>
      </w:r>
    </w:p>
    <w:p w:rsidR="00D35193" w:rsidRPr="00812AD1" w:rsidRDefault="00D35193" w:rsidP="00D35193">
      <w:pPr>
        <w:pStyle w:val="Para2"/>
        <w:numPr>
          <w:ilvl w:val="1"/>
          <w:numId w:val="107"/>
        </w:numPr>
        <w:tabs>
          <w:tab w:val="left" w:pos="720"/>
        </w:tabs>
        <w:autoSpaceDE w:val="0"/>
        <w:autoSpaceDN w:val="0"/>
        <w:ind w:left="1418" w:hanging="709"/>
      </w:pPr>
      <w:r w:rsidRPr="00812AD1">
        <w:t xml:space="preserve">If a </w:t>
      </w:r>
      <w:proofErr w:type="spellStart"/>
      <w:r w:rsidRPr="00812AD1">
        <w:rPr>
          <w:b/>
          <w:bCs/>
        </w:rPr>
        <w:t>GDB</w:t>
      </w:r>
      <w:proofErr w:type="spellEnd"/>
      <w:r w:rsidRPr="00812AD1">
        <w:t xml:space="preserve"> participates in an </w:t>
      </w:r>
      <w:r w:rsidRPr="00812AD1">
        <w:rPr>
          <w:b/>
          <w:bCs/>
        </w:rPr>
        <w:t>amalgamation</w:t>
      </w:r>
      <w:r w:rsidRPr="00812AD1">
        <w:t xml:space="preserve"> or </w:t>
      </w:r>
      <w:r w:rsidRPr="00812AD1">
        <w:rPr>
          <w:b/>
          <w:bCs/>
        </w:rPr>
        <w:t xml:space="preserve">merger or acquisition </w:t>
      </w:r>
      <w:r w:rsidRPr="00812AD1">
        <w:t xml:space="preserve">for which it does not aggregate its allowable notional revenue or notional revenue or total number of emergencies, the </w:t>
      </w:r>
      <w:proofErr w:type="spellStart"/>
      <w:r w:rsidRPr="00812AD1">
        <w:rPr>
          <w:b/>
          <w:bCs/>
        </w:rPr>
        <w:t>GDB</w:t>
      </w:r>
      <w:proofErr w:type="spellEnd"/>
      <w:r w:rsidRPr="00812AD1">
        <w:t xml:space="preserve"> must instead demonstrate to the satisfaction of the </w:t>
      </w:r>
      <w:r w:rsidRPr="00812AD1">
        <w:rPr>
          <w:b/>
          <w:bCs/>
        </w:rPr>
        <w:t>Commission</w:t>
      </w:r>
      <w:r w:rsidRPr="00812AD1">
        <w:t xml:space="preserve"> that — </w:t>
      </w:r>
    </w:p>
    <w:p w:rsidR="00D35193" w:rsidRPr="00812AD1" w:rsidRDefault="00D35193" w:rsidP="00D35193">
      <w:pPr>
        <w:pStyle w:val="Para3"/>
        <w:numPr>
          <w:ilvl w:val="2"/>
          <w:numId w:val="107"/>
        </w:numPr>
        <w:tabs>
          <w:tab w:val="left" w:pos="720"/>
        </w:tabs>
        <w:autoSpaceDE w:val="0"/>
        <w:autoSpaceDN w:val="0"/>
      </w:pPr>
      <w:r w:rsidRPr="00812AD1">
        <w:t xml:space="preserve">the aggregation could not be performed due to a lack of information available which was beyond its control; and </w:t>
      </w:r>
    </w:p>
    <w:p w:rsidR="00D35193" w:rsidRPr="00812AD1" w:rsidRDefault="00D35193" w:rsidP="00D35193">
      <w:pPr>
        <w:pStyle w:val="Para3"/>
        <w:numPr>
          <w:ilvl w:val="2"/>
          <w:numId w:val="107"/>
        </w:numPr>
        <w:tabs>
          <w:tab w:val="left" w:pos="720"/>
        </w:tabs>
        <w:autoSpaceDE w:val="0"/>
        <w:autoSpaceDN w:val="0"/>
      </w:pPr>
      <w:proofErr w:type="gramStart"/>
      <w:r w:rsidRPr="00812AD1">
        <w:t>the</w:t>
      </w:r>
      <w:proofErr w:type="gramEnd"/>
      <w:r w:rsidRPr="00812AD1">
        <w:t xml:space="preserve"> </w:t>
      </w:r>
      <w:proofErr w:type="spellStart"/>
      <w:r w:rsidRPr="00812AD1">
        <w:rPr>
          <w:b/>
          <w:bCs/>
        </w:rPr>
        <w:t>GDB</w:t>
      </w:r>
      <w:proofErr w:type="spellEnd"/>
      <w:r w:rsidRPr="00812AD1">
        <w:t xml:space="preserve"> has complied with clauses 8 and 9 by reference to an alternative assessment approach that has a substantially equivalent effect.</w:t>
      </w:r>
    </w:p>
    <w:p w:rsidR="00D35193" w:rsidRPr="00812AD1" w:rsidRDefault="00D35193" w:rsidP="00812AD1">
      <w:pPr>
        <w:pStyle w:val="Para2"/>
        <w:keepNext/>
        <w:numPr>
          <w:ilvl w:val="0"/>
          <w:numId w:val="0"/>
        </w:numPr>
        <w:tabs>
          <w:tab w:val="left" w:pos="720"/>
        </w:tabs>
        <w:ind w:left="1418" w:hanging="709"/>
        <w:rPr>
          <w:i/>
          <w:iCs/>
        </w:rPr>
      </w:pPr>
      <w:r w:rsidRPr="00812AD1">
        <w:rPr>
          <w:i/>
          <w:iCs/>
        </w:rPr>
        <w:t>Alternative demonstration of compliance for transaction</w:t>
      </w:r>
    </w:p>
    <w:p w:rsidR="00D35193" w:rsidRPr="00812AD1" w:rsidRDefault="00D35193" w:rsidP="00D35193">
      <w:pPr>
        <w:pStyle w:val="Para2"/>
        <w:numPr>
          <w:ilvl w:val="1"/>
          <w:numId w:val="109"/>
        </w:numPr>
        <w:tabs>
          <w:tab w:val="left" w:pos="720"/>
        </w:tabs>
        <w:autoSpaceDE w:val="0"/>
        <w:autoSpaceDN w:val="0"/>
        <w:ind w:left="1418" w:hanging="709"/>
      </w:pPr>
      <w:r w:rsidRPr="00812AD1">
        <w:t xml:space="preserve">If an </w:t>
      </w:r>
      <w:proofErr w:type="spellStart"/>
      <w:r w:rsidRPr="00812AD1">
        <w:rPr>
          <w:b/>
          <w:bCs/>
        </w:rPr>
        <w:t>GDB</w:t>
      </w:r>
      <w:proofErr w:type="spellEnd"/>
      <w:r w:rsidRPr="00812AD1">
        <w:t xml:space="preserve"> participates in a transaction specified in clause 10.3 for which it does not calculate the required increase or decrease to the relevant allowable notional revenue or notional revenue, the </w:t>
      </w:r>
      <w:proofErr w:type="spellStart"/>
      <w:r w:rsidRPr="00812AD1">
        <w:rPr>
          <w:b/>
          <w:bCs/>
        </w:rPr>
        <w:t>GDB</w:t>
      </w:r>
      <w:proofErr w:type="spellEnd"/>
      <w:r w:rsidRPr="00812AD1">
        <w:t xml:space="preserve"> must instead demonstrate to the satisfaction of the </w:t>
      </w:r>
      <w:r w:rsidRPr="00812AD1">
        <w:rPr>
          <w:b/>
          <w:bCs/>
        </w:rPr>
        <w:t>Commission</w:t>
      </w:r>
      <w:r w:rsidRPr="00812AD1">
        <w:t xml:space="preserve"> that — </w:t>
      </w:r>
    </w:p>
    <w:p w:rsidR="00D35193" w:rsidRPr="00812AD1" w:rsidRDefault="00D35193" w:rsidP="00D35193">
      <w:pPr>
        <w:pStyle w:val="Para3"/>
        <w:numPr>
          <w:ilvl w:val="2"/>
          <w:numId w:val="109"/>
        </w:numPr>
        <w:tabs>
          <w:tab w:val="left" w:pos="720"/>
        </w:tabs>
        <w:autoSpaceDE w:val="0"/>
        <w:autoSpaceDN w:val="0"/>
      </w:pPr>
      <w:r w:rsidRPr="00812AD1">
        <w:t xml:space="preserve">the calculation could not be performed due to a lack of information available which was beyond its control; and </w:t>
      </w:r>
    </w:p>
    <w:p w:rsidR="00D35193" w:rsidRPr="00812AD1" w:rsidRDefault="00D35193" w:rsidP="00D35193">
      <w:pPr>
        <w:pStyle w:val="Para3"/>
        <w:numPr>
          <w:ilvl w:val="2"/>
          <w:numId w:val="109"/>
        </w:numPr>
        <w:tabs>
          <w:tab w:val="left" w:pos="720"/>
        </w:tabs>
        <w:autoSpaceDE w:val="0"/>
        <w:autoSpaceDN w:val="0"/>
      </w:pPr>
      <w:proofErr w:type="gramStart"/>
      <w:r w:rsidRPr="00812AD1">
        <w:t>the</w:t>
      </w:r>
      <w:proofErr w:type="gramEnd"/>
      <w:r w:rsidRPr="00812AD1">
        <w:t xml:space="preserve"> </w:t>
      </w:r>
      <w:proofErr w:type="spellStart"/>
      <w:r w:rsidRPr="00812AD1">
        <w:rPr>
          <w:b/>
          <w:bCs/>
        </w:rPr>
        <w:t>GDB</w:t>
      </w:r>
      <w:proofErr w:type="spellEnd"/>
      <w:r w:rsidRPr="00812AD1">
        <w:t xml:space="preserve"> has complied with clauses 8 and 9 by reference to an alternative assessment approach that has a substantially equivalent effect.</w:t>
      </w:r>
    </w:p>
    <w:p w:rsidR="00D35193" w:rsidRPr="00812AD1" w:rsidRDefault="00D35193" w:rsidP="00D35193">
      <w:pPr>
        <w:pStyle w:val="Para2"/>
        <w:numPr>
          <w:ilvl w:val="0"/>
          <w:numId w:val="0"/>
        </w:numPr>
        <w:tabs>
          <w:tab w:val="left" w:pos="720"/>
        </w:tabs>
        <w:ind w:left="1418" w:hanging="709"/>
        <w:rPr>
          <w:i/>
          <w:iCs/>
        </w:rPr>
      </w:pPr>
      <w:r w:rsidRPr="00812AD1">
        <w:rPr>
          <w:i/>
          <w:iCs/>
        </w:rPr>
        <w:t xml:space="preserve">Requirement to notify the Commission of large transactions </w:t>
      </w:r>
    </w:p>
    <w:p w:rsidR="00D35193" w:rsidRDefault="00D35193" w:rsidP="00D35193">
      <w:pPr>
        <w:pStyle w:val="Para2"/>
        <w:numPr>
          <w:ilvl w:val="1"/>
          <w:numId w:val="109"/>
        </w:numPr>
        <w:tabs>
          <w:tab w:val="left" w:pos="720"/>
        </w:tabs>
        <w:autoSpaceDE w:val="0"/>
        <w:autoSpaceDN w:val="0"/>
        <w:ind w:left="1418" w:hanging="709"/>
      </w:pPr>
      <w:r w:rsidRPr="00812AD1">
        <w:t xml:space="preserve">A </w:t>
      </w:r>
      <w:proofErr w:type="spellStart"/>
      <w:r w:rsidRPr="00812AD1">
        <w:rPr>
          <w:b/>
          <w:bCs/>
        </w:rPr>
        <w:t>GDB</w:t>
      </w:r>
      <w:proofErr w:type="spellEnd"/>
      <w:r w:rsidRPr="00812AD1">
        <w:t xml:space="preserve"> must notify the </w:t>
      </w:r>
      <w:r w:rsidRPr="00812AD1">
        <w:rPr>
          <w:b/>
          <w:bCs/>
        </w:rPr>
        <w:t>Commission</w:t>
      </w:r>
      <w:r w:rsidRPr="00812AD1">
        <w:t xml:space="preserve"> in writing within 30 working days of any arrangement or transaction of the t</w:t>
      </w:r>
      <w:r>
        <w:t xml:space="preserve">ype set out in clauses 10.1 to 10.3 where: </w:t>
      </w:r>
    </w:p>
    <w:p w:rsidR="00D35193" w:rsidRDefault="00D35193" w:rsidP="00D35193">
      <w:pPr>
        <w:pStyle w:val="Para3"/>
        <w:numPr>
          <w:ilvl w:val="2"/>
          <w:numId w:val="109"/>
        </w:numPr>
        <w:tabs>
          <w:tab w:val="left" w:pos="720"/>
        </w:tabs>
        <w:autoSpaceDE w:val="0"/>
        <w:autoSpaceDN w:val="0"/>
      </w:pPr>
      <w:r>
        <w:t xml:space="preserve">the total regulatory value of the </w:t>
      </w:r>
      <w:r w:rsidRPr="00D22E61">
        <w:rPr>
          <w:b/>
        </w:rPr>
        <w:t>G</w:t>
      </w:r>
      <w:r>
        <w:rPr>
          <w:b/>
        </w:rPr>
        <w:t>D</w:t>
      </w:r>
      <w:r w:rsidRPr="00D22E61">
        <w:rPr>
          <w:b/>
        </w:rPr>
        <w:t>B’s</w:t>
      </w:r>
      <w:r>
        <w:t xml:space="preserve"> assets associated with the provision of </w:t>
      </w:r>
      <w:r>
        <w:rPr>
          <w:b/>
          <w:bCs/>
        </w:rPr>
        <w:t>gas distribution services</w:t>
      </w:r>
      <w:r>
        <w:t xml:space="preserve"> is anticipated to increase or decrease by more than 10% as a result of the transaction; or</w:t>
      </w:r>
    </w:p>
    <w:p w:rsidR="00D35193" w:rsidRDefault="00D35193" w:rsidP="00D35193">
      <w:pPr>
        <w:pStyle w:val="Para3"/>
        <w:numPr>
          <w:ilvl w:val="2"/>
          <w:numId w:val="109"/>
        </w:numPr>
        <w:tabs>
          <w:tab w:val="left" w:pos="720"/>
        </w:tabs>
        <w:autoSpaceDE w:val="0"/>
        <w:autoSpaceDN w:val="0"/>
      </w:pPr>
      <w:r>
        <w:t xml:space="preserve">the </w:t>
      </w:r>
      <w:r>
        <w:rPr>
          <w:b/>
          <w:bCs/>
        </w:rPr>
        <w:t>GDB</w:t>
      </w:r>
      <w:r w:rsidRPr="00082306">
        <w:rPr>
          <w:b/>
          <w:bCs/>
        </w:rPr>
        <w:t>’s</w:t>
      </w:r>
      <w:r>
        <w:t xml:space="preserve"> total revenues recovered through </w:t>
      </w:r>
      <w:r w:rsidRPr="00082306">
        <w:rPr>
          <w:b/>
          <w:bCs/>
        </w:rPr>
        <w:t xml:space="preserve">prices </w:t>
      </w:r>
      <w:r>
        <w:t xml:space="preserve">from </w:t>
      </w:r>
      <w:r w:rsidRPr="00082306">
        <w:rPr>
          <w:b/>
          <w:bCs/>
        </w:rPr>
        <w:t>consumers</w:t>
      </w:r>
      <w:r>
        <w:t xml:space="preserve"> for the supply of </w:t>
      </w:r>
      <w:r w:rsidRPr="00082306">
        <w:rPr>
          <w:b/>
          <w:bCs/>
        </w:rPr>
        <w:t>gas distribution services</w:t>
      </w:r>
      <w:r>
        <w:t xml:space="preserve"> is anticipated to increase or decrease by more than 10% within an </w:t>
      </w:r>
      <w:r w:rsidRPr="00082306">
        <w:rPr>
          <w:b/>
          <w:bCs/>
          <w:color w:val="000000"/>
        </w:rPr>
        <w:t>assessment period</w:t>
      </w:r>
      <w:r>
        <w:t xml:space="preserve"> as a result of the transaction.</w:t>
      </w:r>
    </w:p>
    <w:p w:rsidR="0048622D" w:rsidRDefault="00F8414C" w:rsidP="0048622D">
      <w:pPr>
        <w:pStyle w:val="Heading1"/>
      </w:pPr>
      <w:bookmarkStart w:id="13" w:name="_Toc347849569"/>
      <w:bookmarkStart w:id="14" w:name="_Toc338365853"/>
      <w:bookmarkStart w:id="15" w:name="_Toc338365901"/>
      <w:bookmarkStart w:id="16" w:name="_Toc338365976"/>
      <w:bookmarkStart w:id="17" w:name="_Toc338413780"/>
      <w:bookmarkStart w:id="18" w:name="_Toc338413809"/>
      <w:bookmarkStart w:id="19" w:name="_Toc338416617"/>
      <w:bookmarkStart w:id="20" w:name="_Toc348091311"/>
      <w:bookmarkEnd w:id="13"/>
      <w:bookmarkEnd w:id="14"/>
      <w:bookmarkEnd w:id="15"/>
      <w:bookmarkEnd w:id="16"/>
      <w:bookmarkEnd w:id="17"/>
      <w:bookmarkEnd w:id="18"/>
      <w:bookmarkEnd w:id="19"/>
      <w:r>
        <w:t>C</w:t>
      </w:r>
      <w:r w:rsidR="00D53361" w:rsidRPr="00D53361">
        <w:t>ompliance statement</w:t>
      </w:r>
      <w:r>
        <w:t>s</w:t>
      </w:r>
      <w:bookmarkEnd w:id="20"/>
    </w:p>
    <w:p w:rsidR="008145FD" w:rsidRDefault="00D53361" w:rsidP="00E35DA5">
      <w:pPr>
        <w:pStyle w:val="Para2"/>
        <w:rPr>
          <w:bCs/>
          <w:iCs/>
        </w:rPr>
      </w:pPr>
      <w:r w:rsidRPr="00D53361">
        <w:rPr>
          <w:bCs/>
          <w:iCs/>
        </w:rPr>
        <w:t xml:space="preserve">Every </w:t>
      </w:r>
      <w:proofErr w:type="spellStart"/>
      <w:r w:rsidR="00FC4268" w:rsidRPr="00FC4268">
        <w:rPr>
          <w:b/>
          <w:bCs/>
          <w:iCs/>
        </w:rPr>
        <w:t>GDB</w:t>
      </w:r>
      <w:proofErr w:type="spellEnd"/>
      <w:r w:rsidRPr="00D53361">
        <w:rPr>
          <w:bCs/>
          <w:iCs/>
        </w:rPr>
        <w:t xml:space="preserve"> must</w:t>
      </w:r>
      <w:r w:rsidR="008145FD">
        <w:rPr>
          <w:bCs/>
          <w:iCs/>
        </w:rPr>
        <w:t>:</w:t>
      </w:r>
    </w:p>
    <w:p w:rsidR="008145FD" w:rsidRDefault="00D53361" w:rsidP="008145FD">
      <w:pPr>
        <w:pStyle w:val="Para3"/>
        <w:rPr>
          <w:bCs/>
          <w:iCs/>
        </w:rPr>
      </w:pPr>
      <w:r w:rsidRPr="008145FD">
        <w:rPr>
          <w:bCs/>
          <w:iCs/>
        </w:rPr>
        <w:t xml:space="preserve">provide to the </w:t>
      </w:r>
      <w:r w:rsidRPr="008145FD">
        <w:rPr>
          <w:b/>
          <w:bCs/>
          <w:iCs/>
        </w:rPr>
        <w:t>Commission</w:t>
      </w:r>
      <w:r w:rsidRPr="008145FD">
        <w:rPr>
          <w:bCs/>
          <w:iCs/>
        </w:rPr>
        <w:t xml:space="preserve"> a </w:t>
      </w:r>
      <w:r w:rsidR="0083535E" w:rsidRPr="008145FD">
        <w:rPr>
          <w:bCs/>
          <w:iCs/>
        </w:rPr>
        <w:t xml:space="preserve">written </w:t>
      </w:r>
      <w:r w:rsidRPr="008145FD">
        <w:rPr>
          <w:b/>
          <w:bCs/>
          <w:iCs/>
        </w:rPr>
        <w:t>compliance statement</w:t>
      </w:r>
      <w:r w:rsidRPr="008145FD">
        <w:rPr>
          <w:bCs/>
          <w:iCs/>
        </w:rPr>
        <w:t xml:space="preserve"> </w:t>
      </w:r>
      <w:r w:rsidR="001F2D55" w:rsidRPr="008145FD">
        <w:rPr>
          <w:bCs/>
          <w:iCs/>
        </w:rPr>
        <w:t xml:space="preserve">within </w:t>
      </w:r>
      <w:r w:rsidR="00107623" w:rsidRPr="008145FD">
        <w:rPr>
          <w:bCs/>
          <w:iCs/>
        </w:rPr>
        <w:t xml:space="preserve">50 </w:t>
      </w:r>
      <w:r w:rsidR="007430E1">
        <w:rPr>
          <w:bCs/>
          <w:iCs/>
        </w:rPr>
        <w:t>working days</w:t>
      </w:r>
      <w:r w:rsidR="00107623" w:rsidRPr="008145FD">
        <w:rPr>
          <w:bCs/>
          <w:iCs/>
        </w:rPr>
        <w:t xml:space="preserve"> </w:t>
      </w:r>
      <w:r w:rsidR="001F2D55" w:rsidRPr="008145FD">
        <w:rPr>
          <w:bCs/>
          <w:iCs/>
        </w:rPr>
        <w:t>following</w:t>
      </w:r>
      <w:r w:rsidR="00107623" w:rsidRPr="008145FD">
        <w:rPr>
          <w:bCs/>
          <w:iCs/>
        </w:rPr>
        <w:t xml:space="preserve"> </w:t>
      </w:r>
      <w:r w:rsidR="00BC5202" w:rsidRPr="008145FD">
        <w:rPr>
          <w:bCs/>
          <w:iCs/>
        </w:rPr>
        <w:t xml:space="preserve">the end of </w:t>
      </w:r>
      <w:r w:rsidR="00107623" w:rsidRPr="008145FD">
        <w:rPr>
          <w:bCs/>
          <w:iCs/>
        </w:rPr>
        <w:t xml:space="preserve">each </w:t>
      </w:r>
      <w:r w:rsidR="00E91026" w:rsidRPr="008145FD">
        <w:rPr>
          <w:b/>
          <w:bCs/>
          <w:iCs/>
        </w:rPr>
        <w:t>assessment</w:t>
      </w:r>
      <w:r w:rsidRPr="008145FD">
        <w:rPr>
          <w:b/>
          <w:bCs/>
          <w:iCs/>
        </w:rPr>
        <w:t xml:space="preserve"> </w:t>
      </w:r>
      <w:r w:rsidR="00BC5202" w:rsidRPr="008145FD">
        <w:rPr>
          <w:b/>
          <w:bCs/>
          <w:iCs/>
        </w:rPr>
        <w:t>period</w:t>
      </w:r>
      <w:r w:rsidR="008145FD">
        <w:rPr>
          <w:bCs/>
          <w:iCs/>
        </w:rPr>
        <w:t>; and</w:t>
      </w:r>
    </w:p>
    <w:p w:rsidR="00D53361" w:rsidRPr="008145FD" w:rsidRDefault="009433F3" w:rsidP="008145FD">
      <w:pPr>
        <w:pStyle w:val="Para3"/>
        <w:rPr>
          <w:bCs/>
          <w:iCs/>
        </w:rPr>
      </w:pPr>
      <w:proofErr w:type="gramStart"/>
      <w:r>
        <w:rPr>
          <w:bCs/>
          <w:iCs/>
        </w:rPr>
        <w:t>make</w:t>
      </w:r>
      <w:proofErr w:type="gramEnd"/>
      <w:r w:rsidRPr="008145FD">
        <w:rPr>
          <w:bCs/>
          <w:iCs/>
        </w:rPr>
        <w:t xml:space="preserve"> </w:t>
      </w:r>
      <w:r w:rsidR="008145FD" w:rsidRPr="008145FD">
        <w:rPr>
          <w:bCs/>
          <w:iCs/>
        </w:rPr>
        <w:t xml:space="preserve">its </w:t>
      </w:r>
      <w:r w:rsidR="008145FD" w:rsidRPr="008145FD">
        <w:rPr>
          <w:b/>
          <w:bCs/>
          <w:iCs/>
        </w:rPr>
        <w:t>compliance statement</w:t>
      </w:r>
      <w:r w:rsidR="008145FD" w:rsidRPr="008145FD">
        <w:rPr>
          <w:bCs/>
          <w:iCs/>
        </w:rPr>
        <w:t xml:space="preserve"> </w:t>
      </w:r>
      <w:r>
        <w:rPr>
          <w:bCs/>
          <w:iCs/>
        </w:rPr>
        <w:t xml:space="preserve">publicly available </w:t>
      </w:r>
      <w:r w:rsidR="008145FD" w:rsidRPr="008145FD">
        <w:rPr>
          <w:bCs/>
          <w:iCs/>
        </w:rPr>
        <w:t xml:space="preserve">on its website within </w:t>
      </w:r>
      <w:r w:rsidR="008145FD">
        <w:rPr>
          <w:bCs/>
          <w:iCs/>
        </w:rPr>
        <w:t xml:space="preserve">5 </w:t>
      </w:r>
      <w:r w:rsidR="00196BDA">
        <w:rPr>
          <w:bCs/>
          <w:iCs/>
        </w:rPr>
        <w:t xml:space="preserve">working </w:t>
      </w:r>
      <w:r w:rsidR="008145FD">
        <w:rPr>
          <w:bCs/>
          <w:iCs/>
        </w:rPr>
        <w:t>days</w:t>
      </w:r>
      <w:r w:rsidR="008145FD" w:rsidRPr="008145FD">
        <w:rPr>
          <w:bCs/>
          <w:iCs/>
        </w:rPr>
        <w:t xml:space="preserve"> after </w:t>
      </w:r>
      <w:r>
        <w:rPr>
          <w:bCs/>
          <w:iCs/>
        </w:rPr>
        <w:t>providing</w:t>
      </w:r>
      <w:r w:rsidRPr="008145FD">
        <w:rPr>
          <w:bCs/>
          <w:iCs/>
        </w:rPr>
        <w:t xml:space="preserve"> </w:t>
      </w:r>
      <w:r w:rsidR="008145FD" w:rsidRPr="008145FD">
        <w:rPr>
          <w:bCs/>
          <w:iCs/>
        </w:rPr>
        <w:t xml:space="preserve">it to the </w:t>
      </w:r>
      <w:r w:rsidR="008145FD" w:rsidRPr="008145FD">
        <w:rPr>
          <w:b/>
          <w:bCs/>
          <w:iCs/>
        </w:rPr>
        <w:t>Commission</w:t>
      </w:r>
      <w:r w:rsidR="008145FD" w:rsidRPr="008145FD">
        <w:rPr>
          <w:bCs/>
          <w:iCs/>
        </w:rPr>
        <w:t>.</w:t>
      </w:r>
    </w:p>
    <w:p w:rsidR="00C76C61" w:rsidRDefault="00E91026" w:rsidP="0083535E">
      <w:pPr>
        <w:pStyle w:val="Para2"/>
        <w:rPr>
          <w:bCs/>
          <w:iCs/>
        </w:rPr>
      </w:pPr>
      <w:r w:rsidRPr="00EC63FD">
        <w:rPr>
          <w:bCs/>
          <w:iCs/>
        </w:rPr>
        <w:t xml:space="preserve">The </w:t>
      </w:r>
      <w:r w:rsidRPr="00EC63FD">
        <w:rPr>
          <w:b/>
          <w:bCs/>
          <w:iCs/>
        </w:rPr>
        <w:t>compliance statement</w:t>
      </w:r>
      <w:r w:rsidRPr="00EC63FD">
        <w:rPr>
          <w:bCs/>
          <w:iCs/>
        </w:rPr>
        <w:t xml:space="preserve"> must</w:t>
      </w:r>
      <w:r w:rsidR="00C76C61">
        <w:rPr>
          <w:bCs/>
          <w:iCs/>
        </w:rPr>
        <w:t>:</w:t>
      </w:r>
    </w:p>
    <w:p w:rsidR="008605D2" w:rsidRDefault="00E91026" w:rsidP="00C76C61">
      <w:pPr>
        <w:pStyle w:val="Para3"/>
      </w:pPr>
      <w:r w:rsidRPr="0083535E">
        <w:t>state whether or not</w:t>
      </w:r>
      <w:r w:rsidR="0083535E" w:rsidRPr="0083535E">
        <w:t xml:space="preserve"> the </w:t>
      </w:r>
      <w:proofErr w:type="spellStart"/>
      <w:r w:rsidR="0083535E" w:rsidRPr="0083535E">
        <w:rPr>
          <w:b/>
        </w:rPr>
        <w:t>GDB</w:t>
      </w:r>
      <w:proofErr w:type="spellEnd"/>
      <w:r w:rsidR="0083535E" w:rsidRPr="0083535E">
        <w:t xml:space="preserve"> has</w:t>
      </w:r>
      <w:r w:rsidR="0083535E">
        <w:t xml:space="preserve"> </w:t>
      </w:r>
      <w:r w:rsidR="0083535E" w:rsidRPr="00554B2B">
        <w:t>complied with</w:t>
      </w:r>
      <w:r w:rsidR="000D1E77">
        <w:t>:</w:t>
      </w:r>
      <w:r w:rsidRPr="00EC63FD">
        <w:t xml:space="preserve"> </w:t>
      </w:r>
    </w:p>
    <w:p w:rsidR="008605D2" w:rsidRPr="00C76C61" w:rsidRDefault="0083535E" w:rsidP="00C76C61">
      <w:pPr>
        <w:pStyle w:val="Para4"/>
        <w:rPr>
          <w:bCs/>
          <w:iCs/>
        </w:rPr>
      </w:pPr>
      <w:r w:rsidRPr="00C76C61">
        <w:rPr>
          <w:bCs/>
          <w:iCs/>
        </w:rPr>
        <w:t xml:space="preserve">the price path in </w:t>
      </w:r>
      <w:r w:rsidR="00E91026" w:rsidRPr="00C76C61">
        <w:rPr>
          <w:bCs/>
          <w:iCs/>
        </w:rPr>
        <w:t xml:space="preserve">clause 8 </w:t>
      </w:r>
      <w:r w:rsidR="004622D8" w:rsidRPr="00C76C61">
        <w:rPr>
          <w:bCs/>
          <w:iCs/>
        </w:rPr>
        <w:t>for</w:t>
      </w:r>
      <w:r w:rsidR="00E91026" w:rsidRPr="00C76C61">
        <w:rPr>
          <w:bCs/>
          <w:iCs/>
        </w:rPr>
        <w:t xml:space="preserve"> the </w:t>
      </w:r>
      <w:r w:rsidR="00E91026" w:rsidRPr="00C76C61">
        <w:rPr>
          <w:b/>
          <w:bCs/>
          <w:iCs/>
        </w:rPr>
        <w:t>assessment period</w:t>
      </w:r>
      <w:r w:rsidR="00E91026" w:rsidRPr="00C76C61">
        <w:rPr>
          <w:bCs/>
          <w:iCs/>
        </w:rPr>
        <w:t xml:space="preserve">; and </w:t>
      </w:r>
    </w:p>
    <w:p w:rsidR="008605D2" w:rsidRDefault="0083535E" w:rsidP="00C76C61">
      <w:pPr>
        <w:pStyle w:val="Para4"/>
        <w:rPr>
          <w:bCs/>
          <w:iCs/>
        </w:rPr>
      </w:pPr>
      <w:r w:rsidRPr="00C76C61">
        <w:rPr>
          <w:bCs/>
          <w:iCs/>
        </w:rPr>
        <w:t>the quality standards in clause 9</w:t>
      </w:r>
      <w:r w:rsidR="004622D8" w:rsidRPr="00C76C61">
        <w:rPr>
          <w:bCs/>
          <w:iCs/>
        </w:rPr>
        <w:t xml:space="preserve"> </w:t>
      </w:r>
      <w:r w:rsidR="005C5613" w:rsidRPr="00C76C61">
        <w:rPr>
          <w:bCs/>
          <w:iCs/>
        </w:rPr>
        <w:t xml:space="preserve">for the </w:t>
      </w:r>
      <w:r w:rsidR="005C5613" w:rsidRPr="00C76C61">
        <w:rPr>
          <w:b/>
          <w:bCs/>
          <w:iCs/>
        </w:rPr>
        <w:t>assessment period</w:t>
      </w:r>
      <w:r w:rsidR="000D1E77" w:rsidRPr="00C76C61">
        <w:rPr>
          <w:bCs/>
          <w:iCs/>
        </w:rPr>
        <w:t>;</w:t>
      </w:r>
    </w:p>
    <w:p w:rsidR="00C76C61" w:rsidRPr="00D53361" w:rsidRDefault="00C76C61" w:rsidP="00C76C61">
      <w:pPr>
        <w:pStyle w:val="Para3"/>
      </w:pPr>
      <w:r>
        <w:t xml:space="preserve">state </w:t>
      </w:r>
      <w:r w:rsidRPr="00D53361">
        <w:t xml:space="preserve">the date on which the statement was prepared; </w:t>
      </w:r>
    </w:p>
    <w:p w:rsidR="00C76C61" w:rsidRPr="00D53361" w:rsidRDefault="00C76C61" w:rsidP="00C76C61">
      <w:pPr>
        <w:pStyle w:val="Para3"/>
      </w:pPr>
      <w:r>
        <w:t xml:space="preserve">include </w:t>
      </w:r>
      <w:r w:rsidRPr="00D53361">
        <w:t xml:space="preserve">a certificate in the form set out in Schedule </w:t>
      </w:r>
      <w:r w:rsidR="00F153F9">
        <w:t>8</w:t>
      </w:r>
      <w:r w:rsidRPr="00D53361">
        <w:t xml:space="preserve">, signed by at least </w:t>
      </w:r>
      <w:r>
        <w:t>one</w:t>
      </w:r>
      <w:r w:rsidRPr="00D53361">
        <w:t xml:space="preserve"> </w:t>
      </w:r>
      <w:r w:rsidRPr="00D53361">
        <w:rPr>
          <w:b/>
        </w:rPr>
        <w:t>director</w:t>
      </w:r>
      <w:r w:rsidRPr="00D53361">
        <w:t xml:space="preserve"> of the </w:t>
      </w:r>
      <w:proofErr w:type="spellStart"/>
      <w:r w:rsidRPr="00FC4268">
        <w:rPr>
          <w:b/>
        </w:rPr>
        <w:t>GDB</w:t>
      </w:r>
      <w:proofErr w:type="spellEnd"/>
      <w:r>
        <w:t>;</w:t>
      </w:r>
      <w:r w:rsidRPr="00C76C61">
        <w:t xml:space="preserve"> </w:t>
      </w:r>
      <w:r w:rsidRPr="00D53361">
        <w:t>and</w:t>
      </w:r>
    </w:p>
    <w:p w:rsidR="00C76C61" w:rsidRPr="00C76C61" w:rsidRDefault="00C76C61" w:rsidP="00C76C61">
      <w:pPr>
        <w:pStyle w:val="Para3"/>
        <w:rPr>
          <w:bCs/>
          <w:iCs/>
        </w:rPr>
      </w:pPr>
      <w:proofErr w:type="gramStart"/>
      <w:r w:rsidRPr="00C76C61">
        <w:rPr>
          <w:bCs/>
          <w:iCs/>
        </w:rPr>
        <w:t>be</w:t>
      </w:r>
      <w:proofErr w:type="gramEnd"/>
      <w:r w:rsidRPr="00C76C61">
        <w:rPr>
          <w:bCs/>
          <w:iCs/>
        </w:rPr>
        <w:t xml:space="preserve"> accompanied by a report on the </w:t>
      </w:r>
      <w:r w:rsidRPr="00C76C61">
        <w:rPr>
          <w:b/>
          <w:bCs/>
          <w:iCs/>
        </w:rPr>
        <w:t>compliance statement</w:t>
      </w:r>
      <w:r w:rsidRPr="00C76C61">
        <w:rPr>
          <w:bCs/>
          <w:iCs/>
        </w:rPr>
        <w:t xml:space="preserve"> that is signed by an </w:t>
      </w:r>
      <w:r w:rsidRPr="00C76C61">
        <w:rPr>
          <w:b/>
          <w:bCs/>
          <w:iCs/>
        </w:rPr>
        <w:t>auditor</w:t>
      </w:r>
      <w:r w:rsidRPr="00C76C61">
        <w:rPr>
          <w:bCs/>
          <w:iCs/>
        </w:rPr>
        <w:t xml:space="preserve"> and is in the form set out in Schedule </w:t>
      </w:r>
      <w:r w:rsidR="00F153F9">
        <w:rPr>
          <w:bCs/>
          <w:iCs/>
        </w:rPr>
        <w:t>9</w:t>
      </w:r>
      <w:r w:rsidRPr="00C76C61">
        <w:rPr>
          <w:bCs/>
          <w:iCs/>
        </w:rPr>
        <w:t>.</w:t>
      </w:r>
    </w:p>
    <w:p w:rsidR="00FE1D7F" w:rsidRDefault="0083535E" w:rsidP="004E0D60">
      <w:pPr>
        <w:pStyle w:val="Para2"/>
        <w:rPr>
          <w:bCs/>
          <w:iCs/>
        </w:rPr>
      </w:pPr>
      <w:r w:rsidRPr="00FE1D7F">
        <w:rPr>
          <w:bCs/>
          <w:iCs/>
        </w:rPr>
        <w:t xml:space="preserve">The </w:t>
      </w:r>
      <w:r w:rsidRPr="00FE1D7F">
        <w:rPr>
          <w:b/>
          <w:bCs/>
          <w:iCs/>
        </w:rPr>
        <w:t>compliance statement</w:t>
      </w:r>
      <w:r w:rsidRPr="00FE1D7F">
        <w:rPr>
          <w:bCs/>
          <w:iCs/>
        </w:rPr>
        <w:t xml:space="preserve"> must</w:t>
      </w:r>
      <w:r w:rsidR="00FE1D7F">
        <w:rPr>
          <w:bCs/>
          <w:iCs/>
        </w:rPr>
        <w:t xml:space="preserve"> </w:t>
      </w:r>
      <w:r w:rsidR="00AF1DF8">
        <w:rPr>
          <w:bCs/>
          <w:iCs/>
        </w:rPr>
        <w:t xml:space="preserve">include </w:t>
      </w:r>
      <w:r w:rsidR="005C5613" w:rsidRPr="00FE1D7F">
        <w:rPr>
          <w:bCs/>
          <w:iCs/>
        </w:rPr>
        <w:t>any</w:t>
      </w:r>
      <w:r w:rsidR="00E91026" w:rsidRPr="00FE1D7F">
        <w:rPr>
          <w:bCs/>
          <w:iCs/>
        </w:rPr>
        <w:t xml:space="preserve"> information </w:t>
      </w:r>
      <w:r w:rsidR="005C5613" w:rsidRPr="00FE1D7F">
        <w:rPr>
          <w:bCs/>
          <w:iCs/>
        </w:rPr>
        <w:t xml:space="preserve">reasonably necessary to demonstrate </w:t>
      </w:r>
      <w:r w:rsidR="004E0D60" w:rsidRPr="00FE1D7F">
        <w:rPr>
          <w:bCs/>
          <w:iCs/>
        </w:rPr>
        <w:t xml:space="preserve">whether the </w:t>
      </w:r>
      <w:proofErr w:type="spellStart"/>
      <w:r w:rsidR="00FE1D7F" w:rsidRPr="00FE1D7F">
        <w:rPr>
          <w:b/>
          <w:bCs/>
          <w:iCs/>
        </w:rPr>
        <w:t>GDB</w:t>
      </w:r>
      <w:proofErr w:type="spellEnd"/>
      <w:r w:rsidR="00FE1D7F" w:rsidRPr="00FE1D7F">
        <w:rPr>
          <w:bCs/>
          <w:iCs/>
        </w:rPr>
        <w:t xml:space="preserve"> </w:t>
      </w:r>
      <w:r w:rsidR="004E0D60" w:rsidRPr="00FE1D7F">
        <w:rPr>
          <w:bCs/>
          <w:iCs/>
        </w:rPr>
        <w:t xml:space="preserve">has complied </w:t>
      </w:r>
      <w:r w:rsidR="005C5613" w:rsidRPr="00FE1D7F">
        <w:rPr>
          <w:bCs/>
          <w:iCs/>
        </w:rPr>
        <w:t>with</w:t>
      </w:r>
      <w:r w:rsidR="00FE1D7F">
        <w:rPr>
          <w:bCs/>
          <w:iCs/>
        </w:rPr>
        <w:t>:</w:t>
      </w:r>
    </w:p>
    <w:p w:rsidR="008605D2" w:rsidRPr="00FE1D7F" w:rsidRDefault="005C5613" w:rsidP="00FE1D7F">
      <w:pPr>
        <w:pStyle w:val="Para3"/>
        <w:rPr>
          <w:bCs/>
          <w:iCs/>
        </w:rPr>
      </w:pPr>
      <w:r w:rsidRPr="00FE1D7F">
        <w:rPr>
          <w:bCs/>
          <w:iCs/>
        </w:rPr>
        <w:t>clause 8, including but not limited to</w:t>
      </w:r>
      <w:r w:rsidR="00D35FF1" w:rsidRPr="00FE1D7F">
        <w:rPr>
          <w:bCs/>
          <w:iCs/>
        </w:rPr>
        <w:t>:</w:t>
      </w:r>
      <w:r w:rsidR="00E91026" w:rsidRPr="00FE1D7F">
        <w:rPr>
          <w:bCs/>
          <w:iCs/>
        </w:rPr>
        <w:t xml:space="preserve"> </w:t>
      </w:r>
    </w:p>
    <w:p w:rsidR="008605D2" w:rsidRDefault="00D53361" w:rsidP="004E0D60">
      <w:pPr>
        <w:pStyle w:val="Para4"/>
      </w:pPr>
      <w:r w:rsidRPr="00D53361">
        <w:t xml:space="preserve">the amount of allowable notional revenue, the amount of notional revenue, </w:t>
      </w:r>
      <w:r w:rsidRPr="005C5613">
        <w:rPr>
          <w:b/>
        </w:rPr>
        <w:t>prices</w:t>
      </w:r>
      <w:r w:rsidRPr="00D53361">
        <w:t xml:space="preserve">, </w:t>
      </w:r>
      <w:r w:rsidRPr="005C5613">
        <w:rPr>
          <w:b/>
        </w:rPr>
        <w:t>quantities</w:t>
      </w:r>
      <w:r w:rsidRPr="00D53361">
        <w:t xml:space="preserve">, units of measurement associated with all numeric data, and other relevant data, information, and calculations; </w:t>
      </w:r>
    </w:p>
    <w:p w:rsidR="008605D2" w:rsidRDefault="00D53361" w:rsidP="004E0D60">
      <w:pPr>
        <w:pStyle w:val="Para4"/>
      </w:pPr>
      <w:r w:rsidRPr="00D53361">
        <w:t xml:space="preserve">the amounts of </w:t>
      </w:r>
      <w:r w:rsidRPr="004E0D60">
        <w:rPr>
          <w:b/>
        </w:rPr>
        <w:t>pass-through costs</w:t>
      </w:r>
      <w:r w:rsidRPr="00D53361">
        <w:t xml:space="preserve"> and </w:t>
      </w:r>
      <w:r w:rsidRPr="004E0D60">
        <w:rPr>
          <w:b/>
        </w:rPr>
        <w:t>recoverable costs</w:t>
      </w:r>
      <w:r w:rsidR="00D35FF1" w:rsidRPr="00D35FF1">
        <w:t xml:space="preserve">, </w:t>
      </w:r>
      <w:r w:rsidR="00D35FF1" w:rsidRPr="00D53361">
        <w:t>and other relevant data, information, and calculations</w:t>
      </w:r>
      <w:r w:rsidRPr="00D53361">
        <w:t>;</w:t>
      </w:r>
      <w:r w:rsidR="009433F3" w:rsidRPr="009433F3">
        <w:t xml:space="preserve"> </w:t>
      </w:r>
      <w:r w:rsidR="009433F3">
        <w:t>and</w:t>
      </w:r>
    </w:p>
    <w:p w:rsidR="00D35FF1" w:rsidRPr="004E0D60" w:rsidRDefault="00D35FF1" w:rsidP="004E0D60">
      <w:pPr>
        <w:pStyle w:val="Para4"/>
        <w:rPr>
          <w:bCs/>
          <w:iCs/>
        </w:rPr>
      </w:pPr>
      <w:r>
        <w:t xml:space="preserve">if the </w:t>
      </w:r>
      <w:proofErr w:type="spellStart"/>
      <w:r w:rsidRPr="004E0D60">
        <w:rPr>
          <w:b/>
        </w:rPr>
        <w:t>GDB</w:t>
      </w:r>
      <w:proofErr w:type="spellEnd"/>
      <w:r>
        <w:t xml:space="preserve"> has not complied with the </w:t>
      </w:r>
      <w:r w:rsidRPr="004E0D60">
        <w:rPr>
          <w:bCs/>
          <w:iCs/>
        </w:rPr>
        <w:t>price path</w:t>
      </w:r>
      <w:r>
        <w:t>, the reasons for the non-compliance;</w:t>
      </w:r>
      <w:r w:rsidR="006652C9">
        <w:t xml:space="preserve"> and</w:t>
      </w:r>
    </w:p>
    <w:p w:rsidR="00FE1D7F" w:rsidRPr="00FE1D7F" w:rsidRDefault="00FE1D7F" w:rsidP="00FE1D7F">
      <w:pPr>
        <w:pStyle w:val="Para3"/>
        <w:rPr>
          <w:szCs w:val="24"/>
        </w:rPr>
      </w:pPr>
      <w:r w:rsidRPr="00FE1D7F">
        <w:rPr>
          <w:bCs/>
          <w:iCs/>
        </w:rPr>
        <w:t>clause 9, including but not limited to:</w:t>
      </w:r>
    </w:p>
    <w:p w:rsidR="00FE1D7F" w:rsidRPr="00FE1D7F" w:rsidRDefault="00FE1D7F" w:rsidP="00FE1D7F">
      <w:pPr>
        <w:pStyle w:val="Para4"/>
        <w:rPr>
          <w:szCs w:val="24"/>
        </w:rPr>
      </w:pPr>
      <w:r w:rsidRPr="00FE1D7F">
        <w:rPr>
          <w:szCs w:val="24"/>
        </w:rPr>
        <w:t xml:space="preserve">relevant incident data and calculations; </w:t>
      </w:r>
    </w:p>
    <w:p w:rsidR="00FE1D7F" w:rsidRPr="00FE1D7F" w:rsidRDefault="00FE1D7F" w:rsidP="00FE1D7F">
      <w:pPr>
        <w:pStyle w:val="Para4"/>
        <w:rPr>
          <w:szCs w:val="24"/>
        </w:rPr>
      </w:pPr>
      <w:r w:rsidRPr="00FE1D7F">
        <w:rPr>
          <w:rFonts w:cs="Calibri"/>
          <w:color w:val="000000"/>
          <w:szCs w:val="24"/>
          <w:lang w:eastAsia="en-NZ"/>
        </w:rPr>
        <w:t xml:space="preserve">a description of policies and procedures which the </w:t>
      </w:r>
      <w:proofErr w:type="spellStart"/>
      <w:r w:rsidRPr="00FE1D7F">
        <w:rPr>
          <w:rFonts w:cs="Calibri"/>
          <w:b/>
          <w:color w:val="000000"/>
          <w:szCs w:val="24"/>
          <w:lang w:eastAsia="en-NZ"/>
        </w:rPr>
        <w:t>GDB</w:t>
      </w:r>
      <w:proofErr w:type="spellEnd"/>
      <w:r w:rsidRPr="00FE1D7F">
        <w:rPr>
          <w:rFonts w:cs="Calibri"/>
          <w:color w:val="000000"/>
          <w:szCs w:val="24"/>
          <w:lang w:eastAsia="en-NZ"/>
        </w:rPr>
        <w:t xml:space="preserve"> has used for recording the </w:t>
      </w:r>
      <w:r w:rsidRPr="00FE1D7F">
        <w:rPr>
          <w:rFonts w:cs="Calibri"/>
          <w:b/>
          <w:color w:val="000000"/>
          <w:szCs w:val="24"/>
          <w:lang w:eastAsia="en-NZ"/>
        </w:rPr>
        <w:t>RTE</w:t>
      </w:r>
      <w:r w:rsidRPr="00FE1D7F">
        <w:rPr>
          <w:rFonts w:cs="Calibri"/>
          <w:color w:val="000000"/>
          <w:szCs w:val="24"/>
          <w:lang w:eastAsia="en-NZ"/>
        </w:rPr>
        <w:t xml:space="preserve"> statistics for the </w:t>
      </w:r>
      <w:r w:rsidRPr="00FE1D7F">
        <w:rPr>
          <w:rFonts w:cs="Calibri"/>
          <w:b/>
          <w:color w:val="000000"/>
          <w:szCs w:val="24"/>
          <w:lang w:eastAsia="en-NZ"/>
        </w:rPr>
        <w:t>assessment period</w:t>
      </w:r>
      <w:r w:rsidRPr="00FE1D7F">
        <w:rPr>
          <w:rFonts w:cs="Calibri"/>
          <w:color w:val="000000"/>
          <w:szCs w:val="24"/>
          <w:lang w:eastAsia="en-NZ"/>
        </w:rPr>
        <w:t xml:space="preserve">; </w:t>
      </w:r>
    </w:p>
    <w:p w:rsidR="00FE1D7F" w:rsidRPr="00FE1D7F" w:rsidRDefault="00FE1D7F" w:rsidP="00FE1D7F">
      <w:pPr>
        <w:pStyle w:val="Para4"/>
        <w:rPr>
          <w:szCs w:val="24"/>
        </w:rPr>
      </w:pPr>
      <w:r w:rsidRPr="00FE1D7F">
        <w:rPr>
          <w:rFonts w:cs="Calibri"/>
          <w:color w:val="000000"/>
          <w:szCs w:val="24"/>
          <w:lang w:eastAsia="en-NZ"/>
        </w:rPr>
        <w:t xml:space="preserve">any </w:t>
      </w:r>
      <w:r w:rsidR="006A21DF">
        <w:rPr>
          <w:rFonts w:cs="Calibri"/>
          <w:color w:val="000000"/>
          <w:szCs w:val="24"/>
          <w:lang w:eastAsia="en-NZ"/>
        </w:rPr>
        <w:t>exclusions</w:t>
      </w:r>
      <w:r w:rsidR="006A21DF" w:rsidRPr="00FE1D7F">
        <w:rPr>
          <w:rFonts w:cs="Calibri"/>
          <w:color w:val="000000"/>
          <w:szCs w:val="24"/>
          <w:lang w:eastAsia="en-NZ"/>
        </w:rPr>
        <w:t xml:space="preserve"> </w:t>
      </w:r>
      <w:r w:rsidRPr="00FE1D7F">
        <w:rPr>
          <w:rFonts w:cs="Calibri"/>
          <w:color w:val="000000"/>
          <w:szCs w:val="24"/>
          <w:lang w:eastAsia="en-NZ"/>
        </w:rPr>
        <w:t xml:space="preserve">that have </w:t>
      </w:r>
      <w:r>
        <w:rPr>
          <w:rFonts w:cs="Calibri"/>
          <w:color w:val="000000"/>
          <w:szCs w:val="24"/>
          <w:lang w:eastAsia="en-NZ"/>
        </w:rPr>
        <w:t xml:space="preserve">been </w:t>
      </w:r>
      <w:r w:rsidR="006A21DF">
        <w:rPr>
          <w:rFonts w:cs="Calibri"/>
          <w:color w:val="000000"/>
          <w:szCs w:val="24"/>
          <w:lang w:eastAsia="en-NZ"/>
        </w:rPr>
        <w:t xml:space="preserve">agreed to </w:t>
      </w:r>
      <w:r>
        <w:rPr>
          <w:rFonts w:cs="Calibri"/>
          <w:color w:val="000000"/>
          <w:szCs w:val="24"/>
          <w:lang w:eastAsia="en-NZ"/>
        </w:rPr>
        <w:t xml:space="preserve">by the </w:t>
      </w:r>
      <w:r w:rsidRPr="00FE1D7F">
        <w:rPr>
          <w:rFonts w:cs="Calibri"/>
          <w:b/>
          <w:color w:val="000000"/>
          <w:szCs w:val="24"/>
          <w:lang w:eastAsia="en-NZ"/>
        </w:rPr>
        <w:t>Commission</w:t>
      </w:r>
      <w:r w:rsidRPr="00FE1D7F">
        <w:rPr>
          <w:rFonts w:cs="Calibri"/>
          <w:color w:val="000000"/>
          <w:szCs w:val="24"/>
          <w:lang w:eastAsia="en-NZ"/>
        </w:rPr>
        <w:t xml:space="preserve">, </w:t>
      </w:r>
      <w:r w:rsidR="009433F3">
        <w:rPr>
          <w:rFonts w:cs="Calibri"/>
          <w:color w:val="000000"/>
          <w:szCs w:val="24"/>
          <w:lang w:eastAsia="en-NZ"/>
        </w:rPr>
        <w:t>and</w:t>
      </w:r>
      <w:r w:rsidRPr="00FE1D7F">
        <w:rPr>
          <w:rFonts w:cs="Calibri"/>
          <w:color w:val="000000"/>
          <w:szCs w:val="24"/>
          <w:lang w:eastAsia="en-NZ"/>
        </w:rPr>
        <w:t xml:space="preserve"> </w:t>
      </w:r>
      <w:r>
        <w:rPr>
          <w:rFonts w:cs="Calibri"/>
          <w:color w:val="000000"/>
          <w:szCs w:val="24"/>
          <w:lang w:eastAsia="en-NZ"/>
        </w:rPr>
        <w:t xml:space="preserve">any </w:t>
      </w:r>
      <w:r w:rsidR="006A21DF">
        <w:rPr>
          <w:rFonts w:cs="Calibri"/>
          <w:color w:val="000000"/>
          <w:szCs w:val="24"/>
          <w:lang w:eastAsia="en-NZ"/>
        </w:rPr>
        <w:t xml:space="preserve">exemption </w:t>
      </w:r>
      <w:r>
        <w:rPr>
          <w:rFonts w:cs="Calibri"/>
          <w:color w:val="000000"/>
          <w:szCs w:val="24"/>
          <w:lang w:eastAsia="en-NZ"/>
        </w:rPr>
        <w:t xml:space="preserve">requests that are </w:t>
      </w:r>
      <w:r w:rsidRPr="00FE1D7F">
        <w:rPr>
          <w:rFonts w:cs="Calibri"/>
          <w:color w:val="000000"/>
          <w:szCs w:val="24"/>
          <w:lang w:eastAsia="en-NZ"/>
        </w:rPr>
        <w:t>pending a decision</w:t>
      </w:r>
      <w:r>
        <w:rPr>
          <w:rFonts w:cs="Calibri"/>
          <w:color w:val="000000"/>
          <w:szCs w:val="24"/>
          <w:lang w:eastAsia="en-NZ"/>
        </w:rPr>
        <w:t xml:space="preserve"> by the </w:t>
      </w:r>
      <w:r w:rsidRPr="00780FDF">
        <w:rPr>
          <w:rFonts w:cs="Calibri"/>
          <w:b/>
          <w:color w:val="000000"/>
          <w:szCs w:val="24"/>
          <w:lang w:eastAsia="en-NZ"/>
        </w:rPr>
        <w:t>Commission</w:t>
      </w:r>
      <w:r w:rsidRPr="00FE1D7F">
        <w:rPr>
          <w:rFonts w:cs="Calibri"/>
          <w:color w:val="000000"/>
          <w:szCs w:val="24"/>
          <w:lang w:eastAsia="en-NZ"/>
        </w:rPr>
        <w:t>,</w:t>
      </w:r>
      <w:r>
        <w:rPr>
          <w:rFonts w:cs="Calibri"/>
          <w:color w:val="000000"/>
          <w:szCs w:val="24"/>
          <w:lang w:eastAsia="en-NZ"/>
        </w:rPr>
        <w:t xml:space="preserve"> to </w:t>
      </w:r>
      <w:r>
        <w:t xml:space="preserve">exclude an </w:t>
      </w:r>
      <w:r w:rsidRPr="0048622D">
        <w:rPr>
          <w:b/>
        </w:rPr>
        <w:t>emergency</w:t>
      </w:r>
      <w:r w:rsidRPr="0048622D">
        <w:t xml:space="preserve"> </w:t>
      </w:r>
      <w:r>
        <w:t>from</w:t>
      </w:r>
      <w:r w:rsidRPr="0048622D">
        <w:t xml:space="preserve"> the </w:t>
      </w:r>
      <w:r w:rsidR="006256E3" w:rsidRPr="006256E3">
        <w:rPr>
          <w:b/>
        </w:rPr>
        <w:t>RTE</w:t>
      </w:r>
      <w:r w:rsidR="009433F3">
        <w:t xml:space="preserve"> values </w:t>
      </w:r>
      <w:r w:rsidRPr="00D53361">
        <w:t xml:space="preserve">in </w:t>
      </w:r>
      <w:r>
        <w:t xml:space="preserve">the </w:t>
      </w:r>
      <w:r w:rsidRPr="00D53361">
        <w:rPr>
          <w:b/>
        </w:rPr>
        <w:t>assessment period</w:t>
      </w:r>
      <w:r w:rsidRPr="00FE1D7F">
        <w:t>,</w:t>
      </w:r>
      <w:r w:rsidRPr="00FE1D7F">
        <w:rPr>
          <w:rFonts w:cs="Calibri"/>
          <w:color w:val="000000"/>
          <w:szCs w:val="24"/>
          <w:lang w:eastAsia="en-NZ"/>
        </w:rPr>
        <w:t xml:space="preserve"> and</w:t>
      </w:r>
    </w:p>
    <w:p w:rsidR="00FE1D7F" w:rsidRDefault="00FE1D7F" w:rsidP="00FE1D7F">
      <w:pPr>
        <w:pStyle w:val="Para4"/>
      </w:pPr>
      <w:r>
        <w:t>if</w:t>
      </w:r>
      <w:r w:rsidRPr="0087163A">
        <w:t xml:space="preserve"> </w:t>
      </w:r>
      <w:r>
        <w:t>the</w:t>
      </w:r>
      <w:r w:rsidRPr="0087163A">
        <w:t xml:space="preserve"> </w:t>
      </w:r>
      <w:proofErr w:type="spellStart"/>
      <w:r w:rsidRPr="00FE1D7F">
        <w:rPr>
          <w:b/>
        </w:rPr>
        <w:t>GDB</w:t>
      </w:r>
      <w:proofErr w:type="spellEnd"/>
      <w:r w:rsidRPr="00FE1D7F">
        <w:rPr>
          <w:b/>
        </w:rPr>
        <w:t xml:space="preserve"> </w:t>
      </w:r>
      <w:r>
        <w:t xml:space="preserve">has not complied with </w:t>
      </w:r>
      <w:r w:rsidR="009433F3">
        <w:t xml:space="preserve">a </w:t>
      </w:r>
      <w:r>
        <w:t>quality standard</w:t>
      </w:r>
      <w:r w:rsidRPr="00226CC5">
        <w:t xml:space="preserve">: </w:t>
      </w:r>
    </w:p>
    <w:p w:rsidR="00FE1D7F" w:rsidRDefault="00C563B2" w:rsidP="00FE1D7F">
      <w:pPr>
        <w:pStyle w:val="Para5"/>
      </w:pPr>
      <w:r>
        <w:t xml:space="preserve">the </w:t>
      </w:r>
      <w:r w:rsidR="00FE1D7F" w:rsidRPr="00A34AFF">
        <w:t xml:space="preserve">reasons for not meeting the </w:t>
      </w:r>
      <w:r w:rsidR="00FE1D7F">
        <w:t xml:space="preserve">quality </w:t>
      </w:r>
      <w:r w:rsidR="00FE1D7F" w:rsidRPr="00A34AFF">
        <w:t>standard;</w:t>
      </w:r>
    </w:p>
    <w:p w:rsidR="00FE1D7F" w:rsidRDefault="00FE1D7F" w:rsidP="00FE1D7F">
      <w:pPr>
        <w:pStyle w:val="Para5"/>
      </w:pPr>
      <w:r w:rsidRPr="00A34AFF">
        <w:t>the effect of specific incidents on meeting the quality standard;</w:t>
      </w:r>
    </w:p>
    <w:p w:rsidR="00FE1D7F" w:rsidRDefault="00FE1D7F" w:rsidP="00FE1D7F">
      <w:pPr>
        <w:pStyle w:val="Para5"/>
      </w:pPr>
      <w:r w:rsidRPr="00A34AFF">
        <w:t>a description of the incidents, including their nature cause and location; and</w:t>
      </w:r>
    </w:p>
    <w:p w:rsidR="00FE1D7F" w:rsidRDefault="00FE1D7F" w:rsidP="00FE1D7F">
      <w:pPr>
        <w:pStyle w:val="Para5"/>
      </w:pPr>
      <w:proofErr w:type="gramStart"/>
      <w:r w:rsidRPr="00A34AFF">
        <w:t>the</w:t>
      </w:r>
      <w:proofErr w:type="gramEnd"/>
      <w:r w:rsidRPr="00A34AFF">
        <w:t xml:space="preserve"> number of </w:t>
      </w:r>
      <w:r w:rsidRPr="00FE1D7F">
        <w:rPr>
          <w:b/>
        </w:rPr>
        <w:t>consumers</w:t>
      </w:r>
      <w:r w:rsidRPr="00A34AFF">
        <w:t xml:space="preserve"> affected</w:t>
      </w:r>
      <w:r w:rsidR="009433F3">
        <w:t>.</w:t>
      </w:r>
    </w:p>
    <w:p w:rsidR="00BC5202" w:rsidRDefault="00921DF5" w:rsidP="00BC5202">
      <w:pPr>
        <w:pStyle w:val="Para2"/>
      </w:pPr>
      <w:r>
        <w:t>I</w:t>
      </w:r>
      <w:r w:rsidR="00BC5202" w:rsidRPr="00D53361">
        <w:t xml:space="preserve">f a </w:t>
      </w:r>
      <w:proofErr w:type="spellStart"/>
      <w:r w:rsidR="00BC5202" w:rsidRPr="00604745">
        <w:rPr>
          <w:b/>
        </w:rPr>
        <w:t>GDB</w:t>
      </w:r>
      <w:proofErr w:type="spellEnd"/>
      <w:r w:rsidR="00BC5202" w:rsidRPr="00D53361">
        <w:t xml:space="preserve"> </w:t>
      </w:r>
      <w:r w:rsidR="00D35FF1">
        <w:t>has restructured its</w:t>
      </w:r>
      <w:r w:rsidR="00BC5202" w:rsidRPr="00D53361">
        <w:t xml:space="preserve"> </w:t>
      </w:r>
      <w:r w:rsidR="00BC5202" w:rsidRPr="00604745">
        <w:rPr>
          <w:b/>
        </w:rPr>
        <w:t>prices</w:t>
      </w:r>
      <w:r w:rsidR="00D35FF1">
        <w:t xml:space="preserve"> during an </w:t>
      </w:r>
      <w:r w:rsidR="00D35FF1" w:rsidRPr="00604745">
        <w:rPr>
          <w:b/>
        </w:rPr>
        <w:t>assessment period</w:t>
      </w:r>
      <w:r w:rsidR="00BC5202" w:rsidRPr="00D53361">
        <w:t xml:space="preserve">, the </w:t>
      </w:r>
      <w:proofErr w:type="spellStart"/>
      <w:r w:rsidR="00D35FF1" w:rsidRPr="00604745">
        <w:rPr>
          <w:b/>
        </w:rPr>
        <w:t>GDB</w:t>
      </w:r>
      <w:proofErr w:type="spellEnd"/>
      <w:r w:rsidR="00D35FF1">
        <w:t xml:space="preserve"> must state in the </w:t>
      </w:r>
      <w:r w:rsidR="00BC5202" w:rsidRPr="00604745">
        <w:rPr>
          <w:b/>
        </w:rPr>
        <w:t>compliance statement</w:t>
      </w:r>
      <w:r w:rsidR="00BC5202">
        <w:t xml:space="preserve"> </w:t>
      </w:r>
      <w:r w:rsidR="00D35FF1">
        <w:t xml:space="preserve">that it has restructured its </w:t>
      </w:r>
      <w:r w:rsidR="006256E3" w:rsidRPr="006256E3">
        <w:rPr>
          <w:b/>
        </w:rPr>
        <w:t>prices</w:t>
      </w:r>
      <w:r w:rsidR="00D35FF1">
        <w:t xml:space="preserve"> and </w:t>
      </w:r>
      <w:r w:rsidR="00604745">
        <w:t xml:space="preserve">provide sufficient information to </w:t>
      </w:r>
      <w:r w:rsidR="00BC5202">
        <w:t xml:space="preserve">demonstrate that </w:t>
      </w:r>
      <w:r w:rsidR="00BC5202" w:rsidRPr="00D53361">
        <w:t xml:space="preserve">the restructuring </w:t>
      </w:r>
      <w:r w:rsidR="00BC5202">
        <w:t xml:space="preserve">did not </w:t>
      </w:r>
      <w:r w:rsidR="00BC5202" w:rsidRPr="00D53361">
        <w:t>increase allowable notional revenue above that which would have applied if the restructuring had not occurred for th</w:t>
      </w:r>
      <w:r w:rsidR="00BC5202">
        <w:t>e</w:t>
      </w:r>
      <w:r w:rsidR="00BC5202" w:rsidRPr="00D53361">
        <w:t xml:space="preserve"> </w:t>
      </w:r>
      <w:r w:rsidR="00BC5202" w:rsidRPr="00604745">
        <w:rPr>
          <w:b/>
        </w:rPr>
        <w:t>assessment period</w:t>
      </w:r>
      <w:r w:rsidR="00BC5202" w:rsidRPr="00BD5A5D">
        <w:t xml:space="preserve"> in which the restructured </w:t>
      </w:r>
      <w:r w:rsidR="006256E3" w:rsidRPr="006256E3">
        <w:rPr>
          <w:b/>
        </w:rPr>
        <w:t>prices</w:t>
      </w:r>
      <w:r w:rsidR="00BC5202" w:rsidRPr="00BD5A5D">
        <w:t xml:space="preserve"> take effect</w:t>
      </w:r>
      <w:r w:rsidR="00BC5202">
        <w:t xml:space="preserve">, </w:t>
      </w:r>
      <w:r w:rsidR="00604745">
        <w:t>including</w:t>
      </w:r>
      <w:r w:rsidR="00BC5202">
        <w:t xml:space="preserve"> but not limited to–</w:t>
      </w:r>
    </w:p>
    <w:p w:rsidR="00BC5202" w:rsidRDefault="00BC5202" w:rsidP="00604745">
      <w:pPr>
        <w:pStyle w:val="Para3"/>
      </w:pPr>
      <w:r>
        <w:t xml:space="preserve">the methodology used to determine the </w:t>
      </w:r>
      <w:r w:rsidRPr="00EC63FD">
        <w:rPr>
          <w:b/>
        </w:rPr>
        <w:t>quantities</w:t>
      </w:r>
      <w:r>
        <w:rPr>
          <w:b/>
        </w:rPr>
        <w:t xml:space="preserve"> </w:t>
      </w:r>
      <w:r w:rsidRPr="00EC63FD">
        <w:t>that correspond to the restructured</w:t>
      </w:r>
      <w:r>
        <w:rPr>
          <w:b/>
        </w:rPr>
        <w:t xml:space="preserve"> prices</w:t>
      </w:r>
      <w:r>
        <w:t>;</w:t>
      </w:r>
      <w:r w:rsidR="00604745">
        <w:t xml:space="preserve"> and</w:t>
      </w:r>
    </w:p>
    <w:p w:rsidR="00BC5202" w:rsidRDefault="00BC5202" w:rsidP="00604745">
      <w:pPr>
        <w:pStyle w:val="Para3"/>
      </w:pPr>
      <w:proofErr w:type="gramStart"/>
      <w:r w:rsidRPr="00EC63FD">
        <w:t>estimates</w:t>
      </w:r>
      <w:proofErr w:type="gramEnd"/>
      <w:r w:rsidRPr="00EC63FD">
        <w:t xml:space="preserve"> of</w:t>
      </w:r>
      <w:r>
        <w:rPr>
          <w:b/>
        </w:rPr>
        <w:t xml:space="preserve"> </w:t>
      </w:r>
      <w:r w:rsidRPr="00EC63FD">
        <w:rPr>
          <w:b/>
        </w:rPr>
        <w:t>quantities</w:t>
      </w:r>
      <w:r>
        <w:t xml:space="preserve"> for the </w:t>
      </w:r>
      <w:r w:rsidRPr="00EC63FD">
        <w:rPr>
          <w:b/>
        </w:rPr>
        <w:t>assessment period</w:t>
      </w:r>
      <w:r>
        <w:t xml:space="preserve"> and the two prior </w:t>
      </w:r>
      <w:r>
        <w:rPr>
          <w:b/>
        </w:rPr>
        <w:t>pricing periods</w:t>
      </w:r>
      <w:r w:rsidR="00604745">
        <w:t>.</w:t>
      </w:r>
    </w:p>
    <w:p w:rsidR="00BC5202" w:rsidRPr="00604745" w:rsidRDefault="00604745" w:rsidP="00604745">
      <w:pPr>
        <w:pStyle w:val="Para2"/>
        <w:numPr>
          <w:ilvl w:val="1"/>
          <w:numId w:val="37"/>
        </w:numPr>
        <w:rPr>
          <w:bCs/>
          <w:iCs/>
        </w:rPr>
      </w:pPr>
      <w:r>
        <w:rPr>
          <w:bCs/>
          <w:iCs/>
        </w:rPr>
        <w:t>I</w:t>
      </w:r>
      <w:r w:rsidRPr="00604745">
        <w:rPr>
          <w:bCs/>
          <w:iCs/>
        </w:rPr>
        <w:t xml:space="preserve">f </w:t>
      </w:r>
      <w:r>
        <w:rPr>
          <w:bCs/>
          <w:iCs/>
        </w:rPr>
        <w:t xml:space="preserve">a </w:t>
      </w:r>
      <w:proofErr w:type="spellStart"/>
      <w:r w:rsidRPr="00604745">
        <w:rPr>
          <w:b/>
          <w:bCs/>
          <w:iCs/>
        </w:rPr>
        <w:t>GDB</w:t>
      </w:r>
      <w:proofErr w:type="spellEnd"/>
      <w:r w:rsidR="00BC5202" w:rsidRPr="00604745">
        <w:rPr>
          <w:bCs/>
          <w:iCs/>
        </w:rPr>
        <w:t xml:space="preserve"> cannot provide</w:t>
      </w:r>
      <w:r w:rsidRPr="00604745">
        <w:rPr>
          <w:bCs/>
          <w:iCs/>
        </w:rPr>
        <w:t xml:space="preserve"> sufficient</w:t>
      </w:r>
      <w:r w:rsidR="00BC5202" w:rsidRPr="00604745">
        <w:rPr>
          <w:bCs/>
          <w:iCs/>
        </w:rPr>
        <w:t xml:space="preserve"> information </w:t>
      </w:r>
      <w:r>
        <w:rPr>
          <w:bCs/>
          <w:iCs/>
        </w:rPr>
        <w:t xml:space="preserve">in accordance with clause 11.4 </w:t>
      </w:r>
      <w:r w:rsidRPr="00604745">
        <w:rPr>
          <w:bCs/>
          <w:iCs/>
        </w:rPr>
        <w:t>to demonstrate</w:t>
      </w:r>
      <w:r w:rsidR="00BC5202" w:rsidRPr="00604745">
        <w:rPr>
          <w:bCs/>
          <w:iCs/>
        </w:rPr>
        <w:t xml:space="preserve"> that </w:t>
      </w:r>
      <w:r w:rsidR="00BC5202" w:rsidRPr="00D53361">
        <w:t xml:space="preserve">the restructuring </w:t>
      </w:r>
      <w:r w:rsidR="00BC5202">
        <w:t xml:space="preserve">did not </w:t>
      </w:r>
      <w:r w:rsidR="00BC5202" w:rsidRPr="00604745">
        <w:rPr>
          <w:bCs/>
          <w:iCs/>
        </w:rPr>
        <w:t xml:space="preserve">increase allowable notional revenue, </w:t>
      </w:r>
      <w:r>
        <w:rPr>
          <w:bCs/>
          <w:iCs/>
        </w:rPr>
        <w:t xml:space="preserve">the </w:t>
      </w:r>
      <w:proofErr w:type="spellStart"/>
      <w:r w:rsidRPr="00604745">
        <w:rPr>
          <w:b/>
          <w:bCs/>
          <w:iCs/>
        </w:rPr>
        <w:t>GDB</w:t>
      </w:r>
      <w:proofErr w:type="spellEnd"/>
      <w:r>
        <w:rPr>
          <w:bCs/>
          <w:iCs/>
        </w:rPr>
        <w:t xml:space="preserve"> must </w:t>
      </w:r>
      <w:r w:rsidR="009433F3">
        <w:rPr>
          <w:bCs/>
          <w:iCs/>
        </w:rPr>
        <w:t xml:space="preserve">instead </w:t>
      </w:r>
      <w:r>
        <w:rPr>
          <w:bCs/>
          <w:iCs/>
        </w:rPr>
        <w:t xml:space="preserve">provide information </w:t>
      </w:r>
      <w:r w:rsidR="00BC5202" w:rsidRPr="00604745">
        <w:rPr>
          <w:bCs/>
          <w:iCs/>
        </w:rPr>
        <w:t xml:space="preserve">to the reasonable satisfaction of the </w:t>
      </w:r>
      <w:r w:rsidR="00BC5202" w:rsidRPr="00604745">
        <w:rPr>
          <w:b/>
          <w:bCs/>
          <w:iCs/>
        </w:rPr>
        <w:t>Commission</w:t>
      </w:r>
      <w:r w:rsidR="00BC5202" w:rsidRPr="00604745">
        <w:rPr>
          <w:bCs/>
          <w:iCs/>
        </w:rPr>
        <w:t xml:space="preserve"> </w:t>
      </w:r>
      <w:r>
        <w:rPr>
          <w:bCs/>
          <w:iCs/>
        </w:rPr>
        <w:t xml:space="preserve">showing </w:t>
      </w:r>
      <w:r w:rsidRPr="00604745">
        <w:rPr>
          <w:bCs/>
          <w:iCs/>
        </w:rPr>
        <w:t>that</w:t>
      </w:r>
      <w:r w:rsidR="00BC5202" w:rsidRPr="00604745">
        <w:rPr>
          <w:bCs/>
          <w:iCs/>
        </w:rPr>
        <w:t>:</w:t>
      </w:r>
    </w:p>
    <w:p w:rsidR="00BC5202" w:rsidRPr="00604745" w:rsidRDefault="00BC5202" w:rsidP="00604745">
      <w:pPr>
        <w:pStyle w:val="Para3"/>
        <w:numPr>
          <w:ilvl w:val="2"/>
          <w:numId w:val="37"/>
        </w:numPr>
        <w:rPr>
          <w:bCs/>
          <w:iCs/>
        </w:rPr>
      </w:pPr>
      <w:r w:rsidRPr="00D53361">
        <w:t xml:space="preserve">the restructuring </w:t>
      </w:r>
      <w:r>
        <w:t xml:space="preserve">did not </w:t>
      </w:r>
      <w:r w:rsidRPr="00604745">
        <w:rPr>
          <w:bCs/>
          <w:iCs/>
        </w:rPr>
        <w:t xml:space="preserve">increase the </w:t>
      </w:r>
      <w:r w:rsidRPr="00604745">
        <w:rPr>
          <w:b/>
          <w:bCs/>
          <w:iCs/>
        </w:rPr>
        <w:t>GDB’s</w:t>
      </w:r>
      <w:r w:rsidRPr="00604745">
        <w:rPr>
          <w:bCs/>
          <w:iCs/>
        </w:rPr>
        <w:t xml:space="preserve"> revenue</w:t>
      </w:r>
      <w:r w:rsidR="009433F3">
        <w:rPr>
          <w:bCs/>
          <w:iCs/>
        </w:rPr>
        <w:t xml:space="preserve"> forecast by the </w:t>
      </w:r>
      <w:proofErr w:type="spellStart"/>
      <w:r w:rsidR="006256E3" w:rsidRPr="006256E3">
        <w:rPr>
          <w:b/>
          <w:bCs/>
          <w:iCs/>
        </w:rPr>
        <w:t>GDB</w:t>
      </w:r>
      <w:proofErr w:type="spellEnd"/>
      <w:r w:rsidR="009433F3">
        <w:rPr>
          <w:bCs/>
          <w:iCs/>
        </w:rPr>
        <w:t xml:space="preserve"> to be recovered through </w:t>
      </w:r>
      <w:r w:rsidR="006256E3" w:rsidRPr="006256E3">
        <w:rPr>
          <w:b/>
          <w:bCs/>
          <w:iCs/>
        </w:rPr>
        <w:t>prices</w:t>
      </w:r>
      <w:r w:rsidRPr="00604745">
        <w:rPr>
          <w:bCs/>
          <w:iCs/>
        </w:rPr>
        <w:t xml:space="preserve"> for that </w:t>
      </w:r>
      <w:r w:rsidRPr="00604745">
        <w:rPr>
          <w:b/>
          <w:bCs/>
          <w:iCs/>
        </w:rPr>
        <w:t>assessment period</w:t>
      </w:r>
      <w:r w:rsidRPr="00604745">
        <w:rPr>
          <w:bCs/>
          <w:iCs/>
        </w:rPr>
        <w:t xml:space="preserve"> above that which would have applied if the restructuring had not occurred; or</w:t>
      </w:r>
    </w:p>
    <w:p w:rsidR="00BC5202" w:rsidRDefault="00C560CD" w:rsidP="00604745">
      <w:pPr>
        <w:pStyle w:val="Para3"/>
      </w:pPr>
      <w:proofErr w:type="gramStart"/>
      <w:r>
        <w:rPr>
          <w:szCs w:val="24"/>
          <w:lang w:eastAsia="en-NZ"/>
        </w:rPr>
        <w:t>the</w:t>
      </w:r>
      <w:proofErr w:type="gramEnd"/>
      <w:r>
        <w:rPr>
          <w:szCs w:val="24"/>
          <w:lang w:eastAsia="en-NZ"/>
        </w:rPr>
        <w:t xml:space="preserve"> </w:t>
      </w:r>
      <w:proofErr w:type="spellStart"/>
      <w:r w:rsidRPr="00C560CD">
        <w:rPr>
          <w:b/>
          <w:szCs w:val="24"/>
          <w:lang w:eastAsia="en-NZ"/>
        </w:rPr>
        <w:t>GDB</w:t>
      </w:r>
      <w:proofErr w:type="spellEnd"/>
      <w:r>
        <w:rPr>
          <w:szCs w:val="24"/>
          <w:lang w:eastAsia="en-NZ"/>
        </w:rPr>
        <w:t xml:space="preserve"> has substantively complied with clause 8 </w:t>
      </w:r>
      <w:r w:rsidR="009433F3">
        <w:rPr>
          <w:szCs w:val="24"/>
          <w:lang w:eastAsia="en-NZ"/>
        </w:rPr>
        <w:t xml:space="preserve">assessed </w:t>
      </w:r>
      <w:r>
        <w:rPr>
          <w:szCs w:val="24"/>
          <w:lang w:eastAsia="en-NZ"/>
        </w:rPr>
        <w:t xml:space="preserve">using </w:t>
      </w:r>
      <w:r w:rsidRPr="00E75093">
        <w:rPr>
          <w:szCs w:val="24"/>
          <w:lang w:eastAsia="en-NZ"/>
        </w:rPr>
        <w:t xml:space="preserve">an alternative </w:t>
      </w:r>
      <w:r w:rsidR="009433F3">
        <w:rPr>
          <w:szCs w:val="24"/>
          <w:lang w:eastAsia="en-NZ"/>
        </w:rPr>
        <w:t xml:space="preserve">compliance assessment </w:t>
      </w:r>
      <w:r w:rsidRPr="00E75093">
        <w:rPr>
          <w:szCs w:val="24"/>
          <w:lang w:eastAsia="en-NZ"/>
        </w:rPr>
        <w:t>approach that has the equivalent effect</w:t>
      </w:r>
      <w:r w:rsidR="00BC5202">
        <w:t>.</w:t>
      </w:r>
    </w:p>
    <w:p w:rsidR="001A0347" w:rsidRDefault="001A0347" w:rsidP="001A0347">
      <w:pPr>
        <w:pStyle w:val="Para2"/>
        <w:tabs>
          <w:tab w:val="left" w:pos="720"/>
        </w:tabs>
      </w:pPr>
      <w:r>
        <w:t xml:space="preserve">If a </w:t>
      </w:r>
      <w:proofErr w:type="spellStart"/>
      <w:r w:rsidRPr="001A0347">
        <w:rPr>
          <w:b/>
          <w:bCs/>
        </w:rPr>
        <w:t>GDB</w:t>
      </w:r>
      <w:proofErr w:type="spellEnd"/>
      <w:r>
        <w:t xml:space="preserve"> participates in an arrangement or transaction of the type described in clauses 10.1 to 10.3 which requires an aggregation or adjustment for an </w:t>
      </w:r>
      <w:r w:rsidRPr="001A0347">
        <w:rPr>
          <w:b/>
          <w:bCs/>
        </w:rPr>
        <w:t>assessment period</w:t>
      </w:r>
      <w:r>
        <w:t>, the</w:t>
      </w:r>
      <w:r w:rsidRPr="001A0347">
        <w:rPr>
          <w:b/>
          <w:bCs/>
        </w:rPr>
        <w:t xml:space="preserve"> compliance statement</w:t>
      </w:r>
      <w:r>
        <w:t xml:space="preserve"> for that </w:t>
      </w:r>
      <w:r w:rsidRPr="001A0347">
        <w:rPr>
          <w:b/>
          <w:bCs/>
        </w:rPr>
        <w:t xml:space="preserve">assessment period </w:t>
      </w:r>
      <w:r>
        <w:t>must-</w:t>
      </w:r>
    </w:p>
    <w:p w:rsidR="001A0347" w:rsidRDefault="001A0347" w:rsidP="001A0347">
      <w:pPr>
        <w:pStyle w:val="Para3"/>
        <w:tabs>
          <w:tab w:val="left" w:pos="720"/>
        </w:tabs>
      </w:pPr>
      <w:r>
        <w:t xml:space="preserve">state whether the </w:t>
      </w:r>
      <w:proofErr w:type="spellStart"/>
      <w:r w:rsidRPr="001A0347">
        <w:rPr>
          <w:b/>
          <w:bCs/>
        </w:rPr>
        <w:t>GDB</w:t>
      </w:r>
      <w:proofErr w:type="spellEnd"/>
      <w:r>
        <w:t xml:space="preserve"> has complied with all relevant parts of clause 10; and</w:t>
      </w:r>
    </w:p>
    <w:p w:rsidR="001A0347" w:rsidRDefault="001A0347" w:rsidP="001A0347">
      <w:pPr>
        <w:pStyle w:val="Para3"/>
        <w:tabs>
          <w:tab w:val="left" w:pos="720"/>
        </w:tabs>
      </w:pPr>
      <w:proofErr w:type="gramStart"/>
      <w:r>
        <w:t>include</w:t>
      </w:r>
      <w:proofErr w:type="gramEnd"/>
      <w:r>
        <w:t xml:space="preserve"> any information or calculations that are reasonably required to assess compliance with that clause.</w:t>
      </w:r>
    </w:p>
    <w:p w:rsidR="00D53361" w:rsidRPr="00D53361" w:rsidRDefault="001A0347" w:rsidP="00D53361">
      <w:pPr>
        <w:pStyle w:val="BodyText"/>
      </w:pPr>
      <w:r w:rsidDel="001A0347">
        <w:t xml:space="preserve"> </w:t>
      </w:r>
    </w:p>
    <w:p w:rsidR="00D53361" w:rsidRPr="00752B46" w:rsidRDefault="0048622D" w:rsidP="00D53361">
      <w:pPr>
        <w:pStyle w:val="BodyText"/>
      </w:pPr>
      <w:r w:rsidRPr="0048622D">
        <w:t>Dated at Wellington this [</w:t>
      </w:r>
      <w:proofErr w:type="spellStart"/>
      <w:r w:rsidR="00887F8B">
        <w:t>xx</w:t>
      </w:r>
      <w:r w:rsidR="00887F8B" w:rsidRPr="0048622D">
        <w:rPr>
          <w:vertAlign w:val="superscript"/>
        </w:rPr>
        <w:t>th</w:t>
      </w:r>
      <w:proofErr w:type="spellEnd"/>
      <w:r w:rsidR="00887F8B" w:rsidRPr="0048622D">
        <w:t xml:space="preserve"> </w:t>
      </w:r>
      <w:r w:rsidRPr="0048622D">
        <w:t xml:space="preserve">day of </w:t>
      </w:r>
      <w:proofErr w:type="spellStart"/>
      <w:r w:rsidR="00887F8B">
        <w:t>Xxxxx</w:t>
      </w:r>
      <w:proofErr w:type="spellEnd"/>
      <w:r w:rsidRPr="0048622D">
        <w:t>] 2013.</w:t>
      </w:r>
    </w:p>
    <w:p w:rsidR="00D53361" w:rsidRPr="00752B46" w:rsidRDefault="00D53361" w:rsidP="00D53361">
      <w:pPr>
        <w:pStyle w:val="BodyText"/>
      </w:pPr>
    </w:p>
    <w:p w:rsidR="00D53361" w:rsidRPr="00D53361" w:rsidRDefault="0048622D" w:rsidP="00D53361">
      <w:pPr>
        <w:pStyle w:val="BodyText"/>
      </w:pPr>
      <w:r w:rsidRPr="0048622D">
        <w:t>Commerce Commission</w:t>
      </w:r>
    </w:p>
    <w:p w:rsidR="0048622D" w:rsidRDefault="00D53361" w:rsidP="0048622D">
      <w:pPr>
        <w:pStyle w:val="Heading2"/>
      </w:pPr>
      <w:r w:rsidRPr="00E35DA5">
        <w:br w:type="page"/>
      </w:r>
      <w:bookmarkStart w:id="21" w:name="_Toc348091312"/>
      <w:r w:rsidR="00F05FD0" w:rsidRPr="00AF4210">
        <w:t>Schedule 1</w:t>
      </w:r>
      <w:r w:rsidR="00F05FD0">
        <w:t xml:space="preserve">: </w:t>
      </w:r>
      <w:r w:rsidR="002C1315">
        <w:t xml:space="preserve">Starting </w:t>
      </w:r>
      <w:r w:rsidR="00E83B4C">
        <w:t>prices</w:t>
      </w:r>
      <w:bookmarkEnd w:id="21"/>
    </w:p>
    <w:p w:rsidR="000B5269" w:rsidRDefault="000B5269" w:rsidP="00AF4210">
      <w:pPr>
        <w:pStyle w:val="Heading2"/>
      </w:pPr>
    </w:p>
    <w:p w:rsidR="00ED215D" w:rsidRDefault="00D53361" w:rsidP="005A67FA">
      <w:pPr>
        <w:pStyle w:val="BodyText"/>
      </w:pPr>
      <w:r w:rsidRPr="00D53361">
        <w:rPr>
          <w:bCs/>
          <w:iCs/>
        </w:rPr>
        <w:t xml:space="preserve">The </w:t>
      </w:r>
      <w:r w:rsidR="002C1315">
        <w:rPr>
          <w:bCs/>
          <w:iCs/>
        </w:rPr>
        <w:t>starting prices</w:t>
      </w:r>
      <w:r w:rsidRPr="00D53361">
        <w:rPr>
          <w:bCs/>
          <w:iCs/>
        </w:rPr>
        <w:t xml:space="preserve"> </w:t>
      </w:r>
      <w:r w:rsidR="003B259E">
        <w:rPr>
          <w:bCs/>
          <w:iCs/>
        </w:rPr>
        <w:t xml:space="preserve">for each </w:t>
      </w:r>
      <w:proofErr w:type="spellStart"/>
      <w:r w:rsidR="00FC4268" w:rsidRPr="00FC4268">
        <w:rPr>
          <w:b/>
          <w:bCs/>
          <w:iCs/>
        </w:rPr>
        <w:t>GDB</w:t>
      </w:r>
      <w:proofErr w:type="spellEnd"/>
      <w:r w:rsidR="0048622D" w:rsidRPr="0048622D">
        <w:rPr>
          <w:b/>
          <w:bCs/>
          <w:iCs/>
        </w:rPr>
        <w:t xml:space="preserve"> </w:t>
      </w:r>
      <w:r w:rsidR="003B259E">
        <w:rPr>
          <w:bCs/>
          <w:iCs/>
        </w:rPr>
        <w:t>for</w:t>
      </w:r>
      <w:r w:rsidRPr="00D53361">
        <w:rPr>
          <w:bCs/>
          <w:iCs/>
        </w:rPr>
        <w:t xml:space="preserve"> the </w:t>
      </w:r>
      <w:r w:rsidRPr="00D53361">
        <w:rPr>
          <w:b/>
          <w:bCs/>
          <w:iCs/>
        </w:rPr>
        <w:t>regulatory period</w:t>
      </w:r>
      <w:r w:rsidR="002C1315">
        <w:rPr>
          <w:b/>
          <w:bCs/>
          <w:iCs/>
        </w:rPr>
        <w:t xml:space="preserve"> </w:t>
      </w:r>
      <w:r w:rsidR="000B5269">
        <w:rPr>
          <w:bCs/>
          <w:iCs/>
        </w:rPr>
        <w:t>are</w:t>
      </w:r>
      <w:r w:rsidR="000B5269" w:rsidRPr="005A67FA">
        <w:rPr>
          <w:bCs/>
          <w:iCs/>
        </w:rPr>
        <w:t xml:space="preserve"> </w:t>
      </w:r>
      <w:r w:rsidR="002C1315">
        <w:rPr>
          <w:bCs/>
          <w:iCs/>
        </w:rPr>
        <w:t xml:space="preserve">set out </w:t>
      </w:r>
      <w:r w:rsidR="003B259E" w:rsidRPr="005A67FA">
        <w:rPr>
          <w:bCs/>
          <w:iCs/>
        </w:rPr>
        <w:t xml:space="preserve">in </w:t>
      </w:r>
      <w:r w:rsidR="0048622D" w:rsidRPr="0048622D">
        <w:rPr>
          <w:bCs/>
          <w:iCs/>
        </w:rPr>
        <w:t xml:space="preserve">Table </w:t>
      </w:r>
      <w:r w:rsidR="00D555FC">
        <w:rPr>
          <w:bCs/>
          <w:iCs/>
        </w:rPr>
        <w:t>1</w:t>
      </w:r>
      <w:r w:rsidR="000B5269">
        <w:rPr>
          <w:b/>
          <w:bCs/>
          <w:iCs/>
        </w:rPr>
        <w:t>.</w:t>
      </w:r>
      <w:r w:rsidRPr="00D53361">
        <w:rPr>
          <w:bCs/>
          <w:iCs/>
        </w:rPr>
        <w:t xml:space="preserve"> </w:t>
      </w:r>
    </w:p>
    <w:p w:rsidR="00701AA9" w:rsidRDefault="00701AA9" w:rsidP="00701AA9">
      <w:pPr>
        <w:pStyle w:val="ListParagraph"/>
        <w:jc w:val="both"/>
      </w:pPr>
    </w:p>
    <w:p w:rsidR="0048622D" w:rsidRDefault="00701AA9" w:rsidP="0048622D">
      <w:pPr>
        <w:jc w:val="center"/>
        <w:rPr>
          <w:b/>
          <w:u w:val="single"/>
        </w:rPr>
      </w:pPr>
      <w:r w:rsidRPr="00701AA9">
        <w:rPr>
          <w:b/>
          <w:u w:val="single"/>
        </w:rPr>
        <w:t xml:space="preserve">Table </w:t>
      </w:r>
      <w:r w:rsidR="00D555FC">
        <w:rPr>
          <w:b/>
          <w:u w:val="single"/>
        </w:rPr>
        <w:t>1</w:t>
      </w:r>
      <w:r w:rsidRPr="00701AA9">
        <w:rPr>
          <w:b/>
          <w:u w:val="single"/>
        </w:rPr>
        <w:t xml:space="preserve">: </w:t>
      </w:r>
      <w:r w:rsidR="002C1315">
        <w:rPr>
          <w:b/>
          <w:u w:val="single"/>
        </w:rPr>
        <w:t xml:space="preserve">Starting prices for each </w:t>
      </w:r>
      <w:proofErr w:type="spellStart"/>
      <w:r w:rsidR="002C1315">
        <w:rPr>
          <w:b/>
          <w:u w:val="single"/>
        </w:rPr>
        <w:t>GDB</w:t>
      </w:r>
      <w:proofErr w:type="spellEnd"/>
    </w:p>
    <w:tbl>
      <w:tblPr>
        <w:tblW w:w="9242" w:type="dxa"/>
        <w:tblBorders>
          <w:top w:val="single" w:sz="12" w:space="0" w:color="auto"/>
          <w:bottom w:val="single" w:sz="12" w:space="0" w:color="auto"/>
          <w:insideH w:val="single" w:sz="8" w:space="0" w:color="D9D9D9" w:themeColor="background1" w:themeShade="D9"/>
        </w:tblBorders>
        <w:tblLook w:val="04A0"/>
      </w:tblPr>
      <w:tblGrid>
        <w:gridCol w:w="3954"/>
        <w:gridCol w:w="5288"/>
      </w:tblGrid>
      <w:tr w:rsidR="00BA5FE4" w:rsidRPr="005E1A89" w:rsidTr="00BA5FE4">
        <w:tc>
          <w:tcPr>
            <w:tcW w:w="2139" w:type="pct"/>
            <w:tcBorders>
              <w:top w:val="single" w:sz="12" w:space="0" w:color="auto"/>
              <w:bottom w:val="single" w:sz="12" w:space="0" w:color="auto"/>
            </w:tcBorders>
          </w:tcPr>
          <w:p w:rsidR="00BA5FE4" w:rsidRPr="005E1A89" w:rsidRDefault="000C1EEC" w:rsidP="000C1EEC">
            <w:pPr>
              <w:pStyle w:val="Tableheading"/>
              <w:rPr>
                <w:szCs w:val="20"/>
              </w:rPr>
            </w:pPr>
            <w:proofErr w:type="spellStart"/>
            <w:r w:rsidRPr="005E1A89">
              <w:rPr>
                <w:szCs w:val="20"/>
              </w:rPr>
              <w:t>G</w:t>
            </w:r>
            <w:r>
              <w:rPr>
                <w:szCs w:val="20"/>
              </w:rPr>
              <w:t>D</w:t>
            </w:r>
            <w:r w:rsidRPr="005E1A89">
              <w:rPr>
                <w:szCs w:val="20"/>
              </w:rPr>
              <w:t>B</w:t>
            </w:r>
            <w:proofErr w:type="spellEnd"/>
          </w:p>
        </w:tc>
        <w:tc>
          <w:tcPr>
            <w:tcW w:w="2861" w:type="pct"/>
            <w:tcBorders>
              <w:top w:val="single" w:sz="12" w:space="0" w:color="auto"/>
              <w:bottom w:val="single" w:sz="12" w:space="0" w:color="auto"/>
            </w:tcBorders>
          </w:tcPr>
          <w:p w:rsidR="00BA5FE4" w:rsidRPr="005E1A89" w:rsidRDefault="00BA5FE4" w:rsidP="000C1EEC">
            <w:pPr>
              <w:pStyle w:val="Tableheading"/>
              <w:rPr>
                <w:szCs w:val="20"/>
              </w:rPr>
            </w:pPr>
            <w:r w:rsidRPr="005E1A89">
              <w:rPr>
                <w:szCs w:val="20"/>
              </w:rPr>
              <w:t>MAR</w:t>
            </w:r>
            <w:r w:rsidR="00FE1768">
              <w:rPr>
                <w:szCs w:val="20"/>
              </w:rPr>
              <w:t xml:space="preserve"> ($m)</w:t>
            </w:r>
          </w:p>
        </w:tc>
      </w:tr>
      <w:tr w:rsidR="00BA5FE4" w:rsidRPr="005E1A89" w:rsidTr="00BA5FE4">
        <w:tc>
          <w:tcPr>
            <w:tcW w:w="2139" w:type="pct"/>
          </w:tcPr>
          <w:p w:rsidR="00BA5FE4" w:rsidRPr="005E1A89" w:rsidRDefault="00BA5FE4" w:rsidP="000C1EEC">
            <w:pPr>
              <w:pStyle w:val="BodyText"/>
              <w:spacing w:after="0"/>
              <w:rPr>
                <w:b/>
                <w:color w:val="000000"/>
                <w:szCs w:val="22"/>
              </w:rPr>
            </w:pPr>
            <w:r>
              <w:t>GasNet Limited</w:t>
            </w:r>
          </w:p>
        </w:tc>
        <w:tc>
          <w:tcPr>
            <w:tcW w:w="2861" w:type="pct"/>
          </w:tcPr>
          <w:p w:rsidR="00BA5FE4" w:rsidRPr="00FE1768" w:rsidRDefault="00AE52E5" w:rsidP="00FE1768">
            <w:pPr>
              <w:jc w:val="center"/>
              <w:rPr>
                <w:color w:val="000000"/>
                <w:szCs w:val="22"/>
              </w:rPr>
            </w:pPr>
            <w:r>
              <w:rPr>
                <w:color w:val="000000"/>
                <w:szCs w:val="22"/>
              </w:rPr>
              <w:t>[XX.XXX]</w:t>
            </w:r>
          </w:p>
        </w:tc>
      </w:tr>
      <w:tr w:rsidR="00BA5FE4" w:rsidRPr="005E1A89" w:rsidTr="00BA5FE4">
        <w:tc>
          <w:tcPr>
            <w:tcW w:w="2139" w:type="pct"/>
          </w:tcPr>
          <w:p w:rsidR="00BA5FE4" w:rsidRPr="005E1A89" w:rsidRDefault="00BA5FE4" w:rsidP="000C1EEC">
            <w:pPr>
              <w:pStyle w:val="BodyText"/>
              <w:spacing w:after="0"/>
            </w:pPr>
            <w:r>
              <w:t>Powerco Limited</w:t>
            </w:r>
          </w:p>
        </w:tc>
        <w:tc>
          <w:tcPr>
            <w:tcW w:w="2861" w:type="pct"/>
          </w:tcPr>
          <w:p w:rsidR="00BA5FE4" w:rsidRPr="00FE1768" w:rsidRDefault="00AE52E5" w:rsidP="00FE1768">
            <w:pPr>
              <w:jc w:val="center"/>
              <w:rPr>
                <w:color w:val="000000"/>
                <w:szCs w:val="22"/>
              </w:rPr>
            </w:pPr>
            <w:r>
              <w:rPr>
                <w:color w:val="000000"/>
                <w:szCs w:val="22"/>
              </w:rPr>
              <w:t>[XX.XXX]</w:t>
            </w:r>
          </w:p>
        </w:tc>
      </w:tr>
      <w:tr w:rsidR="00BA5FE4" w:rsidRPr="005E1A89" w:rsidTr="00BA5FE4">
        <w:tc>
          <w:tcPr>
            <w:tcW w:w="2139" w:type="pct"/>
          </w:tcPr>
          <w:p w:rsidR="00BA5FE4" w:rsidRPr="005E1A89" w:rsidRDefault="00BA5FE4" w:rsidP="000C1EEC">
            <w:pPr>
              <w:pStyle w:val="BodyText"/>
              <w:spacing w:after="0"/>
              <w:rPr>
                <w:color w:val="000000"/>
                <w:szCs w:val="22"/>
              </w:rPr>
            </w:pPr>
            <w:r>
              <w:t>Vector Limited</w:t>
            </w:r>
          </w:p>
        </w:tc>
        <w:tc>
          <w:tcPr>
            <w:tcW w:w="2861" w:type="pct"/>
          </w:tcPr>
          <w:p w:rsidR="00BA5FE4" w:rsidRPr="00FE1768" w:rsidRDefault="00AE52E5" w:rsidP="00FE1768">
            <w:pPr>
              <w:jc w:val="center"/>
              <w:rPr>
                <w:color w:val="000000"/>
                <w:szCs w:val="22"/>
              </w:rPr>
            </w:pPr>
            <w:r>
              <w:rPr>
                <w:color w:val="000000"/>
                <w:szCs w:val="22"/>
              </w:rPr>
              <w:t>[XX.XXX]</w:t>
            </w:r>
          </w:p>
        </w:tc>
      </w:tr>
    </w:tbl>
    <w:p w:rsidR="0048622D" w:rsidRDefault="00D53361" w:rsidP="0048622D">
      <w:pPr>
        <w:pStyle w:val="Heading2"/>
        <w:rPr>
          <w:bCs/>
        </w:rPr>
      </w:pPr>
      <w:r w:rsidRPr="00D53361">
        <w:rPr>
          <w:bCs/>
        </w:rPr>
        <w:br w:type="page"/>
      </w:r>
      <w:bookmarkStart w:id="22" w:name="_Toc348091313"/>
      <w:r w:rsidR="00055966" w:rsidRPr="00055966">
        <w:t xml:space="preserve">Schedule </w:t>
      </w:r>
      <w:r w:rsidR="00F05FD0">
        <w:t>2</w:t>
      </w:r>
      <w:r w:rsidR="006E0663">
        <w:t>: Rate of change</w:t>
      </w:r>
      <w:bookmarkEnd w:id="22"/>
    </w:p>
    <w:p w:rsidR="00692B0E" w:rsidRDefault="00692B0E" w:rsidP="00055966">
      <w:pPr>
        <w:pStyle w:val="Heading2"/>
      </w:pPr>
    </w:p>
    <w:p w:rsidR="00F53D73" w:rsidRPr="00F53D73" w:rsidRDefault="006256E3" w:rsidP="00F53D73">
      <w:pPr>
        <w:pStyle w:val="Default"/>
        <w:rPr>
          <w:rFonts w:asciiTheme="minorHAnsi" w:hAnsiTheme="minorHAnsi" w:cs="Calibri"/>
          <w:lang w:val="en-NZ" w:eastAsia="en-NZ"/>
        </w:rPr>
      </w:pPr>
      <w:r w:rsidRPr="006256E3">
        <w:rPr>
          <w:rFonts w:asciiTheme="minorHAnsi" w:hAnsiTheme="minorHAnsi"/>
        </w:rPr>
        <w:t>The annual rate of change is 0%</w:t>
      </w:r>
      <w:r w:rsidRPr="006256E3">
        <w:rPr>
          <w:rFonts w:asciiTheme="minorHAnsi" w:hAnsiTheme="minorHAnsi" w:cs="Calibri"/>
          <w:lang w:val="en-NZ" w:eastAsia="en-NZ"/>
        </w:rPr>
        <w:t xml:space="preserve">, unless specified otherwise in Table 2. </w:t>
      </w:r>
    </w:p>
    <w:p w:rsidR="00F53D73" w:rsidRPr="00F53D73" w:rsidRDefault="00F53D73" w:rsidP="00F53D73">
      <w:pPr>
        <w:autoSpaceDE w:val="0"/>
        <w:autoSpaceDN w:val="0"/>
        <w:adjustRightInd w:val="0"/>
        <w:rPr>
          <w:rFonts w:asciiTheme="minorHAnsi" w:hAnsiTheme="minorHAnsi" w:cs="Calibri"/>
          <w:color w:val="000000"/>
          <w:szCs w:val="24"/>
          <w:lang w:eastAsia="en-NZ"/>
        </w:rPr>
      </w:pPr>
    </w:p>
    <w:p w:rsidR="006652C9" w:rsidRDefault="006256E3">
      <w:pPr>
        <w:jc w:val="center"/>
        <w:rPr>
          <w:b/>
          <w:u w:val="single"/>
        </w:rPr>
      </w:pPr>
      <w:r w:rsidRPr="006256E3">
        <w:rPr>
          <w:b/>
          <w:u w:val="single"/>
        </w:rPr>
        <w:t xml:space="preserve">Table 2: Rates of change for specified </w:t>
      </w:r>
      <w:proofErr w:type="spellStart"/>
      <w:r w:rsidRPr="006256E3">
        <w:rPr>
          <w:b/>
          <w:u w:val="single"/>
        </w:rPr>
        <w:t>GDBs</w:t>
      </w:r>
      <w:proofErr w:type="spellEnd"/>
      <w:r w:rsidRPr="006256E3">
        <w:rPr>
          <w:b/>
          <w:u w:val="single"/>
        </w:rPr>
        <w:t xml:space="preserve"> </w:t>
      </w:r>
    </w:p>
    <w:tbl>
      <w:tblPr>
        <w:tblW w:w="5000" w:type="pct"/>
        <w:tblBorders>
          <w:top w:val="nil"/>
          <w:left w:val="nil"/>
          <w:bottom w:val="nil"/>
          <w:right w:val="nil"/>
        </w:tblBorders>
        <w:tblLayout w:type="fixed"/>
        <w:tblLook w:val="0000"/>
      </w:tblPr>
      <w:tblGrid>
        <w:gridCol w:w="4621"/>
        <w:gridCol w:w="4621"/>
      </w:tblGrid>
      <w:tr w:rsidR="00F53D73" w:rsidRPr="00F53D73" w:rsidTr="009446DB">
        <w:trPr>
          <w:trHeight w:val="727"/>
        </w:trPr>
        <w:tc>
          <w:tcPr>
            <w:tcW w:w="2500" w:type="pct"/>
            <w:tcBorders>
              <w:top w:val="single" w:sz="12" w:space="0" w:color="auto"/>
              <w:bottom w:val="single" w:sz="4" w:space="0" w:color="auto"/>
            </w:tcBorders>
          </w:tcPr>
          <w:p w:rsidR="006652C9" w:rsidRDefault="006256E3">
            <w:pPr>
              <w:pStyle w:val="Tableheading"/>
            </w:pPr>
            <w:proofErr w:type="spellStart"/>
            <w:r w:rsidRPr="006256E3">
              <w:rPr>
                <w:szCs w:val="20"/>
              </w:rPr>
              <w:t>GDB</w:t>
            </w:r>
            <w:proofErr w:type="spellEnd"/>
            <w:r w:rsidRPr="006256E3">
              <w:rPr>
                <w:szCs w:val="20"/>
              </w:rPr>
              <w:t xml:space="preserve"> </w:t>
            </w:r>
          </w:p>
        </w:tc>
        <w:tc>
          <w:tcPr>
            <w:tcW w:w="2500" w:type="pct"/>
            <w:tcBorders>
              <w:top w:val="single" w:sz="12" w:space="0" w:color="auto"/>
              <w:bottom w:val="single" w:sz="4" w:space="0" w:color="auto"/>
            </w:tcBorders>
          </w:tcPr>
          <w:p w:rsidR="006652C9" w:rsidRDefault="006256E3">
            <w:pPr>
              <w:pStyle w:val="Tableheading"/>
            </w:pPr>
            <w:r w:rsidRPr="006256E3">
              <w:rPr>
                <w:szCs w:val="20"/>
              </w:rPr>
              <w:t xml:space="preserve">Rate of change for calculating allowable notional revenue in the </w:t>
            </w:r>
            <w:r w:rsidR="00F53D73">
              <w:rPr>
                <w:szCs w:val="20"/>
              </w:rPr>
              <w:t xml:space="preserve">2013/14 and subsequent pricing periods </w:t>
            </w:r>
            <w:r w:rsidRPr="006256E3">
              <w:rPr>
                <w:szCs w:val="20"/>
              </w:rPr>
              <w:t xml:space="preserve">(%) </w:t>
            </w:r>
          </w:p>
        </w:tc>
      </w:tr>
      <w:tr w:rsidR="00F53D73" w:rsidRPr="00F53D73" w:rsidTr="009446DB">
        <w:trPr>
          <w:trHeight w:val="199"/>
        </w:trPr>
        <w:tc>
          <w:tcPr>
            <w:tcW w:w="2500" w:type="pct"/>
            <w:tcBorders>
              <w:top w:val="single" w:sz="4" w:space="0" w:color="auto"/>
              <w:bottom w:val="single" w:sz="12" w:space="0" w:color="auto"/>
            </w:tcBorders>
          </w:tcPr>
          <w:p w:rsidR="006652C9" w:rsidRPr="00812AD1" w:rsidRDefault="00812AD1">
            <w:pPr>
              <w:pStyle w:val="Tableheading"/>
              <w:rPr>
                <w:b w:val="0"/>
              </w:rPr>
            </w:pPr>
            <w:r>
              <w:rPr>
                <w:b w:val="0"/>
              </w:rPr>
              <w:t>[xxx]</w:t>
            </w:r>
          </w:p>
        </w:tc>
        <w:tc>
          <w:tcPr>
            <w:tcW w:w="2500" w:type="pct"/>
            <w:tcBorders>
              <w:top w:val="single" w:sz="4" w:space="0" w:color="auto"/>
              <w:bottom w:val="single" w:sz="12" w:space="0" w:color="auto"/>
            </w:tcBorders>
          </w:tcPr>
          <w:p w:rsidR="006652C9" w:rsidRPr="00812AD1" w:rsidRDefault="00812AD1">
            <w:pPr>
              <w:pStyle w:val="Tableheading"/>
              <w:rPr>
                <w:b w:val="0"/>
              </w:rPr>
            </w:pPr>
            <w:r>
              <w:rPr>
                <w:b w:val="0"/>
              </w:rPr>
              <w:t>[x]</w:t>
            </w:r>
          </w:p>
        </w:tc>
      </w:tr>
    </w:tbl>
    <w:p w:rsidR="00D53361" w:rsidRPr="00D53361" w:rsidRDefault="00D53361" w:rsidP="00D53361">
      <w:pPr>
        <w:pStyle w:val="BodyText"/>
      </w:pPr>
    </w:p>
    <w:p w:rsidR="00701AA9" w:rsidRDefault="00701AA9" w:rsidP="00701AA9">
      <w:pPr>
        <w:pStyle w:val="ListParagraph"/>
      </w:pPr>
    </w:p>
    <w:p w:rsidR="00D53361" w:rsidRPr="00D53361" w:rsidRDefault="00D53361" w:rsidP="00D53361">
      <w:pPr>
        <w:pStyle w:val="BodyText"/>
      </w:pPr>
    </w:p>
    <w:p w:rsidR="0048622D" w:rsidRDefault="00D53361" w:rsidP="0048622D">
      <w:pPr>
        <w:pStyle w:val="Heading2"/>
      </w:pPr>
      <w:r w:rsidRPr="00D53361">
        <w:rPr>
          <w:bCs/>
        </w:rPr>
        <w:br w:type="page"/>
      </w:r>
      <w:bookmarkStart w:id="23" w:name="_Toc348091314"/>
      <w:r w:rsidR="00055966" w:rsidRPr="00055966">
        <w:t xml:space="preserve">Schedule </w:t>
      </w:r>
      <w:r w:rsidR="00CC066B">
        <w:t>3</w:t>
      </w:r>
      <w:r w:rsidR="006E0663">
        <w:t>: Allowable notional revenue for the first assessment period</w:t>
      </w:r>
      <w:bookmarkEnd w:id="23"/>
    </w:p>
    <w:p w:rsidR="00D53361" w:rsidRPr="00055966" w:rsidRDefault="00D53361" w:rsidP="00055966">
      <w:pPr>
        <w:pStyle w:val="zFileRef"/>
      </w:pPr>
    </w:p>
    <w:p w:rsidR="00692B0E" w:rsidRPr="005A67FA" w:rsidRDefault="00692B0E" w:rsidP="005A67FA">
      <w:pPr>
        <w:pStyle w:val="BodyText"/>
        <w:rPr>
          <w:rFonts w:asciiTheme="minorHAnsi" w:hAnsiTheme="minorHAnsi"/>
          <w:bCs/>
          <w:iCs/>
        </w:rPr>
      </w:pPr>
      <w:r>
        <w:rPr>
          <w:rFonts w:asciiTheme="minorHAnsi" w:hAnsiTheme="minorHAnsi"/>
          <w:bCs/>
          <w:iCs/>
        </w:rPr>
        <w:t>A</w:t>
      </w:r>
      <w:r w:rsidRPr="003107B1">
        <w:rPr>
          <w:rFonts w:asciiTheme="minorHAnsi" w:hAnsiTheme="minorHAnsi"/>
          <w:bCs/>
          <w:iCs/>
        </w:rPr>
        <w:t xml:space="preserve">llowable notional revenue for the </w:t>
      </w:r>
      <w:r w:rsidR="0048622D" w:rsidRPr="008824A5">
        <w:rPr>
          <w:rFonts w:asciiTheme="minorHAnsi" w:hAnsiTheme="minorHAnsi"/>
          <w:b/>
          <w:bCs/>
          <w:iCs/>
        </w:rPr>
        <w:t>first</w:t>
      </w:r>
      <w:r w:rsidRPr="008824A5">
        <w:rPr>
          <w:rFonts w:asciiTheme="minorHAnsi" w:hAnsiTheme="minorHAnsi"/>
          <w:b/>
          <w:bCs/>
          <w:iCs/>
        </w:rPr>
        <w:t xml:space="preserve"> a</w:t>
      </w:r>
      <w:r w:rsidRPr="003107B1">
        <w:rPr>
          <w:rFonts w:asciiTheme="minorHAnsi" w:hAnsiTheme="minorHAnsi"/>
          <w:b/>
          <w:bCs/>
          <w:iCs/>
        </w:rPr>
        <w:t>ssessment period</w:t>
      </w:r>
      <w:r w:rsidR="00674C0A" w:rsidRPr="0016589C">
        <w:rPr>
          <w:rFonts w:asciiTheme="minorHAnsi" w:hAnsiTheme="minorHAnsi"/>
          <w:bCs/>
          <w:iCs/>
        </w:rPr>
        <w:t xml:space="preserve"> </w:t>
      </w:r>
      <w:r w:rsidR="00D555FC">
        <w:rPr>
          <w:rFonts w:asciiTheme="minorHAnsi" w:hAnsiTheme="minorHAnsi"/>
          <w:bCs/>
          <w:iCs/>
        </w:rPr>
        <w:t>must be</w:t>
      </w:r>
      <w:r>
        <w:rPr>
          <w:rFonts w:asciiTheme="minorHAnsi" w:hAnsiTheme="minorHAnsi"/>
          <w:bCs/>
          <w:iCs/>
        </w:rPr>
        <w:t xml:space="preserve"> calculated </w:t>
      </w:r>
      <w:r w:rsidR="00D555FC">
        <w:rPr>
          <w:rFonts w:asciiTheme="minorHAnsi" w:hAnsiTheme="minorHAnsi"/>
          <w:bCs/>
          <w:iCs/>
        </w:rPr>
        <w:t>in accordance with</w:t>
      </w:r>
      <w:r w:rsidR="0021462A">
        <w:rPr>
          <w:rFonts w:asciiTheme="minorHAnsi" w:hAnsiTheme="minorHAnsi"/>
          <w:bCs/>
          <w:iCs/>
        </w:rPr>
        <w:t xml:space="preserve"> </w:t>
      </w:r>
      <w:r>
        <w:rPr>
          <w:bCs/>
          <w:iCs/>
        </w:rPr>
        <w:t xml:space="preserve">Equation 2 and Equation 3 for all </w:t>
      </w:r>
      <w:proofErr w:type="spellStart"/>
      <w:r w:rsidR="00FC4268" w:rsidRPr="00FC4268">
        <w:rPr>
          <w:b/>
          <w:bCs/>
          <w:iCs/>
        </w:rPr>
        <w:t>GDB</w:t>
      </w:r>
      <w:r w:rsidR="0048622D" w:rsidRPr="0048622D">
        <w:rPr>
          <w:b/>
          <w:bCs/>
          <w:iCs/>
        </w:rPr>
        <w:t>s</w:t>
      </w:r>
      <w:proofErr w:type="spellEnd"/>
      <w:r>
        <w:rPr>
          <w:bCs/>
          <w:iCs/>
        </w:rPr>
        <w:t>.</w:t>
      </w:r>
    </w:p>
    <w:tbl>
      <w:tblPr>
        <w:tblW w:w="10309" w:type="dxa"/>
        <w:tblInd w:w="108" w:type="dxa"/>
        <w:tblLook w:val="01E0"/>
      </w:tblPr>
      <w:tblGrid>
        <w:gridCol w:w="651"/>
        <w:gridCol w:w="190"/>
        <w:gridCol w:w="2141"/>
        <w:gridCol w:w="137"/>
        <w:gridCol w:w="142"/>
        <w:gridCol w:w="692"/>
        <w:gridCol w:w="5379"/>
        <w:gridCol w:w="143"/>
        <w:gridCol w:w="834"/>
      </w:tblGrid>
      <w:tr w:rsidR="00D53361" w:rsidRPr="00D53361" w:rsidTr="00C02CDB">
        <w:trPr>
          <w:trHeight w:val="340"/>
        </w:trPr>
        <w:tc>
          <w:tcPr>
            <w:tcW w:w="10309" w:type="dxa"/>
            <w:gridSpan w:val="9"/>
          </w:tcPr>
          <w:p w:rsidR="004E63B4" w:rsidRDefault="004E63B4" w:rsidP="00055966">
            <w:pPr>
              <w:pStyle w:val="Tablebodytext"/>
              <w:rPr>
                <w:b/>
                <w:position w:val="-12"/>
              </w:rPr>
            </w:pPr>
            <w:r w:rsidRPr="005A67FA">
              <w:rPr>
                <w:b/>
                <w:position w:val="-12"/>
              </w:rPr>
              <w:t>Equation 2</w:t>
            </w:r>
          </w:p>
          <w:p w:rsidR="004E63B4" w:rsidRPr="00BF6C56" w:rsidRDefault="00D555FC" w:rsidP="004E63B4">
            <w:pPr>
              <w:pStyle w:val="Tablebodytext"/>
              <w:rPr>
                <w:position w:val="-28"/>
              </w:rPr>
            </w:pPr>
            <w:r>
              <w:rPr>
                <w:position w:val="-28"/>
              </w:rPr>
              <w:t>T</w:t>
            </w:r>
            <w:r w:rsidR="004E63B4">
              <w:rPr>
                <w:position w:val="-28"/>
              </w:rPr>
              <w:t xml:space="preserve">he allowable notional revenue for </w:t>
            </w:r>
            <w:r w:rsidR="008824A5">
              <w:rPr>
                <w:position w:val="-28"/>
              </w:rPr>
              <w:t xml:space="preserve">the </w:t>
            </w:r>
            <w:r w:rsidR="00F8207E" w:rsidRPr="00F8207E">
              <w:rPr>
                <w:b/>
                <w:position w:val="-28"/>
              </w:rPr>
              <w:t>pricing period</w:t>
            </w:r>
            <w:r w:rsidR="00F8207E">
              <w:rPr>
                <w:position w:val="-28"/>
              </w:rPr>
              <w:t xml:space="preserve"> ending in 2013</w:t>
            </w:r>
            <w:r w:rsidR="008824A5">
              <w:rPr>
                <w:position w:val="-28"/>
              </w:rPr>
              <w:t xml:space="preserve"> </w:t>
            </w:r>
            <w:r>
              <w:rPr>
                <w:position w:val="-28"/>
              </w:rPr>
              <w:t xml:space="preserve">is </w:t>
            </w:r>
            <w:r w:rsidR="004E63B4">
              <w:rPr>
                <w:position w:val="-28"/>
              </w:rPr>
              <w:t>equal to:</w:t>
            </w:r>
          </w:p>
          <w:p w:rsidR="00D53361" w:rsidRDefault="008824A5" w:rsidP="00055966">
            <w:pPr>
              <w:pStyle w:val="Tablebodytext"/>
            </w:pPr>
            <w:r w:rsidRPr="009F6AC6">
              <w:rPr>
                <w:position w:val="-34"/>
              </w:rPr>
              <w:object w:dxaOrig="4560" w:dyaOrig="800">
                <v:shape id="_x0000_i1036" type="#_x0000_t75" style="width:239.8pt;height:40.05pt" o:ole="">
                  <v:imagedata r:id="rId30" o:title=""/>
                </v:shape>
                <o:OLEObject Type="Embed" ProgID="Equation.3" ShapeID="_x0000_i1036" DrawAspect="Content" ObjectID="_1421844991" r:id="rId31"/>
              </w:object>
            </w:r>
          </w:p>
          <w:p w:rsidR="00055966" w:rsidRPr="00D53361" w:rsidRDefault="00055966" w:rsidP="00055966">
            <w:pPr>
              <w:pStyle w:val="Tablebodytext"/>
            </w:pPr>
            <w:r w:rsidRPr="00D53361">
              <w:t>where</w:t>
            </w:r>
            <w:r>
              <w:t>:</w:t>
            </w:r>
          </w:p>
        </w:tc>
      </w:tr>
      <w:tr w:rsidR="00BF6C56" w:rsidRPr="00D53361" w:rsidTr="001C2273">
        <w:trPr>
          <w:gridAfter w:val="1"/>
          <w:wAfter w:w="834" w:type="dxa"/>
          <w:trHeight w:val="397"/>
        </w:trPr>
        <w:tc>
          <w:tcPr>
            <w:tcW w:w="841" w:type="dxa"/>
            <w:gridSpan w:val="2"/>
          </w:tcPr>
          <w:p w:rsidR="00BF6C56" w:rsidRPr="00D53361" w:rsidRDefault="00BF6C56" w:rsidP="00055966">
            <w:pPr>
              <w:pStyle w:val="Tablebodytext"/>
              <w:rPr>
                <w:i/>
              </w:rPr>
            </w:pPr>
          </w:p>
        </w:tc>
        <w:tc>
          <w:tcPr>
            <w:tcW w:w="2420" w:type="dxa"/>
            <w:gridSpan w:val="3"/>
          </w:tcPr>
          <w:p w:rsidR="00BF6C56" w:rsidRPr="00D53361" w:rsidRDefault="002C1315">
            <w:pPr>
              <w:pStyle w:val="Tablebodytext"/>
              <w:rPr>
                <w:i/>
              </w:rPr>
            </w:pPr>
            <w:r w:rsidRPr="002C1315">
              <w:rPr>
                <w:position w:val="-14"/>
              </w:rPr>
              <w:object w:dxaOrig="639" w:dyaOrig="400">
                <v:shape id="_x0000_i1037" type="#_x0000_t75" style="width:33.2pt;height:21.3pt" o:ole="">
                  <v:imagedata r:id="rId32" o:title=""/>
                </v:shape>
                <o:OLEObject Type="Embed" ProgID="Equation.3" ShapeID="_x0000_i1037" DrawAspect="Content" ObjectID="_1421844992" r:id="rId33"/>
              </w:object>
            </w:r>
          </w:p>
        </w:tc>
        <w:tc>
          <w:tcPr>
            <w:tcW w:w="6214" w:type="dxa"/>
            <w:gridSpan w:val="3"/>
          </w:tcPr>
          <w:p w:rsidR="0048622D" w:rsidRDefault="004E63B4" w:rsidP="001C2273">
            <w:pPr>
              <w:pStyle w:val="Tablebodytext"/>
              <w:rPr>
                <w:iCs/>
              </w:rPr>
            </w:pPr>
            <w:proofErr w:type="gramStart"/>
            <w:r w:rsidRPr="002873FD">
              <w:t>is</w:t>
            </w:r>
            <w:proofErr w:type="gramEnd"/>
            <w:r w:rsidRPr="002873FD">
              <w:t xml:space="preserve"> the </w:t>
            </w:r>
            <w:r w:rsidR="00F05FD0">
              <w:t xml:space="preserve">starting </w:t>
            </w:r>
            <w:r w:rsidR="00D2465E" w:rsidRPr="00867EA4">
              <w:t>price</w:t>
            </w:r>
            <w:r w:rsidRPr="002873FD">
              <w:t xml:space="preserve"> specified in </w:t>
            </w:r>
            <w:r w:rsidR="002C1315">
              <w:t xml:space="preserve">Schedule </w:t>
            </w:r>
            <w:r w:rsidR="008824A5">
              <w:t>1</w:t>
            </w:r>
            <w:r>
              <w:t>.</w:t>
            </w:r>
          </w:p>
        </w:tc>
      </w:tr>
      <w:tr w:rsidR="00BF6C56" w:rsidRPr="00D53361" w:rsidTr="001C2273">
        <w:trPr>
          <w:gridAfter w:val="1"/>
          <w:wAfter w:w="834" w:type="dxa"/>
          <w:trHeight w:val="397"/>
        </w:trPr>
        <w:tc>
          <w:tcPr>
            <w:tcW w:w="841" w:type="dxa"/>
            <w:gridSpan w:val="2"/>
          </w:tcPr>
          <w:p w:rsidR="00BF6C56" w:rsidRPr="00D53361" w:rsidRDefault="00BF6C56" w:rsidP="00055966">
            <w:pPr>
              <w:pStyle w:val="Tablebodytext"/>
              <w:rPr>
                <w:i/>
              </w:rPr>
            </w:pPr>
          </w:p>
        </w:tc>
        <w:tc>
          <w:tcPr>
            <w:tcW w:w="2420" w:type="dxa"/>
            <w:gridSpan w:val="3"/>
          </w:tcPr>
          <w:p w:rsidR="00BF6C56" w:rsidRPr="00D53361" w:rsidRDefault="000B5269">
            <w:pPr>
              <w:pStyle w:val="Tablebodytext"/>
              <w:rPr>
                <w:i/>
              </w:rPr>
            </w:pPr>
            <w:r w:rsidRPr="00413932">
              <w:rPr>
                <w:position w:val="-14"/>
              </w:rPr>
              <w:object w:dxaOrig="440" w:dyaOrig="360">
                <v:shape id="_x0000_i1038" type="#_x0000_t75" style="width:21.3pt;height:21.3pt" o:ole="">
                  <v:imagedata r:id="rId34" o:title=""/>
                </v:shape>
                <o:OLEObject Type="Embed" ProgID="Equation.3" ShapeID="_x0000_i1038" DrawAspect="Content" ObjectID="_1421844993" r:id="rId35"/>
              </w:object>
            </w:r>
          </w:p>
        </w:tc>
        <w:tc>
          <w:tcPr>
            <w:tcW w:w="6214" w:type="dxa"/>
            <w:gridSpan w:val="3"/>
          </w:tcPr>
          <w:p w:rsidR="0048622D" w:rsidRDefault="004E63B4" w:rsidP="00F8207E">
            <w:pPr>
              <w:pStyle w:val="Tablebodytext"/>
              <w:rPr>
                <w:iCs/>
              </w:rPr>
            </w:pPr>
            <w:proofErr w:type="gramStart"/>
            <w:r w:rsidRPr="002873FD">
              <w:t>is</w:t>
            </w:r>
            <w:proofErr w:type="gramEnd"/>
            <w:r w:rsidRPr="002873FD">
              <w:t xml:space="preserve"> the </w:t>
            </w:r>
            <w:r>
              <w:t xml:space="preserve">change in </w:t>
            </w:r>
            <w:r w:rsidRPr="002873FD">
              <w:t xml:space="preserve">constant price revenue for </w:t>
            </w:r>
            <w:r>
              <w:t xml:space="preserve">the period </w:t>
            </w:r>
            <w:r w:rsidRPr="002873FD">
              <w:t>1</w:t>
            </w:r>
            <w:r w:rsidR="008824A5">
              <w:t xml:space="preserve"> </w:t>
            </w:r>
            <w:r>
              <w:t>Oct</w:t>
            </w:r>
            <w:r w:rsidR="00DF6CEC">
              <w:t>ober</w:t>
            </w:r>
            <w:r w:rsidRPr="002873FD">
              <w:t xml:space="preserve"> </w:t>
            </w:r>
            <w:r>
              <w:t xml:space="preserve">2011 </w:t>
            </w:r>
            <w:r w:rsidRPr="002873FD">
              <w:t>to 3</w:t>
            </w:r>
            <w:r>
              <w:t>0</w:t>
            </w:r>
            <w:r w:rsidRPr="002873FD">
              <w:t xml:space="preserve"> </w:t>
            </w:r>
            <w:r>
              <w:t>Sep</w:t>
            </w:r>
            <w:r w:rsidR="00DF6CEC">
              <w:t>tember</w:t>
            </w:r>
            <w:r w:rsidRPr="002873FD">
              <w:t xml:space="preserve"> </w:t>
            </w:r>
            <w:r>
              <w:t xml:space="preserve">2013, as specified in </w:t>
            </w:r>
            <w:r w:rsidR="002C1315">
              <w:t xml:space="preserve">Table </w:t>
            </w:r>
            <w:r w:rsidR="00F8207E">
              <w:t xml:space="preserve">3 for each </w:t>
            </w:r>
            <w:proofErr w:type="spellStart"/>
            <w:r w:rsidR="006256E3" w:rsidRPr="006256E3">
              <w:rPr>
                <w:b/>
              </w:rPr>
              <w:t>GDB</w:t>
            </w:r>
            <w:proofErr w:type="spellEnd"/>
            <w:r>
              <w:t>.</w:t>
            </w:r>
          </w:p>
        </w:tc>
      </w:tr>
      <w:tr w:rsidR="00BF6C56" w:rsidRPr="00D53361" w:rsidTr="001C2273">
        <w:trPr>
          <w:gridAfter w:val="1"/>
          <w:wAfter w:w="834" w:type="dxa"/>
          <w:trHeight w:val="397"/>
        </w:trPr>
        <w:tc>
          <w:tcPr>
            <w:tcW w:w="841" w:type="dxa"/>
            <w:gridSpan w:val="2"/>
          </w:tcPr>
          <w:p w:rsidR="00BF6C56" w:rsidRPr="00D53361" w:rsidRDefault="00BF6C56" w:rsidP="00055966">
            <w:pPr>
              <w:pStyle w:val="Tablebodytext"/>
              <w:rPr>
                <w:i/>
              </w:rPr>
            </w:pPr>
          </w:p>
        </w:tc>
        <w:tc>
          <w:tcPr>
            <w:tcW w:w="2420" w:type="dxa"/>
            <w:gridSpan w:val="3"/>
          </w:tcPr>
          <w:p w:rsidR="00BF6C56" w:rsidRPr="00D53361" w:rsidRDefault="00E457E4">
            <w:pPr>
              <w:pStyle w:val="Tablebodytext"/>
              <w:rPr>
                <w:i/>
              </w:rPr>
            </w:pPr>
            <w:r w:rsidRPr="00EE2A8D">
              <w:rPr>
                <w:position w:val="-12"/>
              </w:rPr>
              <w:object w:dxaOrig="1120" w:dyaOrig="340">
                <v:shape id="_x0000_i1039" type="#_x0000_t75" style="width:52.6pt;height:19.4pt" o:ole="">
                  <v:imagedata r:id="rId36" o:title=""/>
                </v:shape>
                <o:OLEObject Type="Embed" ProgID="Equation.3" ShapeID="_x0000_i1039" DrawAspect="Content" ObjectID="_1421844994" r:id="rId37"/>
              </w:object>
            </w:r>
          </w:p>
        </w:tc>
        <w:tc>
          <w:tcPr>
            <w:tcW w:w="6214" w:type="dxa"/>
            <w:gridSpan w:val="3"/>
          </w:tcPr>
          <w:p w:rsidR="00BF6C56" w:rsidRPr="00D53361" w:rsidRDefault="00BF6C56" w:rsidP="001C2273">
            <w:pPr>
              <w:pStyle w:val="Tablebodytext"/>
              <w:rPr>
                <w:iCs/>
              </w:rPr>
            </w:pPr>
            <w:proofErr w:type="gramStart"/>
            <w:r w:rsidRPr="002873FD">
              <w:t>is</w:t>
            </w:r>
            <w:proofErr w:type="gramEnd"/>
            <w:r w:rsidRPr="002873FD">
              <w:t xml:space="preserve"> the sum of all </w:t>
            </w:r>
            <w:r w:rsidR="0048622D" w:rsidRPr="0048622D">
              <w:rPr>
                <w:b/>
              </w:rPr>
              <w:t>pass-through costs</w:t>
            </w:r>
            <w:r w:rsidRPr="002873FD">
              <w:t xml:space="preserve"> and </w:t>
            </w:r>
            <w:r w:rsidR="0048622D" w:rsidRPr="0048622D">
              <w:rPr>
                <w:b/>
              </w:rPr>
              <w:t>recoverable costs</w:t>
            </w:r>
            <w:r w:rsidRPr="002873FD">
              <w:t xml:space="preserve"> for </w:t>
            </w:r>
            <w:r w:rsidR="008824A5">
              <w:t xml:space="preserve">the </w:t>
            </w:r>
            <w:r w:rsidR="00F8207E" w:rsidRPr="00F8207E">
              <w:rPr>
                <w:b/>
              </w:rPr>
              <w:t>pricing period</w:t>
            </w:r>
            <w:r w:rsidR="00F8207E">
              <w:t xml:space="preserve"> ending in 2013</w:t>
            </w:r>
            <w:r w:rsidR="00D555FC" w:rsidRPr="00D555FC">
              <w:t xml:space="preserve">, </w:t>
            </w:r>
            <w:r w:rsidR="00D555FC">
              <w:t>determined in accordance with Schedule 5</w:t>
            </w:r>
            <w:r w:rsidR="004E63B4">
              <w:t>.</w:t>
            </w:r>
          </w:p>
        </w:tc>
      </w:tr>
      <w:tr w:rsidR="004E63B4" w:rsidRPr="00D53361" w:rsidTr="00C02CDB">
        <w:trPr>
          <w:trHeight w:val="397"/>
        </w:trPr>
        <w:tc>
          <w:tcPr>
            <w:tcW w:w="10309" w:type="dxa"/>
            <w:gridSpan w:val="9"/>
          </w:tcPr>
          <w:p w:rsidR="004E63B4" w:rsidRPr="005A67FA" w:rsidRDefault="004E63B4" w:rsidP="00055966">
            <w:pPr>
              <w:pStyle w:val="Tablebodytext"/>
              <w:rPr>
                <w:b/>
                <w:i/>
              </w:rPr>
            </w:pPr>
            <w:r w:rsidRPr="005A67FA">
              <w:rPr>
                <w:b/>
                <w:position w:val="-12"/>
              </w:rPr>
              <w:t xml:space="preserve">Equation </w:t>
            </w:r>
            <w:r w:rsidR="00C67AA5">
              <w:rPr>
                <w:b/>
                <w:position w:val="-12"/>
              </w:rPr>
              <w:t>3</w:t>
            </w:r>
          </w:p>
          <w:p w:rsidR="004E63B4" w:rsidRPr="00BF6C56" w:rsidRDefault="00D555FC" w:rsidP="00055966">
            <w:pPr>
              <w:pStyle w:val="Tablebodytext"/>
              <w:rPr>
                <w:position w:val="-28"/>
              </w:rPr>
            </w:pPr>
            <w:r>
              <w:rPr>
                <w:position w:val="-28"/>
              </w:rPr>
              <w:t>T</w:t>
            </w:r>
            <w:r w:rsidR="004E63B4">
              <w:rPr>
                <w:position w:val="-28"/>
              </w:rPr>
              <w:t xml:space="preserve">he allowable notional revenue for </w:t>
            </w:r>
            <w:r w:rsidR="008824A5">
              <w:rPr>
                <w:position w:val="-28"/>
              </w:rPr>
              <w:t xml:space="preserve">the </w:t>
            </w:r>
            <w:r w:rsidR="00F8207E" w:rsidRPr="00F8207E">
              <w:rPr>
                <w:b/>
                <w:position w:val="-28"/>
              </w:rPr>
              <w:t>pricing period</w:t>
            </w:r>
            <w:r w:rsidR="00F8207E">
              <w:rPr>
                <w:position w:val="-28"/>
              </w:rPr>
              <w:t xml:space="preserve"> ending in 2014</w:t>
            </w:r>
            <w:r w:rsidR="008824A5">
              <w:rPr>
                <w:position w:val="-28"/>
              </w:rPr>
              <w:t xml:space="preserve"> </w:t>
            </w:r>
            <w:r>
              <w:rPr>
                <w:position w:val="-28"/>
              </w:rPr>
              <w:t xml:space="preserve">is </w:t>
            </w:r>
            <w:r w:rsidR="004E63B4">
              <w:rPr>
                <w:position w:val="-28"/>
              </w:rPr>
              <w:t>equal to:</w:t>
            </w:r>
          </w:p>
          <w:p w:rsidR="00674C0A" w:rsidRDefault="00F12B99">
            <w:pPr>
              <w:pStyle w:val="Tablebodytext"/>
              <w:rPr>
                <w:position w:val="-28"/>
              </w:rPr>
            </w:pPr>
            <w:r w:rsidRPr="00DC5F2D">
              <w:rPr>
                <w:position w:val="-12"/>
              </w:rPr>
              <w:object w:dxaOrig="9580" w:dyaOrig="380">
                <v:shape id="_x0000_i1040" type="#_x0000_t75" style="width:436.4pt;height:17.55pt" o:ole="">
                  <v:imagedata r:id="rId38" o:title=""/>
                </v:shape>
                <o:OLEObject Type="Embed" ProgID="Equation.3" ShapeID="_x0000_i1040" DrawAspect="Content" ObjectID="_1421844995" r:id="rId39"/>
              </w:object>
            </w:r>
          </w:p>
          <w:p w:rsidR="004E63B4" w:rsidRPr="00D53361" w:rsidRDefault="00674C0A">
            <w:pPr>
              <w:pStyle w:val="Tablebodytext"/>
              <w:rPr>
                <w:iCs/>
              </w:rPr>
            </w:pPr>
            <w:r>
              <w:rPr>
                <w:position w:val="-28"/>
              </w:rPr>
              <w:t>w</w:t>
            </w:r>
            <w:r w:rsidR="004E63B4">
              <w:rPr>
                <w:position w:val="-28"/>
              </w:rPr>
              <w:t>here:</w:t>
            </w:r>
          </w:p>
        </w:tc>
      </w:tr>
      <w:tr w:rsidR="008824A5" w:rsidRPr="00D53361" w:rsidTr="00EC63FD">
        <w:trPr>
          <w:gridAfter w:val="1"/>
          <w:wAfter w:w="834" w:type="dxa"/>
          <w:trHeight w:val="397"/>
        </w:trPr>
        <w:tc>
          <w:tcPr>
            <w:tcW w:w="841" w:type="dxa"/>
            <w:gridSpan w:val="2"/>
          </w:tcPr>
          <w:p w:rsidR="008824A5" w:rsidRPr="00D53361" w:rsidRDefault="008824A5" w:rsidP="00055966">
            <w:pPr>
              <w:pStyle w:val="Tablebodytext"/>
              <w:rPr>
                <w:i/>
              </w:rPr>
            </w:pPr>
          </w:p>
        </w:tc>
        <w:tc>
          <w:tcPr>
            <w:tcW w:w="2278" w:type="dxa"/>
            <w:gridSpan w:val="2"/>
          </w:tcPr>
          <w:p w:rsidR="008824A5" w:rsidRPr="006119F2" w:rsidRDefault="008824A5" w:rsidP="00055966">
            <w:pPr>
              <w:pStyle w:val="Tablebodytext"/>
              <w:rPr>
                <w:position w:val="-12"/>
              </w:rPr>
            </w:pPr>
            <w:r w:rsidRPr="00C22632">
              <w:rPr>
                <w:position w:val="-12"/>
              </w:rPr>
              <w:object w:dxaOrig="780" w:dyaOrig="380">
                <v:shape id="_x0000_i1041" type="#_x0000_t75" style="width:38.8pt;height:18.15pt" o:ole="">
                  <v:imagedata r:id="rId40" o:title=""/>
                </v:shape>
                <o:OLEObject Type="Embed" ProgID="Equation.3" ShapeID="_x0000_i1041" DrawAspect="Content" ObjectID="_1421844996" r:id="rId41"/>
              </w:object>
            </w:r>
          </w:p>
        </w:tc>
        <w:tc>
          <w:tcPr>
            <w:tcW w:w="6356" w:type="dxa"/>
            <w:gridSpan w:val="4"/>
          </w:tcPr>
          <w:p w:rsidR="008824A5" w:rsidRPr="00AD6BDC" w:rsidRDefault="008824A5" w:rsidP="008824A5">
            <w:pPr>
              <w:pStyle w:val="Tablebodytext"/>
            </w:pPr>
            <w:proofErr w:type="gramStart"/>
            <w:r>
              <w:rPr>
                <w:position w:val="-28"/>
              </w:rPr>
              <w:t>allowable</w:t>
            </w:r>
            <w:proofErr w:type="gramEnd"/>
            <w:r>
              <w:rPr>
                <w:position w:val="-28"/>
              </w:rPr>
              <w:t xml:space="preserve"> notional revenue for the </w:t>
            </w:r>
            <w:r w:rsidR="00F8207E" w:rsidRPr="00F8207E">
              <w:rPr>
                <w:b/>
                <w:position w:val="-28"/>
              </w:rPr>
              <w:t>pricing period</w:t>
            </w:r>
            <w:r w:rsidR="00F8207E">
              <w:rPr>
                <w:position w:val="-28"/>
              </w:rPr>
              <w:t xml:space="preserve"> ending in 2013</w:t>
            </w:r>
            <w:r w:rsidRPr="008824A5">
              <w:rPr>
                <w:position w:val="-28"/>
              </w:rPr>
              <w:t>,</w:t>
            </w:r>
            <w:r>
              <w:rPr>
                <w:position w:val="-28"/>
              </w:rPr>
              <w:t xml:space="preserve"> calculated using Equation 2.</w:t>
            </w:r>
          </w:p>
        </w:tc>
      </w:tr>
      <w:tr w:rsidR="00BF6C56" w:rsidRPr="00D53361" w:rsidTr="00EC63FD">
        <w:trPr>
          <w:gridAfter w:val="1"/>
          <w:wAfter w:w="834" w:type="dxa"/>
          <w:trHeight w:val="397"/>
        </w:trPr>
        <w:tc>
          <w:tcPr>
            <w:tcW w:w="841" w:type="dxa"/>
            <w:gridSpan w:val="2"/>
          </w:tcPr>
          <w:p w:rsidR="00BF6C56" w:rsidRPr="00D53361" w:rsidRDefault="00BF6C56" w:rsidP="00055966">
            <w:pPr>
              <w:pStyle w:val="Tablebodytext"/>
              <w:rPr>
                <w:i/>
              </w:rPr>
            </w:pPr>
          </w:p>
        </w:tc>
        <w:tc>
          <w:tcPr>
            <w:tcW w:w="2278" w:type="dxa"/>
            <w:gridSpan w:val="2"/>
          </w:tcPr>
          <w:p w:rsidR="00BF6C56" w:rsidRPr="00D53361" w:rsidRDefault="00E457E4" w:rsidP="00055966">
            <w:pPr>
              <w:pStyle w:val="Tablebodytext"/>
              <w:rPr>
                <w:i/>
              </w:rPr>
            </w:pPr>
            <w:r w:rsidRPr="006119F2">
              <w:rPr>
                <w:position w:val="-12"/>
              </w:rPr>
              <w:object w:dxaOrig="1120" w:dyaOrig="340">
                <v:shape id="_x0000_i1042" type="#_x0000_t75" style="width:63.25pt;height:19.4pt" o:ole="">
                  <v:imagedata r:id="rId42" o:title=""/>
                </v:shape>
                <o:OLEObject Type="Embed" ProgID="Equation.3" ShapeID="_x0000_i1042" DrawAspect="Content" ObjectID="_1421844997" r:id="rId43"/>
              </w:object>
            </w:r>
          </w:p>
        </w:tc>
        <w:tc>
          <w:tcPr>
            <w:tcW w:w="6356" w:type="dxa"/>
            <w:gridSpan w:val="4"/>
          </w:tcPr>
          <w:p w:rsidR="00BF6C56" w:rsidRPr="00D53361" w:rsidRDefault="004E63B4" w:rsidP="005433D3">
            <w:pPr>
              <w:pStyle w:val="Tablebodytext"/>
              <w:rPr>
                <w:iCs/>
              </w:rPr>
            </w:pPr>
            <w:proofErr w:type="gramStart"/>
            <w:r w:rsidRPr="00AD6BDC">
              <w:t>is</w:t>
            </w:r>
            <w:proofErr w:type="gramEnd"/>
            <w:r w:rsidRPr="00AD6BDC">
              <w:t xml:space="preserve"> the sum of all </w:t>
            </w:r>
            <w:r w:rsidR="0048622D" w:rsidRPr="0048622D">
              <w:rPr>
                <w:b/>
              </w:rPr>
              <w:t>pass-through costs</w:t>
            </w:r>
            <w:r w:rsidRPr="00AD6BDC">
              <w:t xml:space="preserve"> and </w:t>
            </w:r>
            <w:r w:rsidR="0048622D" w:rsidRPr="0048622D">
              <w:rPr>
                <w:b/>
              </w:rPr>
              <w:t>recoverable costs</w:t>
            </w:r>
            <w:r w:rsidRPr="00AD6BDC">
              <w:t xml:space="preserve"> for </w:t>
            </w:r>
            <w:r w:rsidR="008824A5">
              <w:t xml:space="preserve">the </w:t>
            </w:r>
            <w:r w:rsidR="00F8207E" w:rsidRPr="00F8207E">
              <w:rPr>
                <w:b/>
              </w:rPr>
              <w:t>pricing period</w:t>
            </w:r>
            <w:r w:rsidR="00F8207E">
              <w:t xml:space="preserve"> ending in 2013</w:t>
            </w:r>
            <w:r w:rsidR="00D555FC">
              <w:rPr>
                <w:b/>
              </w:rPr>
              <w:t xml:space="preserve">, </w:t>
            </w:r>
            <w:r w:rsidR="00D555FC">
              <w:t>determined in accordance with Schedule 5</w:t>
            </w:r>
            <w:r w:rsidRPr="00AD6BDC">
              <w:t>.</w:t>
            </w:r>
          </w:p>
        </w:tc>
      </w:tr>
      <w:tr w:rsidR="00C02CDB" w:rsidRPr="00D53361" w:rsidTr="00EC63FD">
        <w:trPr>
          <w:gridAfter w:val="1"/>
          <w:wAfter w:w="834" w:type="dxa"/>
          <w:trHeight w:val="397"/>
        </w:trPr>
        <w:tc>
          <w:tcPr>
            <w:tcW w:w="841" w:type="dxa"/>
            <w:gridSpan w:val="2"/>
          </w:tcPr>
          <w:p w:rsidR="00C02CDB" w:rsidRPr="00D53361" w:rsidRDefault="00C02CDB" w:rsidP="00055966">
            <w:pPr>
              <w:pStyle w:val="Tablebodytext"/>
              <w:rPr>
                <w:i/>
              </w:rPr>
            </w:pPr>
          </w:p>
        </w:tc>
        <w:tc>
          <w:tcPr>
            <w:tcW w:w="2278" w:type="dxa"/>
            <w:gridSpan w:val="2"/>
          </w:tcPr>
          <w:p w:rsidR="00C02CDB" w:rsidRPr="003B3782" w:rsidRDefault="001D6358" w:rsidP="00055966">
            <w:pPr>
              <w:pStyle w:val="Tablebodytext"/>
              <w:rPr>
                <w:position w:val="-12"/>
              </w:rPr>
            </w:pPr>
            <w:r w:rsidRPr="00C02CDB">
              <w:rPr>
                <w:position w:val="-12"/>
              </w:rPr>
              <w:object w:dxaOrig="720" w:dyaOrig="340">
                <v:shape id="_x0000_i1043" type="#_x0000_t75" style="width:36.3pt;height:16.3pt" o:ole="">
                  <v:imagedata r:id="rId44" o:title=""/>
                </v:shape>
                <o:OLEObject Type="Embed" ProgID="Equation.3" ShapeID="_x0000_i1043" DrawAspect="Content" ObjectID="_1421844998" r:id="rId45"/>
              </w:object>
            </w:r>
          </w:p>
        </w:tc>
        <w:tc>
          <w:tcPr>
            <w:tcW w:w="6356" w:type="dxa"/>
            <w:gridSpan w:val="4"/>
          </w:tcPr>
          <w:p w:rsidR="00C02CDB" w:rsidRPr="002873FD" w:rsidRDefault="00C02CDB" w:rsidP="00F8207E">
            <w:pPr>
              <w:pStyle w:val="Tablebodytext"/>
            </w:pPr>
            <w:r>
              <w:t xml:space="preserve">is the constant price revenue growth for </w:t>
            </w:r>
            <w:r w:rsidR="00F8207E">
              <w:t xml:space="preserve">the </w:t>
            </w:r>
            <w:r w:rsidR="00F8207E" w:rsidRPr="00F8207E">
              <w:rPr>
                <w:b/>
              </w:rPr>
              <w:t>pricing period</w:t>
            </w:r>
            <w:r w:rsidR="00F8207E">
              <w:t xml:space="preserve"> ending in 2012</w:t>
            </w:r>
            <w:r>
              <w:t xml:space="preserve"> as specified in Table </w:t>
            </w:r>
            <w:r w:rsidR="00F8207E">
              <w:t xml:space="preserve">3 for each </w:t>
            </w:r>
            <w:proofErr w:type="spellStart"/>
            <w:r w:rsidR="006256E3" w:rsidRPr="006256E3">
              <w:rPr>
                <w:b/>
              </w:rPr>
              <w:t>GDB</w:t>
            </w:r>
            <w:proofErr w:type="spellEnd"/>
          </w:p>
        </w:tc>
      </w:tr>
      <w:tr w:rsidR="00BF6C56" w:rsidRPr="00D53361" w:rsidTr="00EC63FD">
        <w:trPr>
          <w:gridAfter w:val="1"/>
          <w:wAfter w:w="834" w:type="dxa"/>
          <w:trHeight w:val="397"/>
        </w:trPr>
        <w:tc>
          <w:tcPr>
            <w:tcW w:w="841" w:type="dxa"/>
            <w:gridSpan w:val="2"/>
          </w:tcPr>
          <w:p w:rsidR="00BF6C56" w:rsidRPr="00D53361" w:rsidRDefault="00BF6C56" w:rsidP="00055966">
            <w:pPr>
              <w:pStyle w:val="Tablebodytext"/>
              <w:rPr>
                <w:i/>
              </w:rPr>
            </w:pPr>
          </w:p>
        </w:tc>
        <w:tc>
          <w:tcPr>
            <w:tcW w:w="2278" w:type="dxa"/>
            <w:gridSpan w:val="2"/>
          </w:tcPr>
          <w:p w:rsidR="00BF6C56" w:rsidRPr="00D53361" w:rsidRDefault="00E457E4" w:rsidP="00055966">
            <w:pPr>
              <w:pStyle w:val="Tablebodytext"/>
              <w:rPr>
                <w:i/>
              </w:rPr>
            </w:pPr>
            <w:r w:rsidRPr="003B3782">
              <w:rPr>
                <w:position w:val="-12"/>
              </w:rPr>
              <w:object w:dxaOrig="1600" w:dyaOrig="380">
                <v:shape id="_x0000_i1044" type="#_x0000_t75" style="width:83.9pt;height:19.4pt" o:ole="">
                  <v:imagedata r:id="rId46" o:title=""/>
                </v:shape>
                <o:OLEObject Type="Embed" ProgID="Equation.3" ShapeID="_x0000_i1044" DrawAspect="Content" ObjectID="_1421844999" r:id="rId47"/>
              </w:object>
            </w:r>
          </w:p>
        </w:tc>
        <w:tc>
          <w:tcPr>
            <w:tcW w:w="6356" w:type="dxa"/>
            <w:gridSpan w:val="4"/>
          </w:tcPr>
          <w:p w:rsidR="00BF6C56" w:rsidRPr="00D53361" w:rsidRDefault="004E63B4" w:rsidP="008824A5">
            <w:pPr>
              <w:pStyle w:val="Tablebodytext"/>
              <w:rPr>
                <w:iCs/>
              </w:rPr>
            </w:pPr>
            <w:proofErr w:type="gramStart"/>
            <w:r w:rsidRPr="002873FD">
              <w:t>is</w:t>
            </w:r>
            <w:proofErr w:type="gramEnd"/>
            <w:r w:rsidRPr="002873FD">
              <w:t xml:space="preserve"> the </w:t>
            </w:r>
            <w:r>
              <w:t xml:space="preserve">difference between </w:t>
            </w:r>
            <w:r w:rsidRPr="002873FD">
              <w:t xml:space="preserve">allowable notional revenue </w:t>
            </w:r>
            <w:r>
              <w:t xml:space="preserve">and notional revenue </w:t>
            </w:r>
            <w:r w:rsidRPr="002873FD">
              <w:t xml:space="preserve">for </w:t>
            </w:r>
            <w:r w:rsidR="008824A5">
              <w:t xml:space="preserve">the </w:t>
            </w:r>
            <w:r w:rsidR="00F8207E" w:rsidRPr="00F8207E">
              <w:rPr>
                <w:b/>
              </w:rPr>
              <w:t>pricing period</w:t>
            </w:r>
            <w:r w:rsidR="00F8207E">
              <w:t xml:space="preserve"> ending in 2013</w:t>
            </w:r>
            <w:r w:rsidRPr="002873FD">
              <w:t>.</w:t>
            </w:r>
          </w:p>
        </w:tc>
      </w:tr>
      <w:tr w:rsidR="003E2469" w:rsidRPr="00D53361" w:rsidTr="00EC63FD">
        <w:trPr>
          <w:gridAfter w:val="1"/>
          <w:wAfter w:w="834" w:type="dxa"/>
          <w:trHeight w:val="397"/>
        </w:trPr>
        <w:tc>
          <w:tcPr>
            <w:tcW w:w="841" w:type="dxa"/>
            <w:gridSpan w:val="2"/>
          </w:tcPr>
          <w:p w:rsidR="003E2469" w:rsidRPr="00D53361" w:rsidRDefault="003E2469" w:rsidP="00055966">
            <w:pPr>
              <w:pStyle w:val="Tablebodytext"/>
              <w:rPr>
                <w:i/>
              </w:rPr>
            </w:pPr>
          </w:p>
        </w:tc>
        <w:tc>
          <w:tcPr>
            <w:tcW w:w="2278" w:type="dxa"/>
            <w:gridSpan w:val="2"/>
          </w:tcPr>
          <w:p w:rsidR="003E2469" w:rsidRPr="00F12B99" w:rsidRDefault="003E2469" w:rsidP="00055966">
            <w:pPr>
              <w:pStyle w:val="Tablebodytext"/>
              <w:rPr>
                <w:position w:val="-12"/>
              </w:rPr>
            </w:pPr>
            <w:r w:rsidRPr="002E4516">
              <w:rPr>
                <w:position w:val="-4"/>
              </w:rPr>
              <w:object w:dxaOrig="240" w:dyaOrig="240">
                <v:shape id="_x0000_i1045" type="#_x0000_t75" style="width:10.65pt;height:13.75pt" o:ole="">
                  <v:imagedata r:id="rId48" o:title=""/>
                </v:shape>
                <o:OLEObject Type="Embed" ProgID="Equation.3" ShapeID="_x0000_i1045" DrawAspect="Content" ObjectID="_1421845000" r:id="rId49"/>
              </w:object>
            </w:r>
          </w:p>
        </w:tc>
        <w:tc>
          <w:tcPr>
            <w:tcW w:w="6356" w:type="dxa"/>
            <w:gridSpan w:val="4"/>
          </w:tcPr>
          <w:p w:rsidR="003E2469" w:rsidRPr="00AD6BDC" w:rsidRDefault="003E2469" w:rsidP="00BF6C56">
            <w:pPr>
              <w:pStyle w:val="Tablebodytext"/>
            </w:pPr>
            <w:proofErr w:type="gramStart"/>
            <w:r w:rsidRPr="00AD6BDC">
              <w:t>is</w:t>
            </w:r>
            <w:proofErr w:type="gramEnd"/>
            <w:r w:rsidRPr="00AD6BDC">
              <w:t xml:space="preserve"> the </w:t>
            </w:r>
            <w:r>
              <w:t>rate of change as specified in Schedule 2</w:t>
            </w:r>
            <w:r>
              <w:rPr>
                <w:i/>
              </w:rPr>
              <w:t>.</w:t>
            </w:r>
          </w:p>
        </w:tc>
      </w:tr>
      <w:tr w:rsidR="004E63B4" w:rsidRPr="00D53361" w:rsidTr="00EC63FD">
        <w:trPr>
          <w:gridAfter w:val="1"/>
          <w:wAfter w:w="834" w:type="dxa"/>
          <w:trHeight w:val="397"/>
        </w:trPr>
        <w:tc>
          <w:tcPr>
            <w:tcW w:w="841" w:type="dxa"/>
            <w:gridSpan w:val="2"/>
          </w:tcPr>
          <w:p w:rsidR="004E63B4" w:rsidRPr="00D53361" w:rsidRDefault="004E63B4" w:rsidP="00055966">
            <w:pPr>
              <w:pStyle w:val="Tablebodytext"/>
              <w:rPr>
                <w:i/>
              </w:rPr>
            </w:pPr>
          </w:p>
        </w:tc>
        <w:tc>
          <w:tcPr>
            <w:tcW w:w="2278" w:type="dxa"/>
            <w:gridSpan w:val="2"/>
          </w:tcPr>
          <w:p w:rsidR="004E63B4" w:rsidRPr="00413932" w:rsidRDefault="00F12B99" w:rsidP="00055966">
            <w:pPr>
              <w:pStyle w:val="Tablebodytext"/>
              <w:rPr>
                <w:position w:val="-12"/>
              </w:rPr>
            </w:pPr>
            <w:r w:rsidRPr="00F12B99">
              <w:rPr>
                <w:position w:val="-12"/>
              </w:rPr>
              <w:object w:dxaOrig="800" w:dyaOrig="340">
                <v:shape id="_x0000_i1046" type="#_x0000_t75" style="width:38.8pt;height:19.4pt" o:ole="">
                  <v:imagedata r:id="rId50" o:title=""/>
                </v:shape>
                <o:OLEObject Type="Embed" ProgID="Equation.3" ShapeID="_x0000_i1046" DrawAspect="Content" ObjectID="_1421845001" r:id="rId51"/>
              </w:object>
            </w:r>
          </w:p>
        </w:tc>
        <w:tc>
          <w:tcPr>
            <w:tcW w:w="6356" w:type="dxa"/>
            <w:gridSpan w:val="4"/>
          </w:tcPr>
          <w:p w:rsidR="004E63B4" w:rsidRDefault="004E63B4" w:rsidP="00BF6C56">
            <w:pPr>
              <w:pStyle w:val="Tablebodytext"/>
            </w:pPr>
            <w:r w:rsidRPr="00AD6BDC">
              <w:t xml:space="preserve">is the derived change in the </w:t>
            </w:r>
            <w:r w:rsidR="00775B79" w:rsidRPr="00775B79">
              <w:rPr>
                <w:b/>
              </w:rPr>
              <w:t>CPI</w:t>
            </w:r>
            <w:r w:rsidRPr="00AD6BDC">
              <w:t xml:space="preserve"> to be applied </w:t>
            </w:r>
            <w:r w:rsidR="005433D3">
              <w:t>for</w:t>
            </w:r>
            <w:r w:rsidR="005433D3" w:rsidRPr="00AD6BDC">
              <w:t xml:space="preserve"> </w:t>
            </w:r>
            <w:r w:rsidR="008824A5">
              <w:t xml:space="preserve">the </w:t>
            </w:r>
            <w:r w:rsidR="00F8207E" w:rsidRPr="00F8207E">
              <w:rPr>
                <w:b/>
              </w:rPr>
              <w:t>pricing period</w:t>
            </w:r>
            <w:r w:rsidR="00F8207E">
              <w:t xml:space="preserve"> ending in 2014</w:t>
            </w:r>
            <w:r w:rsidR="008824A5">
              <w:t xml:space="preserve"> </w:t>
            </w:r>
            <w:r>
              <w:t>being equal to:</w:t>
            </w:r>
          </w:p>
          <w:p w:rsidR="004E63B4" w:rsidRDefault="00CC066B" w:rsidP="00BF6C56">
            <w:pPr>
              <w:pStyle w:val="Tablebodytext"/>
              <w:rPr>
                <w:position w:val="-32"/>
              </w:rPr>
            </w:pPr>
            <w:r w:rsidRPr="00CF7718">
              <w:rPr>
                <w:position w:val="-32"/>
              </w:rPr>
              <w:object w:dxaOrig="5660" w:dyaOrig="720">
                <v:shape id="_x0000_i1047" type="#_x0000_t75" style="width:283pt;height:36.3pt" o:ole="">
                  <v:imagedata r:id="rId52" o:title=""/>
                </v:shape>
                <o:OLEObject Type="Embed" ProgID="Equation.3" ShapeID="_x0000_i1047" DrawAspect="Content" ObjectID="_1421845002" r:id="rId53"/>
              </w:object>
            </w:r>
          </w:p>
          <w:p w:rsidR="002F38F4" w:rsidRPr="002F38F4" w:rsidRDefault="002F38F4" w:rsidP="00BF6C56">
            <w:pPr>
              <w:pStyle w:val="Tablebodytext"/>
              <w:rPr>
                <w:position w:val="-32"/>
              </w:rPr>
            </w:pPr>
            <w:r>
              <w:rPr>
                <w:position w:val="-32"/>
              </w:rPr>
              <w:t>where:</w:t>
            </w:r>
          </w:p>
        </w:tc>
      </w:tr>
      <w:tr w:rsidR="002F38F4" w:rsidRPr="00D53361" w:rsidTr="00EC63FD">
        <w:trPr>
          <w:gridAfter w:val="2"/>
          <w:wAfter w:w="977" w:type="dxa"/>
          <w:trHeight w:val="397"/>
        </w:trPr>
        <w:tc>
          <w:tcPr>
            <w:tcW w:w="651" w:type="dxa"/>
          </w:tcPr>
          <w:p w:rsidR="002F38F4" w:rsidRPr="00D53361" w:rsidRDefault="002F38F4" w:rsidP="00055966">
            <w:pPr>
              <w:pStyle w:val="Tablebodytext"/>
              <w:rPr>
                <w:i/>
              </w:rPr>
            </w:pPr>
          </w:p>
        </w:tc>
        <w:tc>
          <w:tcPr>
            <w:tcW w:w="2331" w:type="dxa"/>
            <w:gridSpan w:val="2"/>
          </w:tcPr>
          <w:p w:rsidR="002F38F4" w:rsidRPr="002E4516" w:rsidRDefault="002F38F4" w:rsidP="00055966">
            <w:pPr>
              <w:pStyle w:val="Tablebodytext"/>
              <w:rPr>
                <w:position w:val="-6"/>
              </w:rPr>
            </w:pPr>
          </w:p>
        </w:tc>
        <w:tc>
          <w:tcPr>
            <w:tcW w:w="971" w:type="dxa"/>
            <w:gridSpan w:val="3"/>
          </w:tcPr>
          <w:p w:rsidR="002B75A3" w:rsidRDefault="002F38F4">
            <w:pPr>
              <w:pStyle w:val="Tablebodytext"/>
            </w:pPr>
            <w:proofErr w:type="spellStart"/>
            <w:r w:rsidRPr="00D53361">
              <w:rPr>
                <w:i/>
              </w:rPr>
              <w:t>CPI</w:t>
            </w:r>
            <w:r w:rsidR="00E83B4C">
              <w:rPr>
                <w:i/>
                <w:vertAlign w:val="subscript"/>
              </w:rPr>
              <w:t>q</w:t>
            </w:r>
            <w:r w:rsidRPr="00D53361">
              <w:rPr>
                <w:i/>
                <w:vertAlign w:val="subscript"/>
              </w:rPr>
              <w:t>,t</w:t>
            </w:r>
            <w:proofErr w:type="spellEnd"/>
          </w:p>
        </w:tc>
        <w:tc>
          <w:tcPr>
            <w:tcW w:w="5379" w:type="dxa"/>
          </w:tcPr>
          <w:p w:rsidR="002B75A3" w:rsidRDefault="002F38F4">
            <w:pPr>
              <w:pStyle w:val="Tablebodytext"/>
            </w:pPr>
            <w:r w:rsidRPr="00D53361">
              <w:t xml:space="preserve">is the </w:t>
            </w:r>
            <w:r w:rsidRPr="00D53361">
              <w:rPr>
                <w:b/>
              </w:rPr>
              <w:t>CPI</w:t>
            </w:r>
            <w:r w:rsidRPr="00D53361">
              <w:t xml:space="preserve"> for the quarter </w:t>
            </w:r>
            <w:r w:rsidR="008824A5">
              <w:t xml:space="preserve">ending </w:t>
            </w:r>
            <w:r w:rsidR="00E83B4C">
              <w:rPr>
                <w:i/>
              </w:rPr>
              <w:t>q</w:t>
            </w:r>
            <w:r w:rsidR="00E83B4C" w:rsidRPr="00D53361">
              <w:t xml:space="preserve"> </w:t>
            </w:r>
            <w:r w:rsidRPr="00D53361">
              <w:t xml:space="preserve">of year </w:t>
            </w:r>
            <w:r w:rsidRPr="00D53361">
              <w:rPr>
                <w:i/>
              </w:rPr>
              <w:t>t</w:t>
            </w:r>
            <w:r w:rsidR="00F8207E">
              <w:rPr>
                <w:i/>
              </w:rPr>
              <w:t>.</w:t>
            </w:r>
          </w:p>
        </w:tc>
      </w:tr>
    </w:tbl>
    <w:p w:rsidR="0048622D" w:rsidRDefault="0048622D" w:rsidP="0048622D">
      <w:pPr>
        <w:pStyle w:val="BodyText"/>
        <w:jc w:val="center"/>
        <w:rPr>
          <w:b/>
          <w:u w:val="single"/>
        </w:rPr>
      </w:pPr>
    </w:p>
    <w:p w:rsidR="0048622D" w:rsidRPr="0048622D" w:rsidRDefault="0048622D" w:rsidP="0048622D">
      <w:pPr>
        <w:pStyle w:val="BodyText"/>
        <w:jc w:val="center"/>
        <w:rPr>
          <w:b/>
          <w:u w:val="single"/>
        </w:rPr>
      </w:pPr>
      <w:r w:rsidRPr="0048622D">
        <w:rPr>
          <w:b/>
          <w:u w:val="single"/>
        </w:rPr>
        <w:t xml:space="preserve">Table </w:t>
      </w:r>
      <w:r w:rsidR="00F8207E">
        <w:rPr>
          <w:b/>
          <w:u w:val="single"/>
        </w:rPr>
        <w:t>3</w:t>
      </w:r>
      <w:r w:rsidRPr="0048622D">
        <w:rPr>
          <w:b/>
          <w:u w:val="single"/>
        </w:rPr>
        <w:t>: Allowable notional revenue inputs for the first assessment period</w:t>
      </w:r>
      <w:r w:rsidR="003E2469">
        <w:rPr>
          <w:b/>
          <w:u w:val="single"/>
        </w:rPr>
        <w:t xml:space="preserve"> for each </w:t>
      </w:r>
      <w:proofErr w:type="spellStart"/>
      <w:r w:rsidR="003E2469">
        <w:rPr>
          <w:b/>
          <w:u w:val="single"/>
        </w:rPr>
        <w:t>GDB</w:t>
      </w:r>
      <w:proofErr w:type="spellEnd"/>
    </w:p>
    <w:tbl>
      <w:tblPr>
        <w:tblW w:w="5000" w:type="pct"/>
        <w:tblBorders>
          <w:top w:val="single" w:sz="12" w:space="0" w:color="auto"/>
          <w:bottom w:val="single" w:sz="12" w:space="0" w:color="auto"/>
          <w:insideH w:val="single" w:sz="8" w:space="0" w:color="D9D9D9" w:themeColor="background1" w:themeShade="D9"/>
        </w:tblBorders>
        <w:tblLook w:val="04A0"/>
      </w:tblPr>
      <w:tblGrid>
        <w:gridCol w:w="2516"/>
        <w:gridCol w:w="3364"/>
        <w:gridCol w:w="3362"/>
      </w:tblGrid>
      <w:tr w:rsidR="00C02CDB" w:rsidRPr="005E1A89" w:rsidTr="00EC63FD">
        <w:tc>
          <w:tcPr>
            <w:tcW w:w="1361" w:type="pct"/>
            <w:tcBorders>
              <w:top w:val="single" w:sz="12" w:space="0" w:color="auto"/>
              <w:bottom w:val="single" w:sz="12" w:space="0" w:color="auto"/>
            </w:tcBorders>
          </w:tcPr>
          <w:p w:rsidR="00C02CDB" w:rsidRPr="005E1A89" w:rsidRDefault="00C02CDB" w:rsidP="000C1EEC">
            <w:pPr>
              <w:pStyle w:val="Tableheading"/>
              <w:rPr>
                <w:szCs w:val="20"/>
              </w:rPr>
            </w:pPr>
            <w:proofErr w:type="spellStart"/>
            <w:r w:rsidRPr="005E1A89">
              <w:rPr>
                <w:szCs w:val="20"/>
              </w:rPr>
              <w:t>G</w:t>
            </w:r>
            <w:r>
              <w:rPr>
                <w:szCs w:val="20"/>
              </w:rPr>
              <w:t>D</w:t>
            </w:r>
            <w:r w:rsidRPr="005E1A89">
              <w:rPr>
                <w:szCs w:val="20"/>
              </w:rPr>
              <w:t>B</w:t>
            </w:r>
            <w:proofErr w:type="spellEnd"/>
          </w:p>
        </w:tc>
        <w:tc>
          <w:tcPr>
            <w:tcW w:w="1820" w:type="pct"/>
            <w:tcBorders>
              <w:top w:val="single" w:sz="12" w:space="0" w:color="auto"/>
              <w:bottom w:val="single" w:sz="12" w:space="0" w:color="auto"/>
            </w:tcBorders>
          </w:tcPr>
          <w:p w:rsidR="00C02CDB" w:rsidRPr="005E1A89" w:rsidRDefault="00C02CDB" w:rsidP="000C1EEC">
            <w:pPr>
              <w:pStyle w:val="Tableheading"/>
              <w:rPr>
                <w:szCs w:val="20"/>
              </w:rPr>
            </w:pPr>
            <w:r w:rsidRPr="002C1315">
              <w:t>∆D</w:t>
            </w:r>
          </w:p>
        </w:tc>
        <w:tc>
          <w:tcPr>
            <w:tcW w:w="1819" w:type="pct"/>
            <w:tcBorders>
              <w:top w:val="single" w:sz="12" w:space="0" w:color="auto"/>
              <w:bottom w:val="single" w:sz="12" w:space="0" w:color="auto"/>
            </w:tcBorders>
          </w:tcPr>
          <w:p w:rsidR="00C02CDB" w:rsidRPr="002C1315" w:rsidRDefault="00C02CDB" w:rsidP="00514EA1">
            <w:pPr>
              <w:pStyle w:val="Tableheading"/>
            </w:pPr>
            <w:proofErr w:type="spellStart"/>
            <w:r>
              <w:t>CPR</w:t>
            </w:r>
            <w:r w:rsidR="00E91026" w:rsidRPr="00EC63FD">
              <w:rPr>
                <w:vertAlign w:val="subscript"/>
              </w:rPr>
              <w:t>2012</w:t>
            </w:r>
            <w:proofErr w:type="spellEnd"/>
          </w:p>
        </w:tc>
      </w:tr>
      <w:tr w:rsidR="00C02CDB" w:rsidRPr="005E1A89" w:rsidTr="00EC63FD">
        <w:tc>
          <w:tcPr>
            <w:tcW w:w="1361" w:type="pct"/>
          </w:tcPr>
          <w:p w:rsidR="00C02CDB" w:rsidRPr="005E1A89" w:rsidRDefault="00C02CDB" w:rsidP="000C1EEC">
            <w:pPr>
              <w:pStyle w:val="BodyText"/>
              <w:spacing w:after="0"/>
              <w:rPr>
                <w:b/>
                <w:color w:val="000000"/>
                <w:szCs w:val="22"/>
              </w:rPr>
            </w:pPr>
            <w:r>
              <w:t>GasNet Limited</w:t>
            </w:r>
          </w:p>
        </w:tc>
        <w:tc>
          <w:tcPr>
            <w:tcW w:w="1820" w:type="pct"/>
          </w:tcPr>
          <w:p w:rsidR="00C02CDB" w:rsidRPr="00FE1768" w:rsidRDefault="004D6232" w:rsidP="000C1EEC">
            <w:pPr>
              <w:jc w:val="center"/>
              <w:rPr>
                <w:color w:val="000000"/>
                <w:szCs w:val="22"/>
              </w:rPr>
            </w:pPr>
            <w:r>
              <w:rPr>
                <w:color w:val="000000"/>
                <w:szCs w:val="22"/>
              </w:rPr>
              <w:t>[</w:t>
            </w:r>
            <w:proofErr w:type="spellStart"/>
            <w:r>
              <w:rPr>
                <w:color w:val="000000"/>
                <w:szCs w:val="22"/>
              </w:rPr>
              <w:t>X.XX</w:t>
            </w:r>
            <w:proofErr w:type="spellEnd"/>
            <w:r>
              <w:rPr>
                <w:color w:val="000000"/>
                <w:szCs w:val="22"/>
              </w:rPr>
              <w:t>]</w:t>
            </w:r>
          </w:p>
        </w:tc>
        <w:tc>
          <w:tcPr>
            <w:tcW w:w="1819" w:type="pct"/>
          </w:tcPr>
          <w:p w:rsidR="00C02CDB" w:rsidRPr="00FE1768" w:rsidRDefault="004D6232" w:rsidP="000C1EEC">
            <w:pPr>
              <w:jc w:val="center"/>
              <w:rPr>
                <w:color w:val="000000"/>
                <w:szCs w:val="22"/>
              </w:rPr>
            </w:pPr>
            <w:r>
              <w:rPr>
                <w:color w:val="000000"/>
                <w:szCs w:val="22"/>
              </w:rPr>
              <w:t>[</w:t>
            </w:r>
            <w:proofErr w:type="spellStart"/>
            <w:r>
              <w:rPr>
                <w:color w:val="000000"/>
                <w:szCs w:val="22"/>
              </w:rPr>
              <w:t>X.XX</w:t>
            </w:r>
            <w:proofErr w:type="spellEnd"/>
            <w:r>
              <w:rPr>
                <w:color w:val="000000"/>
                <w:szCs w:val="22"/>
              </w:rPr>
              <w:t>]</w:t>
            </w:r>
          </w:p>
        </w:tc>
      </w:tr>
      <w:tr w:rsidR="00C02CDB" w:rsidRPr="005E1A89" w:rsidTr="00EC63FD">
        <w:tc>
          <w:tcPr>
            <w:tcW w:w="1361" w:type="pct"/>
          </w:tcPr>
          <w:p w:rsidR="00C02CDB" w:rsidRPr="005E1A89" w:rsidRDefault="00C02CDB" w:rsidP="000C1EEC">
            <w:pPr>
              <w:pStyle w:val="BodyText"/>
              <w:spacing w:after="0"/>
            </w:pPr>
            <w:r>
              <w:t>Powerco Limited</w:t>
            </w:r>
          </w:p>
        </w:tc>
        <w:tc>
          <w:tcPr>
            <w:tcW w:w="1820" w:type="pct"/>
          </w:tcPr>
          <w:p w:rsidR="00C02CDB" w:rsidRPr="00FE1768" w:rsidRDefault="004D6232" w:rsidP="000C1EEC">
            <w:pPr>
              <w:jc w:val="center"/>
              <w:rPr>
                <w:color w:val="000000"/>
                <w:szCs w:val="22"/>
              </w:rPr>
            </w:pPr>
            <w:r>
              <w:rPr>
                <w:color w:val="000000"/>
                <w:szCs w:val="22"/>
              </w:rPr>
              <w:t>[</w:t>
            </w:r>
            <w:proofErr w:type="spellStart"/>
            <w:r>
              <w:rPr>
                <w:color w:val="000000"/>
                <w:szCs w:val="22"/>
              </w:rPr>
              <w:t>X.XX</w:t>
            </w:r>
            <w:proofErr w:type="spellEnd"/>
            <w:r>
              <w:rPr>
                <w:color w:val="000000"/>
                <w:szCs w:val="22"/>
              </w:rPr>
              <w:t>]</w:t>
            </w:r>
          </w:p>
        </w:tc>
        <w:tc>
          <w:tcPr>
            <w:tcW w:w="1819" w:type="pct"/>
          </w:tcPr>
          <w:p w:rsidR="00C02CDB" w:rsidRPr="00FE1768" w:rsidRDefault="004D6232" w:rsidP="000C1EEC">
            <w:pPr>
              <w:jc w:val="center"/>
              <w:rPr>
                <w:color w:val="000000"/>
                <w:szCs w:val="22"/>
              </w:rPr>
            </w:pPr>
            <w:r>
              <w:rPr>
                <w:color w:val="000000"/>
                <w:szCs w:val="22"/>
              </w:rPr>
              <w:t>[</w:t>
            </w:r>
            <w:proofErr w:type="spellStart"/>
            <w:r>
              <w:rPr>
                <w:color w:val="000000"/>
                <w:szCs w:val="22"/>
              </w:rPr>
              <w:t>X.XX</w:t>
            </w:r>
            <w:proofErr w:type="spellEnd"/>
            <w:r>
              <w:rPr>
                <w:color w:val="000000"/>
                <w:szCs w:val="22"/>
              </w:rPr>
              <w:t>]</w:t>
            </w:r>
          </w:p>
        </w:tc>
      </w:tr>
      <w:tr w:rsidR="00C02CDB" w:rsidRPr="005E1A89" w:rsidTr="00EC63FD">
        <w:tc>
          <w:tcPr>
            <w:tcW w:w="1361" w:type="pct"/>
          </w:tcPr>
          <w:p w:rsidR="00C02CDB" w:rsidRPr="005E1A89" w:rsidRDefault="00C02CDB" w:rsidP="000C1EEC">
            <w:pPr>
              <w:pStyle w:val="BodyText"/>
              <w:spacing w:after="0"/>
              <w:rPr>
                <w:color w:val="000000"/>
                <w:szCs w:val="22"/>
              </w:rPr>
            </w:pPr>
            <w:r>
              <w:t>Vector Limited</w:t>
            </w:r>
          </w:p>
        </w:tc>
        <w:tc>
          <w:tcPr>
            <w:tcW w:w="1820" w:type="pct"/>
          </w:tcPr>
          <w:p w:rsidR="00C02CDB" w:rsidRPr="00FE1768" w:rsidRDefault="004D6232" w:rsidP="000C1EEC">
            <w:pPr>
              <w:jc w:val="center"/>
              <w:rPr>
                <w:color w:val="000000"/>
                <w:szCs w:val="22"/>
              </w:rPr>
            </w:pPr>
            <w:r>
              <w:rPr>
                <w:color w:val="000000"/>
                <w:szCs w:val="22"/>
              </w:rPr>
              <w:t>[</w:t>
            </w:r>
            <w:proofErr w:type="spellStart"/>
            <w:r>
              <w:rPr>
                <w:color w:val="000000"/>
                <w:szCs w:val="22"/>
              </w:rPr>
              <w:t>X.XX</w:t>
            </w:r>
            <w:proofErr w:type="spellEnd"/>
            <w:r>
              <w:rPr>
                <w:color w:val="000000"/>
                <w:szCs w:val="22"/>
              </w:rPr>
              <w:t>]</w:t>
            </w:r>
          </w:p>
        </w:tc>
        <w:tc>
          <w:tcPr>
            <w:tcW w:w="1819" w:type="pct"/>
          </w:tcPr>
          <w:p w:rsidR="00C02CDB" w:rsidRPr="00FE1768" w:rsidRDefault="004D6232" w:rsidP="000C1EEC">
            <w:pPr>
              <w:jc w:val="center"/>
              <w:rPr>
                <w:color w:val="000000"/>
                <w:szCs w:val="22"/>
              </w:rPr>
            </w:pPr>
            <w:r>
              <w:rPr>
                <w:color w:val="000000"/>
                <w:szCs w:val="22"/>
              </w:rPr>
              <w:t>[</w:t>
            </w:r>
            <w:proofErr w:type="spellStart"/>
            <w:r>
              <w:rPr>
                <w:color w:val="000000"/>
                <w:szCs w:val="22"/>
              </w:rPr>
              <w:t>X.XX</w:t>
            </w:r>
            <w:proofErr w:type="spellEnd"/>
            <w:r>
              <w:rPr>
                <w:color w:val="000000"/>
                <w:szCs w:val="22"/>
              </w:rPr>
              <w:t>]</w:t>
            </w:r>
          </w:p>
        </w:tc>
      </w:tr>
    </w:tbl>
    <w:p w:rsidR="00D53361" w:rsidRDefault="00D53361" w:rsidP="00D53361">
      <w:pPr>
        <w:pStyle w:val="BodyText"/>
      </w:pPr>
      <w:r w:rsidRPr="00D53361">
        <w:br w:type="page"/>
      </w:r>
    </w:p>
    <w:p w:rsidR="006E0663" w:rsidRDefault="00DF1DC3" w:rsidP="006E0663">
      <w:pPr>
        <w:pStyle w:val="Heading2"/>
      </w:pPr>
      <w:bookmarkStart w:id="24" w:name="_Toc348091315"/>
      <w:r w:rsidRPr="00D53361">
        <w:t xml:space="preserve">Schedule </w:t>
      </w:r>
      <w:r w:rsidR="00CC066B">
        <w:t>4</w:t>
      </w:r>
      <w:r w:rsidR="006E0663">
        <w:t>: Allowable notional revenue for all</w:t>
      </w:r>
      <w:r w:rsidR="006E0663" w:rsidRPr="00D53361">
        <w:t xml:space="preserve"> assessment periods other than the first assessment period</w:t>
      </w:r>
      <w:bookmarkEnd w:id="24"/>
    </w:p>
    <w:p w:rsidR="0048622D" w:rsidRDefault="0048622D" w:rsidP="0048622D">
      <w:pPr>
        <w:pStyle w:val="Heading2"/>
      </w:pPr>
    </w:p>
    <w:p w:rsidR="004E63B4" w:rsidRPr="00DF1DC3" w:rsidRDefault="004E63B4" w:rsidP="004E63B4">
      <w:pPr>
        <w:pStyle w:val="BodyText"/>
      </w:pPr>
      <w:r>
        <w:rPr>
          <w:bCs/>
          <w:iCs/>
        </w:rPr>
        <w:t>A</w:t>
      </w:r>
      <w:r w:rsidRPr="00D53361">
        <w:rPr>
          <w:bCs/>
          <w:iCs/>
        </w:rPr>
        <w:t xml:space="preserve">llowable notional revenue for </w:t>
      </w:r>
      <w:r>
        <w:rPr>
          <w:bCs/>
          <w:iCs/>
        </w:rPr>
        <w:t>all</w:t>
      </w:r>
      <w:r w:rsidRPr="00D53361">
        <w:rPr>
          <w:bCs/>
          <w:iCs/>
        </w:rPr>
        <w:t xml:space="preserve"> </w:t>
      </w:r>
      <w:r w:rsidRPr="00D53361">
        <w:rPr>
          <w:b/>
          <w:bCs/>
          <w:iCs/>
        </w:rPr>
        <w:t>assessment period</w:t>
      </w:r>
      <w:r>
        <w:rPr>
          <w:b/>
          <w:bCs/>
          <w:iCs/>
        </w:rPr>
        <w:t xml:space="preserve">s </w:t>
      </w:r>
      <w:r w:rsidRPr="009B3280">
        <w:rPr>
          <w:bCs/>
          <w:iCs/>
        </w:rPr>
        <w:t>other</w:t>
      </w:r>
      <w:r>
        <w:rPr>
          <w:bCs/>
          <w:iCs/>
        </w:rPr>
        <w:t xml:space="preserve"> than the first </w:t>
      </w:r>
      <w:r w:rsidR="0048622D" w:rsidRPr="0048622D">
        <w:rPr>
          <w:b/>
          <w:bCs/>
          <w:iCs/>
        </w:rPr>
        <w:t>assessment period</w:t>
      </w:r>
      <w:r>
        <w:rPr>
          <w:bCs/>
          <w:iCs/>
        </w:rPr>
        <w:t xml:space="preserve"> </w:t>
      </w:r>
      <w:r w:rsidR="00D555FC">
        <w:rPr>
          <w:bCs/>
          <w:iCs/>
        </w:rPr>
        <w:t xml:space="preserve">must be </w:t>
      </w:r>
      <w:r>
        <w:rPr>
          <w:bCs/>
          <w:iCs/>
        </w:rPr>
        <w:t xml:space="preserve">calculated </w:t>
      </w:r>
      <w:r w:rsidR="00D555FC">
        <w:rPr>
          <w:bCs/>
          <w:iCs/>
        </w:rPr>
        <w:t xml:space="preserve">in accordance with </w:t>
      </w:r>
      <w:r>
        <w:rPr>
          <w:bCs/>
          <w:iCs/>
        </w:rPr>
        <w:t xml:space="preserve">Equation </w:t>
      </w:r>
      <w:r w:rsidR="00C67AA5">
        <w:rPr>
          <w:bCs/>
          <w:iCs/>
        </w:rPr>
        <w:t>4</w:t>
      </w:r>
      <w:r>
        <w:rPr>
          <w:bCs/>
          <w:iCs/>
        </w:rPr>
        <w:t>.</w:t>
      </w:r>
    </w:p>
    <w:tbl>
      <w:tblPr>
        <w:tblW w:w="9214" w:type="dxa"/>
        <w:tblInd w:w="108" w:type="dxa"/>
        <w:tblLook w:val="01E0"/>
      </w:tblPr>
      <w:tblGrid>
        <w:gridCol w:w="991"/>
        <w:gridCol w:w="1686"/>
        <w:gridCol w:w="1634"/>
        <w:gridCol w:w="236"/>
        <w:gridCol w:w="4667"/>
      </w:tblGrid>
      <w:tr w:rsidR="00D53361" w:rsidRPr="00D53361" w:rsidTr="00DF6CEC">
        <w:trPr>
          <w:trHeight w:val="340"/>
        </w:trPr>
        <w:tc>
          <w:tcPr>
            <w:tcW w:w="9214" w:type="dxa"/>
            <w:gridSpan w:val="5"/>
          </w:tcPr>
          <w:p w:rsidR="00D53361" w:rsidRPr="005A67FA" w:rsidRDefault="004E63B4" w:rsidP="00564348">
            <w:pPr>
              <w:pStyle w:val="Tablebodytext"/>
              <w:rPr>
                <w:b/>
              </w:rPr>
            </w:pPr>
            <w:r w:rsidRPr="005A67FA">
              <w:rPr>
                <w:b/>
                <w:position w:val="-12"/>
              </w:rPr>
              <w:t xml:space="preserve">Equation </w:t>
            </w:r>
            <w:r w:rsidR="00C67AA5">
              <w:rPr>
                <w:b/>
                <w:position w:val="-12"/>
              </w:rPr>
              <w:t>4</w:t>
            </w:r>
          </w:p>
          <w:p w:rsidR="004E63B4" w:rsidRDefault="00F12B99" w:rsidP="00564348">
            <w:pPr>
              <w:pStyle w:val="Tablebodytext"/>
            </w:pPr>
            <w:r w:rsidRPr="00580A41">
              <w:rPr>
                <w:position w:val="-28"/>
              </w:rPr>
              <w:object w:dxaOrig="6800" w:dyaOrig="540">
                <v:shape id="_x0000_i1048" type="#_x0000_t75" style="width:356.85pt;height:26.9pt" o:ole="">
                  <v:imagedata r:id="rId54" o:title=""/>
                </v:shape>
                <o:OLEObject Type="Embed" ProgID="Equation.3" ShapeID="_x0000_i1048" DrawAspect="Content" ObjectID="_1421845003" r:id="rId55"/>
              </w:object>
            </w:r>
          </w:p>
          <w:p w:rsidR="00D53361" w:rsidRPr="00D53361" w:rsidRDefault="00DF1DC3" w:rsidP="00564348">
            <w:pPr>
              <w:pStyle w:val="Tablebodytext"/>
            </w:pPr>
            <w:r w:rsidRPr="00D53361">
              <w:t>where</w:t>
            </w:r>
            <w:r>
              <w:t>:</w:t>
            </w:r>
          </w:p>
        </w:tc>
      </w:tr>
      <w:tr w:rsidR="004E63B4" w:rsidRPr="00D53361" w:rsidTr="00887F8B">
        <w:trPr>
          <w:trHeight w:val="644"/>
        </w:trPr>
        <w:tc>
          <w:tcPr>
            <w:tcW w:w="991" w:type="dxa"/>
          </w:tcPr>
          <w:p w:rsidR="004E63B4" w:rsidRPr="00D53361" w:rsidRDefault="004E63B4" w:rsidP="00A12F25">
            <w:pPr>
              <w:pStyle w:val="Tablebodytext"/>
              <w:rPr>
                <w:i/>
              </w:rPr>
            </w:pPr>
          </w:p>
        </w:tc>
        <w:tc>
          <w:tcPr>
            <w:tcW w:w="1686" w:type="dxa"/>
          </w:tcPr>
          <w:p w:rsidR="004E63B4" w:rsidRPr="00413932" w:rsidRDefault="004E63B4" w:rsidP="00A12F25">
            <w:pPr>
              <w:pStyle w:val="Tablebodytext"/>
              <w:rPr>
                <w:position w:val="-12"/>
              </w:rPr>
            </w:pPr>
            <w:r w:rsidRPr="00D53361">
              <w:rPr>
                <w:i/>
              </w:rPr>
              <w:t>t</w:t>
            </w:r>
          </w:p>
        </w:tc>
        <w:tc>
          <w:tcPr>
            <w:tcW w:w="6537" w:type="dxa"/>
            <w:gridSpan w:val="3"/>
          </w:tcPr>
          <w:p w:rsidR="008605D2" w:rsidRDefault="00D555FC" w:rsidP="00EC63FD">
            <w:pPr>
              <w:pStyle w:val="Tablebodytext"/>
            </w:pPr>
            <w:r>
              <w:rPr>
                <w:position w:val="-28"/>
              </w:rPr>
              <w:t>is</w:t>
            </w:r>
            <w:r w:rsidR="008824A5">
              <w:rPr>
                <w:position w:val="-28"/>
              </w:rPr>
              <w:t xml:space="preserve"> the year in which the </w:t>
            </w:r>
            <w:r w:rsidR="008824A5" w:rsidRPr="00A75457">
              <w:rPr>
                <w:b/>
                <w:position w:val="-28"/>
              </w:rPr>
              <w:t>pricing period</w:t>
            </w:r>
            <w:r w:rsidR="008824A5">
              <w:rPr>
                <w:position w:val="-28"/>
              </w:rPr>
              <w:t xml:space="preserve"> ends;</w:t>
            </w:r>
          </w:p>
        </w:tc>
      </w:tr>
      <w:tr w:rsidR="004E63B4" w:rsidRPr="00D53361" w:rsidTr="00887F8B">
        <w:trPr>
          <w:trHeight w:val="644"/>
        </w:trPr>
        <w:tc>
          <w:tcPr>
            <w:tcW w:w="991" w:type="dxa"/>
          </w:tcPr>
          <w:p w:rsidR="004E63B4" w:rsidRPr="00D53361" w:rsidRDefault="004E63B4" w:rsidP="00A12F25">
            <w:pPr>
              <w:pStyle w:val="Tablebodytext"/>
              <w:rPr>
                <w:i/>
              </w:rPr>
            </w:pPr>
          </w:p>
        </w:tc>
        <w:tc>
          <w:tcPr>
            <w:tcW w:w="1686" w:type="dxa"/>
          </w:tcPr>
          <w:p w:rsidR="004E63B4" w:rsidRPr="00413932" w:rsidRDefault="004E63B4" w:rsidP="00A12F25">
            <w:pPr>
              <w:pStyle w:val="Tablebodytext"/>
              <w:rPr>
                <w:position w:val="-12"/>
              </w:rPr>
            </w:pPr>
            <w:proofErr w:type="spellStart"/>
            <w:r w:rsidRPr="00D53361">
              <w:rPr>
                <w:i/>
              </w:rPr>
              <w:t>i</w:t>
            </w:r>
            <w:proofErr w:type="spellEnd"/>
          </w:p>
        </w:tc>
        <w:tc>
          <w:tcPr>
            <w:tcW w:w="6537" w:type="dxa"/>
            <w:gridSpan w:val="3"/>
          </w:tcPr>
          <w:p w:rsidR="004E63B4" w:rsidRPr="00AD6BDC" w:rsidRDefault="00564FA2" w:rsidP="008824A5">
            <w:pPr>
              <w:pStyle w:val="Tablebodytext"/>
            </w:pPr>
            <w:r>
              <w:t>i</w:t>
            </w:r>
            <w:r w:rsidRPr="00D53361">
              <w:t xml:space="preserve">s </w:t>
            </w:r>
            <w:r w:rsidR="004E63B4" w:rsidRPr="00D53361">
              <w:t xml:space="preserve">each </w:t>
            </w:r>
            <w:r w:rsidR="004E63B4" w:rsidRPr="00D53361">
              <w:rPr>
                <w:b/>
              </w:rPr>
              <w:t>price</w:t>
            </w:r>
            <w:r w:rsidR="004E63B4" w:rsidRPr="00D53361">
              <w:t xml:space="preserve"> relating to a </w:t>
            </w:r>
            <w:r w:rsidR="004E63B4" w:rsidRPr="00D53361">
              <w:rPr>
                <w:b/>
              </w:rPr>
              <w:t>gas distribution service</w:t>
            </w:r>
            <w:r w:rsidR="00887F8B">
              <w:rPr>
                <w:b/>
              </w:rPr>
              <w:t>;</w:t>
            </w:r>
          </w:p>
        </w:tc>
      </w:tr>
      <w:tr w:rsidR="004E63B4" w:rsidRPr="00D53361" w:rsidTr="00887F8B">
        <w:trPr>
          <w:trHeight w:val="644"/>
        </w:trPr>
        <w:tc>
          <w:tcPr>
            <w:tcW w:w="991" w:type="dxa"/>
          </w:tcPr>
          <w:p w:rsidR="004E63B4" w:rsidRPr="00D53361" w:rsidRDefault="004E63B4" w:rsidP="00A12F25">
            <w:pPr>
              <w:pStyle w:val="Tablebodytext"/>
              <w:rPr>
                <w:i/>
              </w:rPr>
            </w:pPr>
          </w:p>
        </w:tc>
        <w:tc>
          <w:tcPr>
            <w:tcW w:w="1686" w:type="dxa"/>
          </w:tcPr>
          <w:p w:rsidR="004E63B4" w:rsidRPr="00D53361" w:rsidRDefault="004E63B4" w:rsidP="00A12F25">
            <w:pPr>
              <w:pStyle w:val="Tablebodytext"/>
              <w:rPr>
                <w:i/>
              </w:rPr>
            </w:pPr>
            <w:r w:rsidRPr="00413932">
              <w:rPr>
                <w:position w:val="-12"/>
              </w:rPr>
              <w:object w:dxaOrig="460" w:dyaOrig="340">
                <v:shape id="_x0000_i1049" type="#_x0000_t75" style="width:22.55pt;height:19.4pt" o:ole="">
                  <v:imagedata r:id="rId56" o:title=""/>
                </v:shape>
                <o:OLEObject Type="Embed" ProgID="Equation.3" ShapeID="_x0000_i1049" DrawAspect="Content" ObjectID="_1421845004" r:id="rId57"/>
              </w:object>
            </w:r>
          </w:p>
        </w:tc>
        <w:tc>
          <w:tcPr>
            <w:tcW w:w="6537" w:type="dxa"/>
            <w:gridSpan w:val="3"/>
          </w:tcPr>
          <w:p w:rsidR="004E63B4" w:rsidRPr="00D53361" w:rsidRDefault="004E63B4" w:rsidP="008824A5">
            <w:pPr>
              <w:pStyle w:val="Tablebodytext"/>
            </w:pPr>
            <w:r w:rsidRPr="00AD6BDC">
              <w:t xml:space="preserve">is the </w:t>
            </w:r>
            <w:proofErr w:type="spellStart"/>
            <w:r w:rsidRPr="00CC066B">
              <w:t>i</w:t>
            </w:r>
            <w:r w:rsidRPr="00CC066B">
              <w:rPr>
                <w:vertAlign w:val="superscript"/>
              </w:rPr>
              <w:t>th</w:t>
            </w:r>
            <w:proofErr w:type="spellEnd"/>
            <w:r w:rsidRPr="00AD6BDC">
              <w:t xml:space="preserve"> </w:t>
            </w:r>
            <w:r w:rsidR="00FC4268" w:rsidRPr="00FC4268">
              <w:rPr>
                <w:b/>
              </w:rPr>
              <w:t>price</w:t>
            </w:r>
            <w:r w:rsidRPr="00AD6BDC">
              <w:t xml:space="preserve"> for </w:t>
            </w:r>
            <w:r w:rsidR="008824A5">
              <w:t xml:space="preserve">any part of the </w:t>
            </w:r>
            <w:r w:rsidR="008824A5" w:rsidRPr="008824A5">
              <w:rPr>
                <w:b/>
              </w:rPr>
              <w:t>pricing period</w:t>
            </w:r>
            <w:r w:rsidR="008824A5">
              <w:t xml:space="preserve"> </w:t>
            </w:r>
            <w:r w:rsidR="00867EA4">
              <w:t xml:space="preserve">ending in year </w:t>
            </w:r>
            <w:r w:rsidRPr="008824A5">
              <w:t>t</w:t>
            </w:r>
            <w:r>
              <w:rPr>
                <w:i/>
              </w:rPr>
              <w:t>-</w:t>
            </w:r>
            <w:r w:rsidRPr="0063471E">
              <w:t>1</w:t>
            </w:r>
            <w:r w:rsidR="00887F8B">
              <w:t>;</w:t>
            </w:r>
          </w:p>
        </w:tc>
      </w:tr>
      <w:tr w:rsidR="004E63B4" w:rsidRPr="00D53361" w:rsidTr="00887F8B">
        <w:trPr>
          <w:trHeight w:val="707"/>
        </w:trPr>
        <w:tc>
          <w:tcPr>
            <w:tcW w:w="991" w:type="dxa"/>
          </w:tcPr>
          <w:p w:rsidR="004E63B4" w:rsidRPr="00D53361" w:rsidRDefault="004E63B4" w:rsidP="00A12F25">
            <w:pPr>
              <w:pStyle w:val="Tablebodytext"/>
              <w:rPr>
                <w:i/>
              </w:rPr>
            </w:pPr>
          </w:p>
        </w:tc>
        <w:tc>
          <w:tcPr>
            <w:tcW w:w="1686" w:type="dxa"/>
          </w:tcPr>
          <w:p w:rsidR="004E63B4" w:rsidRPr="00D53361" w:rsidRDefault="004E63B4" w:rsidP="00A12F25">
            <w:pPr>
              <w:pStyle w:val="Tablebodytext"/>
              <w:rPr>
                <w:i/>
              </w:rPr>
            </w:pPr>
            <w:r w:rsidRPr="00413932">
              <w:rPr>
                <w:position w:val="-18"/>
              </w:rPr>
              <w:object w:dxaOrig="620" w:dyaOrig="400">
                <v:shape id="_x0000_i1050" type="#_x0000_t75" style="width:31.95pt;height:19.4pt" o:ole="">
                  <v:imagedata r:id="rId16" o:title=""/>
                </v:shape>
                <o:OLEObject Type="Embed" ProgID="Equation.3" ShapeID="_x0000_i1050" DrawAspect="Content" ObjectID="_1421845005" r:id="rId58"/>
              </w:object>
            </w:r>
          </w:p>
        </w:tc>
        <w:tc>
          <w:tcPr>
            <w:tcW w:w="6537" w:type="dxa"/>
            <w:gridSpan w:val="3"/>
          </w:tcPr>
          <w:p w:rsidR="004E63B4" w:rsidRPr="00D53361" w:rsidRDefault="004E63B4" w:rsidP="008824A5">
            <w:pPr>
              <w:pStyle w:val="Tablebodytext"/>
            </w:pPr>
            <w:r w:rsidRPr="00AD6BDC">
              <w:t xml:space="preserve">is the </w:t>
            </w:r>
            <w:r w:rsidR="0048622D" w:rsidRPr="0048622D">
              <w:rPr>
                <w:b/>
              </w:rPr>
              <w:t>quantity</w:t>
            </w:r>
            <w:r w:rsidRPr="00AD6BDC">
              <w:t xml:space="preserve"> corresponding to the </w:t>
            </w:r>
            <w:proofErr w:type="spellStart"/>
            <w:r w:rsidR="00564FA2" w:rsidRPr="00CC066B">
              <w:t>i</w:t>
            </w:r>
            <w:r w:rsidR="00564FA2" w:rsidRPr="00CC066B">
              <w:rPr>
                <w:vertAlign w:val="superscript"/>
              </w:rPr>
              <w:t>th</w:t>
            </w:r>
            <w:proofErr w:type="spellEnd"/>
            <w:r w:rsidRPr="00CC066B">
              <w:t xml:space="preserve"> </w:t>
            </w:r>
            <w:r w:rsidR="00FC4268" w:rsidRPr="00FC4268">
              <w:rPr>
                <w:b/>
              </w:rPr>
              <w:t>price</w:t>
            </w:r>
            <w:r w:rsidRPr="00AD6BDC">
              <w:t xml:space="preserve"> </w:t>
            </w:r>
            <w:r w:rsidR="008824A5">
              <w:t>for</w:t>
            </w:r>
            <w:r w:rsidR="008824A5" w:rsidRPr="00AD6BDC">
              <w:t xml:space="preserve"> </w:t>
            </w:r>
            <w:r w:rsidR="008824A5">
              <w:t xml:space="preserve">the </w:t>
            </w:r>
            <w:r w:rsidR="008824A5" w:rsidRPr="008824A5">
              <w:rPr>
                <w:b/>
              </w:rPr>
              <w:t>pricing period</w:t>
            </w:r>
            <w:r w:rsidR="008824A5">
              <w:t xml:space="preserve"> </w:t>
            </w:r>
            <w:r w:rsidR="00867EA4">
              <w:t xml:space="preserve">ending in year </w:t>
            </w:r>
            <w:r w:rsidRPr="00CC066B">
              <w:t>t</w:t>
            </w:r>
            <w:r>
              <w:t>-2</w:t>
            </w:r>
            <w:r w:rsidR="00887F8B">
              <w:t>;</w:t>
            </w:r>
          </w:p>
        </w:tc>
      </w:tr>
      <w:tr w:rsidR="004E63B4" w:rsidRPr="00D53361" w:rsidTr="00887F8B">
        <w:trPr>
          <w:trHeight w:val="707"/>
        </w:trPr>
        <w:tc>
          <w:tcPr>
            <w:tcW w:w="991" w:type="dxa"/>
          </w:tcPr>
          <w:p w:rsidR="004E63B4" w:rsidRPr="00D53361" w:rsidRDefault="004E63B4" w:rsidP="00A12F25">
            <w:pPr>
              <w:pStyle w:val="Tablebodytext"/>
              <w:rPr>
                <w:i/>
              </w:rPr>
            </w:pPr>
          </w:p>
        </w:tc>
        <w:tc>
          <w:tcPr>
            <w:tcW w:w="1686" w:type="dxa"/>
          </w:tcPr>
          <w:p w:rsidR="004E63B4" w:rsidRPr="00D53361" w:rsidRDefault="004E63B4" w:rsidP="00A12F25">
            <w:pPr>
              <w:pStyle w:val="Tablebodytext"/>
              <w:rPr>
                <w:i/>
              </w:rPr>
            </w:pPr>
            <w:r w:rsidRPr="00413932">
              <w:rPr>
                <w:position w:val="-12"/>
              </w:rPr>
              <w:object w:dxaOrig="980" w:dyaOrig="340">
                <v:shape id="_x0000_i1051" type="#_x0000_t75" style="width:40.7pt;height:19.4pt" o:ole="">
                  <v:imagedata r:id="rId59" o:title=""/>
                </v:shape>
                <o:OLEObject Type="Embed" ProgID="Equation.3" ShapeID="_x0000_i1051" DrawAspect="Content" ObjectID="_1421845006" r:id="rId60"/>
              </w:object>
            </w:r>
          </w:p>
        </w:tc>
        <w:tc>
          <w:tcPr>
            <w:tcW w:w="6537" w:type="dxa"/>
            <w:gridSpan w:val="3"/>
          </w:tcPr>
          <w:p w:rsidR="004E63B4" w:rsidRPr="00D53361" w:rsidRDefault="004E63B4" w:rsidP="00F153F9">
            <w:pPr>
              <w:pStyle w:val="Tablebodytext"/>
            </w:pPr>
            <w:r w:rsidRPr="00AD6BDC">
              <w:t xml:space="preserve">is the sum of all </w:t>
            </w:r>
            <w:r w:rsidR="0048622D" w:rsidRPr="0048622D">
              <w:rPr>
                <w:b/>
              </w:rPr>
              <w:t>pass-through costs</w:t>
            </w:r>
            <w:r w:rsidRPr="00AD6BDC">
              <w:t xml:space="preserve"> and </w:t>
            </w:r>
            <w:r w:rsidR="0048622D" w:rsidRPr="0048622D">
              <w:rPr>
                <w:b/>
              </w:rPr>
              <w:t>recoverable costs</w:t>
            </w:r>
            <w:r w:rsidRPr="00AD6BDC">
              <w:t xml:space="preserve"> for </w:t>
            </w:r>
            <w:r w:rsidR="007B5E29">
              <w:t xml:space="preserve">the </w:t>
            </w:r>
            <w:r w:rsidR="007B5E29" w:rsidRPr="007B5E29">
              <w:rPr>
                <w:b/>
              </w:rPr>
              <w:t>pr</w:t>
            </w:r>
            <w:r w:rsidR="007B5E29">
              <w:rPr>
                <w:b/>
              </w:rPr>
              <w:t>i</w:t>
            </w:r>
            <w:r w:rsidR="007B5E29" w:rsidRPr="007B5E29">
              <w:rPr>
                <w:b/>
              </w:rPr>
              <w:t>cing period</w:t>
            </w:r>
            <w:r w:rsidR="00867EA4">
              <w:t xml:space="preserve"> ending in year</w:t>
            </w:r>
            <w:r w:rsidR="007B5E29">
              <w:t xml:space="preserve"> </w:t>
            </w:r>
            <w:r w:rsidRPr="00CC066B">
              <w:t>t</w:t>
            </w:r>
            <w:r>
              <w:rPr>
                <w:i/>
              </w:rPr>
              <w:t>-</w:t>
            </w:r>
            <w:r w:rsidRPr="00813DC5">
              <w:t>1</w:t>
            </w:r>
            <w:r w:rsidR="00887F8B">
              <w:t xml:space="preserve">, calculated in accordance with Schedule </w:t>
            </w:r>
            <w:r w:rsidR="00F153F9">
              <w:t>5</w:t>
            </w:r>
            <w:r w:rsidR="00887F8B">
              <w:t>;</w:t>
            </w:r>
          </w:p>
        </w:tc>
      </w:tr>
      <w:tr w:rsidR="004E63B4" w:rsidRPr="00D53361" w:rsidTr="00887F8B">
        <w:trPr>
          <w:trHeight w:val="707"/>
        </w:trPr>
        <w:tc>
          <w:tcPr>
            <w:tcW w:w="991" w:type="dxa"/>
          </w:tcPr>
          <w:p w:rsidR="004E63B4" w:rsidRPr="00D53361" w:rsidRDefault="004E63B4" w:rsidP="00A12F25">
            <w:pPr>
              <w:pStyle w:val="Tablebodytext"/>
              <w:rPr>
                <w:i/>
              </w:rPr>
            </w:pPr>
          </w:p>
        </w:tc>
        <w:tc>
          <w:tcPr>
            <w:tcW w:w="1686" w:type="dxa"/>
          </w:tcPr>
          <w:p w:rsidR="004E63B4" w:rsidRPr="00D53361" w:rsidRDefault="004E63B4" w:rsidP="00A12F25">
            <w:pPr>
              <w:pStyle w:val="Tablebodytext"/>
              <w:rPr>
                <w:i/>
              </w:rPr>
            </w:pPr>
            <w:r w:rsidRPr="003B3782">
              <w:rPr>
                <w:position w:val="-12"/>
              </w:rPr>
              <w:object w:dxaOrig="1400" w:dyaOrig="380">
                <v:shape id="_x0000_i1052" type="#_x0000_t75" style="width:73.25pt;height:19.4pt" o:ole="">
                  <v:imagedata r:id="rId61" o:title=""/>
                </v:shape>
                <o:OLEObject Type="Embed" ProgID="Equation.3" ShapeID="_x0000_i1052" DrawAspect="Content" ObjectID="_1421845007" r:id="rId62"/>
              </w:object>
            </w:r>
          </w:p>
        </w:tc>
        <w:tc>
          <w:tcPr>
            <w:tcW w:w="6537" w:type="dxa"/>
            <w:gridSpan w:val="3"/>
          </w:tcPr>
          <w:p w:rsidR="004E63B4" w:rsidRPr="00D53361" w:rsidRDefault="004E63B4" w:rsidP="007B5E29">
            <w:pPr>
              <w:pStyle w:val="Tablebodytext"/>
            </w:pPr>
            <w:r w:rsidRPr="002873FD">
              <w:t xml:space="preserve">is the </w:t>
            </w:r>
            <w:r>
              <w:t xml:space="preserve">difference between </w:t>
            </w:r>
            <w:r w:rsidRPr="002873FD">
              <w:t xml:space="preserve">allowable notional revenue </w:t>
            </w:r>
            <w:r>
              <w:t xml:space="preserve">and notional revenue </w:t>
            </w:r>
            <w:r w:rsidRPr="002873FD">
              <w:t xml:space="preserve">for </w:t>
            </w:r>
            <w:r w:rsidR="007B5E29">
              <w:t xml:space="preserve">the </w:t>
            </w:r>
            <w:r w:rsidR="007B5E29" w:rsidRPr="007B5E29">
              <w:rPr>
                <w:b/>
              </w:rPr>
              <w:t>pricing period</w:t>
            </w:r>
            <w:r w:rsidR="007B5E29">
              <w:t xml:space="preserve"> </w:t>
            </w:r>
            <w:r w:rsidR="00867EA4">
              <w:t xml:space="preserve">ending in year </w:t>
            </w:r>
            <w:r w:rsidRPr="00CC066B">
              <w:t>t</w:t>
            </w:r>
            <w:r>
              <w:rPr>
                <w:i/>
              </w:rPr>
              <w:t>-</w:t>
            </w:r>
            <w:r w:rsidRPr="002E4516">
              <w:t>1</w:t>
            </w:r>
            <w:r w:rsidR="00887F8B">
              <w:t>;</w:t>
            </w:r>
          </w:p>
        </w:tc>
      </w:tr>
      <w:tr w:rsidR="003E2469" w:rsidRPr="00D53361" w:rsidTr="003E2469">
        <w:trPr>
          <w:trHeight w:val="106"/>
        </w:trPr>
        <w:tc>
          <w:tcPr>
            <w:tcW w:w="991" w:type="dxa"/>
          </w:tcPr>
          <w:p w:rsidR="003E2469" w:rsidRPr="00D53361" w:rsidRDefault="003E2469" w:rsidP="00A12F25">
            <w:pPr>
              <w:pStyle w:val="Tablebodytext"/>
              <w:rPr>
                <w:i/>
              </w:rPr>
            </w:pPr>
          </w:p>
        </w:tc>
        <w:tc>
          <w:tcPr>
            <w:tcW w:w="1686" w:type="dxa"/>
          </w:tcPr>
          <w:p w:rsidR="003E2469" w:rsidRPr="00F12B99" w:rsidRDefault="003E2469" w:rsidP="00A12F25">
            <w:pPr>
              <w:pStyle w:val="Tablebodytext"/>
              <w:rPr>
                <w:position w:val="-12"/>
              </w:rPr>
            </w:pPr>
            <w:r w:rsidRPr="002E4516">
              <w:rPr>
                <w:position w:val="-4"/>
              </w:rPr>
              <w:object w:dxaOrig="240" w:dyaOrig="240">
                <v:shape id="_x0000_i1053" type="#_x0000_t75" style="width:10.65pt;height:13.75pt" o:ole="">
                  <v:imagedata r:id="rId48" o:title=""/>
                </v:shape>
                <o:OLEObject Type="Embed" ProgID="Equation.3" ShapeID="_x0000_i1053" DrawAspect="Content" ObjectID="_1421845008" r:id="rId63"/>
              </w:object>
            </w:r>
          </w:p>
        </w:tc>
        <w:tc>
          <w:tcPr>
            <w:tcW w:w="6537" w:type="dxa"/>
            <w:gridSpan w:val="3"/>
          </w:tcPr>
          <w:p w:rsidR="003E2469" w:rsidRPr="00AD6BDC" w:rsidRDefault="003E2469" w:rsidP="00A12F25">
            <w:pPr>
              <w:pStyle w:val="Tablebodytext"/>
            </w:pPr>
            <w:proofErr w:type="gramStart"/>
            <w:r w:rsidRPr="00AD6BDC">
              <w:t>is</w:t>
            </w:r>
            <w:proofErr w:type="gramEnd"/>
            <w:r w:rsidRPr="00AD6BDC">
              <w:t xml:space="preserve"> the </w:t>
            </w:r>
            <w:r>
              <w:t>rate of change, as specified in Schedule 2</w:t>
            </w:r>
            <w:r>
              <w:rPr>
                <w:i/>
              </w:rPr>
              <w:t>.</w:t>
            </w:r>
          </w:p>
        </w:tc>
      </w:tr>
      <w:tr w:rsidR="003E2469" w:rsidRPr="00D53361" w:rsidTr="00887F8B">
        <w:trPr>
          <w:trHeight w:val="397"/>
        </w:trPr>
        <w:tc>
          <w:tcPr>
            <w:tcW w:w="991" w:type="dxa"/>
          </w:tcPr>
          <w:p w:rsidR="003E2469" w:rsidRPr="00D53361" w:rsidRDefault="003E2469" w:rsidP="00A12F25">
            <w:pPr>
              <w:pStyle w:val="Tablebodytext"/>
              <w:rPr>
                <w:i/>
              </w:rPr>
            </w:pPr>
          </w:p>
        </w:tc>
        <w:tc>
          <w:tcPr>
            <w:tcW w:w="1686" w:type="dxa"/>
          </w:tcPr>
          <w:p w:rsidR="003E2469" w:rsidRPr="00D53361" w:rsidRDefault="003E2469" w:rsidP="00A12F25">
            <w:pPr>
              <w:pStyle w:val="Tablebodytext"/>
              <w:rPr>
                <w:i/>
              </w:rPr>
            </w:pPr>
            <w:r w:rsidRPr="00F12B99">
              <w:rPr>
                <w:position w:val="-12"/>
              </w:rPr>
              <w:object w:dxaOrig="580" w:dyaOrig="340">
                <v:shape id="_x0000_i1054" type="#_x0000_t75" style="width:28.8pt;height:19.4pt" o:ole="">
                  <v:imagedata r:id="rId64" o:title=""/>
                </v:shape>
                <o:OLEObject Type="Embed" ProgID="Equation.3" ShapeID="_x0000_i1054" DrawAspect="Content" ObjectID="_1421845009" r:id="rId65"/>
              </w:object>
            </w:r>
          </w:p>
        </w:tc>
        <w:tc>
          <w:tcPr>
            <w:tcW w:w="6537" w:type="dxa"/>
            <w:gridSpan w:val="3"/>
          </w:tcPr>
          <w:p w:rsidR="003E2469" w:rsidRDefault="003E2469" w:rsidP="00A12F25">
            <w:pPr>
              <w:pStyle w:val="Tablebodytext"/>
              <w:rPr>
                <w:i/>
              </w:rPr>
            </w:pPr>
            <w:r w:rsidRPr="00AD6BDC">
              <w:t xml:space="preserve">is the derived change in the </w:t>
            </w:r>
            <w:r w:rsidRPr="00775B79">
              <w:rPr>
                <w:b/>
              </w:rPr>
              <w:t>CPI</w:t>
            </w:r>
            <w:r w:rsidRPr="00AD6BDC">
              <w:t xml:space="preserve"> to be applied </w:t>
            </w:r>
            <w:r>
              <w:t>for</w:t>
            </w:r>
            <w:r w:rsidRPr="00AD6BDC">
              <w:t xml:space="preserve"> </w:t>
            </w:r>
            <w:r>
              <w:t xml:space="preserve">the </w:t>
            </w:r>
            <w:r w:rsidRPr="00CC066B">
              <w:rPr>
                <w:b/>
              </w:rPr>
              <w:t>pricing period</w:t>
            </w:r>
            <w:r>
              <w:rPr>
                <w:i/>
              </w:rPr>
              <w:t xml:space="preserve">, </w:t>
            </w:r>
            <w:r w:rsidRPr="0048622D">
              <w:t>being equal to:</w:t>
            </w:r>
          </w:p>
          <w:p w:rsidR="003E2469" w:rsidRPr="00D53361" w:rsidRDefault="003E2469" w:rsidP="00A12F25">
            <w:pPr>
              <w:pStyle w:val="Tablebodytext"/>
            </w:pPr>
            <w:r w:rsidRPr="00CF7718">
              <w:rPr>
                <w:position w:val="-32"/>
              </w:rPr>
              <w:object w:dxaOrig="5160" w:dyaOrig="720">
                <v:shape id="_x0000_i1055" type="#_x0000_t75" style="width:257.95pt;height:36.3pt" o:ole="">
                  <v:imagedata r:id="rId66" o:title=""/>
                </v:shape>
                <o:OLEObject Type="Embed" ProgID="Equation.3" ShapeID="_x0000_i1055" DrawAspect="Content" ObjectID="_1421845010" r:id="rId67"/>
              </w:object>
            </w:r>
            <w:r w:rsidRPr="00D53361" w:rsidDel="00ED215D">
              <w:t xml:space="preserve"> </w:t>
            </w:r>
          </w:p>
        </w:tc>
      </w:tr>
      <w:tr w:rsidR="003E2469" w:rsidRPr="00D53361" w:rsidTr="00887F8B">
        <w:trPr>
          <w:trHeight w:val="363"/>
        </w:trPr>
        <w:tc>
          <w:tcPr>
            <w:tcW w:w="991" w:type="dxa"/>
          </w:tcPr>
          <w:p w:rsidR="003E2469" w:rsidRPr="00D53361" w:rsidRDefault="003E2469" w:rsidP="00A12F25">
            <w:pPr>
              <w:pStyle w:val="Tablebodytext"/>
              <w:rPr>
                <w:i/>
              </w:rPr>
            </w:pPr>
          </w:p>
        </w:tc>
        <w:tc>
          <w:tcPr>
            <w:tcW w:w="1686" w:type="dxa"/>
          </w:tcPr>
          <w:p w:rsidR="003E2469" w:rsidRPr="002E4516" w:rsidRDefault="003E2469" w:rsidP="00A12F25">
            <w:pPr>
              <w:pStyle w:val="Tablebodytext"/>
              <w:rPr>
                <w:position w:val="-4"/>
              </w:rPr>
            </w:pPr>
          </w:p>
        </w:tc>
        <w:tc>
          <w:tcPr>
            <w:tcW w:w="6537" w:type="dxa"/>
            <w:gridSpan w:val="3"/>
          </w:tcPr>
          <w:p w:rsidR="003E2469" w:rsidRPr="00AD6BDC" w:rsidRDefault="003E2469" w:rsidP="00A12F25">
            <w:pPr>
              <w:pStyle w:val="Tablebodytext"/>
            </w:pPr>
            <w:r>
              <w:t>where:</w:t>
            </w:r>
          </w:p>
        </w:tc>
      </w:tr>
      <w:tr w:rsidR="003E2469" w:rsidRPr="00D53361" w:rsidTr="00887F8B">
        <w:trPr>
          <w:trHeight w:val="363"/>
        </w:trPr>
        <w:tc>
          <w:tcPr>
            <w:tcW w:w="991" w:type="dxa"/>
          </w:tcPr>
          <w:p w:rsidR="003E2469" w:rsidRPr="00D53361" w:rsidRDefault="003E2469" w:rsidP="00A12F25">
            <w:pPr>
              <w:pStyle w:val="Tablebodytext"/>
              <w:rPr>
                <w:i/>
              </w:rPr>
            </w:pPr>
          </w:p>
        </w:tc>
        <w:tc>
          <w:tcPr>
            <w:tcW w:w="1686" w:type="dxa"/>
          </w:tcPr>
          <w:p w:rsidR="003E2469" w:rsidRPr="002E4516" w:rsidRDefault="003E2469" w:rsidP="00A12F25">
            <w:pPr>
              <w:pStyle w:val="Tablebodytext"/>
              <w:rPr>
                <w:position w:val="-4"/>
              </w:rPr>
            </w:pPr>
          </w:p>
        </w:tc>
        <w:tc>
          <w:tcPr>
            <w:tcW w:w="1634" w:type="dxa"/>
          </w:tcPr>
          <w:p w:rsidR="003E2469" w:rsidRDefault="003E2469">
            <w:pPr>
              <w:pStyle w:val="Tablebodytext"/>
            </w:pPr>
            <w:proofErr w:type="spellStart"/>
            <w:r w:rsidRPr="00D53361">
              <w:rPr>
                <w:i/>
              </w:rPr>
              <w:t>CPI</w:t>
            </w:r>
            <w:r>
              <w:rPr>
                <w:i/>
                <w:vertAlign w:val="subscript"/>
              </w:rPr>
              <w:t>q</w:t>
            </w:r>
            <w:r w:rsidRPr="00D53361">
              <w:rPr>
                <w:i/>
                <w:vertAlign w:val="subscript"/>
              </w:rPr>
              <w:t>,t</w:t>
            </w:r>
            <w:proofErr w:type="spellEnd"/>
          </w:p>
        </w:tc>
        <w:tc>
          <w:tcPr>
            <w:tcW w:w="236" w:type="dxa"/>
          </w:tcPr>
          <w:p w:rsidR="003E2469" w:rsidRPr="00AD6BDC" w:rsidRDefault="003E2469" w:rsidP="00A12F25">
            <w:pPr>
              <w:pStyle w:val="Tablebodytext"/>
            </w:pPr>
          </w:p>
        </w:tc>
        <w:tc>
          <w:tcPr>
            <w:tcW w:w="4667" w:type="dxa"/>
          </w:tcPr>
          <w:p w:rsidR="003E2469" w:rsidRDefault="003E2469">
            <w:pPr>
              <w:pStyle w:val="Tablebodytext"/>
            </w:pPr>
            <w:r w:rsidRPr="00D53361">
              <w:t xml:space="preserve">is the </w:t>
            </w:r>
            <w:r w:rsidRPr="00D53361">
              <w:rPr>
                <w:b/>
              </w:rPr>
              <w:t>CPI</w:t>
            </w:r>
            <w:r w:rsidRPr="00D53361">
              <w:t xml:space="preserve"> for the quarter </w:t>
            </w:r>
            <w:r>
              <w:t xml:space="preserve">ending </w:t>
            </w:r>
            <w:r>
              <w:rPr>
                <w:i/>
              </w:rPr>
              <w:t>q</w:t>
            </w:r>
            <w:r w:rsidRPr="00D53361">
              <w:t xml:space="preserve"> of year </w:t>
            </w:r>
            <w:r w:rsidRPr="00D53361">
              <w:rPr>
                <w:i/>
              </w:rPr>
              <w:t>t</w:t>
            </w:r>
            <w:r>
              <w:rPr>
                <w:i/>
              </w:rPr>
              <w:t>.</w:t>
            </w:r>
          </w:p>
        </w:tc>
      </w:tr>
    </w:tbl>
    <w:p w:rsidR="00D42BDA" w:rsidRPr="00D53361" w:rsidRDefault="00D53361" w:rsidP="00D42BDA">
      <w:pPr>
        <w:pStyle w:val="Heading2"/>
      </w:pPr>
      <w:r w:rsidRPr="00D53361">
        <w:br w:type="page"/>
      </w:r>
      <w:bookmarkStart w:id="25" w:name="_Toc348091316"/>
      <w:r w:rsidR="00CF7718" w:rsidRPr="00D53361">
        <w:t xml:space="preserve">Schedule </w:t>
      </w:r>
      <w:r w:rsidR="00CC066B">
        <w:t>5</w:t>
      </w:r>
      <w:r w:rsidR="00D42BDA">
        <w:t xml:space="preserve">: </w:t>
      </w:r>
      <w:r w:rsidR="00D42BDA" w:rsidRPr="00D53361">
        <w:t xml:space="preserve">Process for determining the amount of </w:t>
      </w:r>
      <w:r w:rsidR="00D42BDA">
        <w:t>p</w:t>
      </w:r>
      <w:r w:rsidR="00D42BDA" w:rsidRPr="00D53361">
        <w:t xml:space="preserve">ass-through </w:t>
      </w:r>
      <w:r w:rsidR="00D42BDA">
        <w:t>c</w:t>
      </w:r>
      <w:r w:rsidR="00D42BDA" w:rsidRPr="00D53361">
        <w:t>osts and recoverable costs</w:t>
      </w:r>
      <w:bookmarkEnd w:id="25"/>
    </w:p>
    <w:p w:rsidR="0048622D" w:rsidRDefault="0048622D" w:rsidP="0048622D">
      <w:pPr>
        <w:pStyle w:val="zFileRef"/>
        <w:jc w:val="center"/>
      </w:pPr>
    </w:p>
    <w:p w:rsidR="0077614C" w:rsidRDefault="00D53361">
      <w:pPr>
        <w:pStyle w:val="BodyText"/>
        <w:numPr>
          <w:ilvl w:val="2"/>
          <w:numId w:val="31"/>
        </w:numPr>
      </w:pPr>
      <w:r w:rsidRPr="00D53361">
        <w:t xml:space="preserve">The individual </w:t>
      </w:r>
      <w:r w:rsidRPr="00D53361">
        <w:rPr>
          <w:b/>
        </w:rPr>
        <w:t>pass-through cost</w:t>
      </w:r>
      <w:r w:rsidRPr="00D53361">
        <w:t xml:space="preserve"> or </w:t>
      </w:r>
      <w:r w:rsidRPr="00D53361">
        <w:rPr>
          <w:b/>
        </w:rPr>
        <w:t>recoverable cost</w:t>
      </w:r>
      <w:r w:rsidRPr="00D53361">
        <w:t xml:space="preserve"> amounts that are </w:t>
      </w:r>
      <w:r w:rsidR="00AD1484">
        <w:t xml:space="preserve">used to calculate allowable notional revenue and notional revenue for a </w:t>
      </w:r>
      <w:r w:rsidR="00AD1484" w:rsidRPr="00AD1484">
        <w:rPr>
          <w:b/>
        </w:rPr>
        <w:t>pricing period</w:t>
      </w:r>
      <w:r w:rsidR="00AD1484">
        <w:t xml:space="preserve"> must</w:t>
      </w:r>
      <w:r w:rsidR="0077614C">
        <w:t>:</w:t>
      </w:r>
    </w:p>
    <w:p w:rsidR="0077614C" w:rsidRDefault="00AD1484" w:rsidP="0077614C">
      <w:pPr>
        <w:pStyle w:val="Para4"/>
        <w:tabs>
          <w:tab w:val="clear" w:pos="2835"/>
          <w:tab w:val="num" w:pos="1560"/>
        </w:tabs>
        <w:ind w:left="1560"/>
      </w:pPr>
      <w:r>
        <w:t xml:space="preserve">be known, and not forecast, </w:t>
      </w:r>
      <w:r w:rsidR="00674C0A">
        <w:t xml:space="preserve">when the </w:t>
      </w:r>
      <w:proofErr w:type="spellStart"/>
      <w:r w:rsidR="00FC4268" w:rsidRPr="0077614C">
        <w:rPr>
          <w:b/>
        </w:rPr>
        <w:t>GDB</w:t>
      </w:r>
      <w:proofErr w:type="spellEnd"/>
      <w:r w:rsidR="00674C0A">
        <w:t xml:space="preserve"> sets its</w:t>
      </w:r>
      <w:r w:rsidR="00D53361" w:rsidRPr="00D53361">
        <w:t xml:space="preserve"> </w:t>
      </w:r>
      <w:r w:rsidR="0048622D" w:rsidRPr="0077614C">
        <w:rPr>
          <w:b/>
        </w:rPr>
        <w:t>prices</w:t>
      </w:r>
      <w:r w:rsidR="00D53361" w:rsidRPr="00D53361">
        <w:t xml:space="preserve"> </w:t>
      </w:r>
      <w:r w:rsidR="00674C0A">
        <w:t>for the</w:t>
      </w:r>
      <w:r w:rsidR="00D53361" w:rsidRPr="00D53361">
        <w:t xml:space="preserve"> </w:t>
      </w:r>
      <w:r w:rsidRPr="0077614C">
        <w:rPr>
          <w:b/>
        </w:rPr>
        <w:t xml:space="preserve">pricing </w:t>
      </w:r>
      <w:r w:rsidR="00D53361" w:rsidRPr="0077614C">
        <w:rPr>
          <w:b/>
        </w:rPr>
        <w:t>period</w:t>
      </w:r>
      <w:r w:rsidR="0077614C">
        <w:t>;</w:t>
      </w:r>
      <w:r w:rsidR="0077614C" w:rsidRPr="00D53361">
        <w:t xml:space="preserve"> </w:t>
      </w:r>
    </w:p>
    <w:p w:rsidR="00AD1484" w:rsidRDefault="00AD1484" w:rsidP="0077614C">
      <w:pPr>
        <w:pStyle w:val="Para4"/>
        <w:tabs>
          <w:tab w:val="clear" w:pos="2835"/>
          <w:tab w:val="num" w:pos="1560"/>
        </w:tabs>
        <w:ind w:left="1560"/>
      </w:pPr>
      <w:r>
        <w:t xml:space="preserve">not have already been passed through to, or recovered from, </w:t>
      </w:r>
      <w:r w:rsidRPr="0048622D">
        <w:rPr>
          <w:b/>
        </w:rPr>
        <w:t>consumers</w:t>
      </w:r>
      <w:r>
        <w:t xml:space="preserve"> by the </w:t>
      </w:r>
      <w:proofErr w:type="spellStart"/>
      <w:r w:rsidR="0077614C" w:rsidRPr="0077614C">
        <w:rPr>
          <w:b/>
        </w:rPr>
        <w:t>GDB</w:t>
      </w:r>
      <w:proofErr w:type="spellEnd"/>
      <w:r w:rsidR="0077614C" w:rsidRPr="0077614C">
        <w:t>; and</w:t>
      </w:r>
    </w:p>
    <w:p w:rsidR="00AD1484" w:rsidRDefault="0077614C" w:rsidP="0077614C">
      <w:pPr>
        <w:pStyle w:val="Para4"/>
        <w:tabs>
          <w:tab w:val="clear" w:pos="2835"/>
          <w:tab w:val="num" w:pos="1560"/>
        </w:tabs>
        <w:ind w:left="1560"/>
      </w:pPr>
      <w:proofErr w:type="gramStart"/>
      <w:r>
        <w:t>n</w:t>
      </w:r>
      <w:r w:rsidRPr="0077614C">
        <w:t>ot</w:t>
      </w:r>
      <w:proofErr w:type="gramEnd"/>
      <w:r w:rsidRPr="0077614C">
        <w:t xml:space="preserve"> relate to</w:t>
      </w:r>
      <w:r w:rsidR="00AD1484">
        <w:t xml:space="preserve"> costs that were incurred </w:t>
      </w:r>
      <w:r>
        <w:t xml:space="preserve">by the </w:t>
      </w:r>
      <w:proofErr w:type="spellStart"/>
      <w:r w:rsidRPr="0077614C">
        <w:rPr>
          <w:b/>
        </w:rPr>
        <w:t>GDB</w:t>
      </w:r>
      <w:proofErr w:type="spellEnd"/>
      <w:r>
        <w:t xml:space="preserve"> </w:t>
      </w:r>
      <w:r w:rsidR="00AD1484">
        <w:t xml:space="preserve">prior to the </w:t>
      </w:r>
      <w:r w:rsidR="00AD1484" w:rsidRPr="00AD1484">
        <w:rPr>
          <w:b/>
        </w:rPr>
        <w:t>regulatory period</w:t>
      </w:r>
      <w:r w:rsidR="00AD1484">
        <w:t xml:space="preserve">, except as provided </w:t>
      </w:r>
      <w:r>
        <w:t>under item (</w:t>
      </w:r>
      <w:r w:rsidR="00B73B2E">
        <w:t>2</w:t>
      </w:r>
      <w:r>
        <w:t>) below</w:t>
      </w:r>
      <w:r w:rsidR="00AD1484">
        <w:t>.</w:t>
      </w:r>
    </w:p>
    <w:p w:rsidR="001B3D75" w:rsidRPr="00812AD1" w:rsidRDefault="001B3D75" w:rsidP="00AD1484">
      <w:pPr>
        <w:pStyle w:val="Para2"/>
        <w:numPr>
          <w:ilvl w:val="2"/>
          <w:numId w:val="31"/>
        </w:numPr>
      </w:pPr>
      <w:r w:rsidRPr="00812AD1">
        <w:t xml:space="preserve">[Insert clause concerning recovery of </w:t>
      </w:r>
      <w:r w:rsidR="00E035FB" w:rsidRPr="00812AD1">
        <w:t xml:space="preserve">certain </w:t>
      </w:r>
      <w:r w:rsidRPr="00812AD1">
        <w:t>pass-through and recoverable costs that wer</w:t>
      </w:r>
      <w:r w:rsidR="00E035FB" w:rsidRPr="00812AD1">
        <w:t>e</w:t>
      </w:r>
      <w:r w:rsidRPr="00812AD1">
        <w:t xml:space="preserve"> incurred prior to regulatory period –</w:t>
      </w:r>
      <w:r w:rsidR="00E035FB" w:rsidRPr="00812AD1">
        <w:t xml:space="preserve"> for further information, see </w:t>
      </w:r>
      <w:r w:rsidR="00441176" w:rsidRPr="00812AD1">
        <w:t>Chapter 3 of the 8 February 2013 consultation paper</w:t>
      </w:r>
      <w:r w:rsidRPr="00812AD1">
        <w:t>]</w:t>
      </w:r>
      <w:r w:rsidR="00E035FB" w:rsidRPr="00812AD1">
        <w:t>.</w:t>
      </w:r>
    </w:p>
    <w:p w:rsidR="00AD1484" w:rsidRPr="00812AD1" w:rsidRDefault="00AD1484" w:rsidP="00AD1484">
      <w:pPr>
        <w:pStyle w:val="Para2"/>
        <w:numPr>
          <w:ilvl w:val="2"/>
          <w:numId w:val="31"/>
        </w:numPr>
        <w:rPr>
          <w:rFonts w:asciiTheme="minorHAnsi" w:hAnsiTheme="minorHAnsi"/>
          <w:szCs w:val="24"/>
        </w:rPr>
      </w:pPr>
      <w:r w:rsidRPr="00812AD1">
        <w:rPr>
          <w:rFonts w:asciiTheme="minorHAnsi" w:hAnsiTheme="minorHAnsi"/>
          <w:b/>
          <w:szCs w:val="24"/>
        </w:rPr>
        <w:t xml:space="preserve">Pass-through </w:t>
      </w:r>
      <w:r w:rsidR="00E035FB" w:rsidRPr="00812AD1">
        <w:rPr>
          <w:rFonts w:asciiTheme="minorHAnsi" w:hAnsiTheme="minorHAnsi"/>
          <w:b/>
          <w:szCs w:val="24"/>
        </w:rPr>
        <w:t>costs</w:t>
      </w:r>
      <w:r w:rsidR="00E035FB" w:rsidRPr="00812AD1">
        <w:rPr>
          <w:rFonts w:asciiTheme="minorHAnsi" w:hAnsiTheme="minorHAnsi"/>
          <w:szCs w:val="24"/>
        </w:rPr>
        <w:t xml:space="preserve"> </w:t>
      </w:r>
      <w:r w:rsidRPr="00812AD1">
        <w:rPr>
          <w:rFonts w:asciiTheme="minorHAnsi" w:hAnsiTheme="minorHAnsi"/>
          <w:szCs w:val="24"/>
        </w:rPr>
        <w:t xml:space="preserve">and </w:t>
      </w:r>
      <w:r w:rsidRPr="00812AD1">
        <w:rPr>
          <w:rFonts w:asciiTheme="minorHAnsi" w:hAnsiTheme="minorHAnsi"/>
          <w:b/>
          <w:szCs w:val="24"/>
        </w:rPr>
        <w:t>recoverable costs</w:t>
      </w:r>
      <w:r w:rsidRPr="00812AD1">
        <w:rPr>
          <w:rFonts w:asciiTheme="minorHAnsi" w:hAnsiTheme="minorHAnsi"/>
          <w:szCs w:val="24"/>
        </w:rPr>
        <w:t xml:space="preserve"> </w:t>
      </w:r>
      <w:r w:rsidR="00E035FB" w:rsidRPr="00812AD1">
        <w:rPr>
          <w:rFonts w:asciiTheme="minorHAnsi" w:hAnsiTheme="minorHAnsi"/>
          <w:szCs w:val="24"/>
        </w:rPr>
        <w:t xml:space="preserve">that are claimed in a </w:t>
      </w:r>
      <w:r w:rsidR="00E035FB" w:rsidRPr="00812AD1">
        <w:rPr>
          <w:rFonts w:asciiTheme="minorHAnsi" w:hAnsiTheme="minorHAnsi"/>
          <w:b/>
          <w:szCs w:val="24"/>
        </w:rPr>
        <w:t>pricing period</w:t>
      </w:r>
      <w:r w:rsidR="00E035FB" w:rsidRPr="00812AD1">
        <w:rPr>
          <w:rFonts w:asciiTheme="minorHAnsi" w:hAnsiTheme="minorHAnsi"/>
          <w:szCs w:val="24"/>
        </w:rPr>
        <w:t xml:space="preserve"> </w:t>
      </w:r>
      <w:r w:rsidRPr="00812AD1">
        <w:rPr>
          <w:rFonts w:asciiTheme="minorHAnsi" w:hAnsiTheme="minorHAnsi"/>
          <w:bCs/>
          <w:szCs w:val="24"/>
        </w:rPr>
        <w:t xml:space="preserve">may be adjusted for the time value of money using </w:t>
      </w:r>
      <w:r w:rsidR="004B3E19" w:rsidRPr="00812AD1">
        <w:rPr>
          <w:rFonts w:asciiTheme="minorHAnsi" w:hAnsiTheme="minorHAnsi"/>
          <w:bCs/>
          <w:szCs w:val="24"/>
        </w:rPr>
        <w:t>Equation 5</w:t>
      </w:r>
      <w:r w:rsidRPr="00812AD1">
        <w:rPr>
          <w:rFonts w:asciiTheme="minorHAnsi" w:hAnsiTheme="minorHAnsi"/>
          <w:bCs/>
          <w:szCs w:val="24"/>
        </w:rPr>
        <w:t>:</w:t>
      </w:r>
      <w:r w:rsidRPr="00812AD1">
        <w:rPr>
          <w:rFonts w:asciiTheme="minorHAnsi" w:hAnsiTheme="minorHAnsi"/>
          <w:b/>
          <w:bCs/>
          <w:szCs w:val="24"/>
        </w:rPr>
        <w:t xml:space="preserve"> </w:t>
      </w:r>
    </w:p>
    <w:p w:rsidR="004B3E19" w:rsidRPr="001B3D75" w:rsidRDefault="004B3E19" w:rsidP="004B3E19">
      <w:pPr>
        <w:pStyle w:val="Para2"/>
        <w:numPr>
          <w:ilvl w:val="0"/>
          <w:numId w:val="0"/>
        </w:numPr>
        <w:ind w:left="851"/>
        <w:rPr>
          <w:rFonts w:asciiTheme="minorHAnsi" w:hAnsiTheme="minorHAnsi"/>
          <w:szCs w:val="24"/>
        </w:rPr>
      </w:pPr>
      <w:r w:rsidRPr="005A67FA">
        <w:rPr>
          <w:b/>
          <w:position w:val="-12"/>
        </w:rPr>
        <w:t xml:space="preserve">Equation </w:t>
      </w:r>
      <w:r>
        <w:rPr>
          <w:b/>
          <w:position w:val="-12"/>
        </w:rPr>
        <w:t>5</w:t>
      </w:r>
    </w:p>
    <w:p w:rsidR="00AD1484" w:rsidRPr="001B3D75" w:rsidRDefault="004E6FB5" w:rsidP="00E035FB">
      <w:pPr>
        <w:pStyle w:val="ListParagraph"/>
        <w:ind w:left="851"/>
        <w:rPr>
          <w:rFonts w:asciiTheme="minorHAnsi" w:eastAsiaTheme="minorEastAsia" w:hAnsiTheme="minorHAnsi" w:cstheme="minorHAnsi"/>
          <w:iCs/>
          <w:color w:val="000000"/>
          <w:szCs w:val="24"/>
        </w:rPr>
      </w:pPr>
      <m:oMathPara>
        <m:oMathParaPr>
          <m:jc m:val="left"/>
        </m:oMathParaPr>
        <m:oMath>
          <m:d>
            <m:dPr>
              <m:ctrlPr>
                <w:rPr>
                  <w:rFonts w:ascii="Cambria Math" w:hAnsiTheme="minorHAnsi" w:cstheme="minorHAnsi"/>
                  <w:iCs/>
                  <w:color w:val="000000"/>
                  <w:szCs w:val="24"/>
                </w:rPr>
              </m:ctrlPr>
            </m:dPr>
            <m:e>
              <m:sSub>
                <m:sSubPr>
                  <m:ctrlPr>
                    <w:rPr>
                      <w:rFonts w:ascii="Cambria Math" w:hAnsiTheme="minorHAnsi" w:cstheme="minorHAnsi"/>
                      <w:iCs/>
                      <w:color w:val="000000"/>
                      <w:szCs w:val="24"/>
                    </w:rPr>
                  </m:ctrlPr>
                </m:sSubPr>
                <m:e>
                  <m:r>
                    <m:rPr>
                      <m:nor/>
                    </m:rPr>
                    <w:rPr>
                      <w:rFonts w:asciiTheme="minorHAnsi" w:hAnsiTheme="minorHAnsi" w:cstheme="minorHAnsi"/>
                      <w:iCs/>
                      <w:szCs w:val="24"/>
                    </w:rPr>
                    <m:t>K</m:t>
                  </m:r>
                  <m:ctrlPr>
                    <w:rPr>
                      <w:rFonts w:ascii="Cambria Math" w:hAnsiTheme="minorHAnsi" w:cstheme="minorHAnsi"/>
                      <w:iCs/>
                      <w:szCs w:val="24"/>
                    </w:rPr>
                  </m:ctrlPr>
                </m:e>
                <m:sub>
                  <m:r>
                    <m:rPr>
                      <m:nor/>
                    </m:rPr>
                    <w:rPr>
                      <w:rFonts w:asciiTheme="minorHAnsi" w:hAnsiTheme="minorHAnsi" w:cstheme="minorHAnsi"/>
                      <w:iCs/>
                      <w:szCs w:val="24"/>
                    </w:rPr>
                    <m:t>t</m:t>
                  </m:r>
                  <m:ctrlPr>
                    <w:rPr>
                      <w:rFonts w:ascii="Cambria Math" w:hAnsiTheme="minorHAnsi" w:cstheme="minorHAnsi"/>
                      <w:iCs/>
                      <w:szCs w:val="24"/>
                    </w:rPr>
                  </m:ctrlPr>
                </m:sub>
              </m:sSub>
              <m:r>
                <m:rPr>
                  <m:nor/>
                </m:rPr>
                <w:rPr>
                  <w:rFonts w:asciiTheme="minorHAnsi" w:hAnsiTheme="minorHAnsi" w:cstheme="minorHAnsi"/>
                  <w:iCs/>
                  <w:szCs w:val="24"/>
                </w:rPr>
                <m:t>+</m:t>
              </m:r>
              <m:sSub>
                <m:sSubPr>
                  <m:ctrlPr>
                    <w:rPr>
                      <w:rFonts w:ascii="Cambria Math" w:hAnsiTheme="minorHAnsi" w:cstheme="minorHAnsi"/>
                      <w:iCs/>
                      <w:color w:val="000000"/>
                      <w:szCs w:val="24"/>
                    </w:rPr>
                  </m:ctrlPr>
                </m:sSubPr>
                <m:e>
                  <m:r>
                    <m:rPr>
                      <m:nor/>
                    </m:rPr>
                    <w:rPr>
                      <w:rFonts w:asciiTheme="minorHAnsi" w:hAnsiTheme="minorHAnsi" w:cstheme="minorHAnsi"/>
                      <w:iCs/>
                      <w:szCs w:val="24"/>
                    </w:rPr>
                    <m:t>V</m:t>
                  </m:r>
                  <m:ctrlPr>
                    <w:rPr>
                      <w:rFonts w:ascii="Cambria Math" w:hAnsiTheme="minorHAnsi" w:cstheme="minorHAnsi"/>
                      <w:iCs/>
                      <w:szCs w:val="24"/>
                    </w:rPr>
                  </m:ctrlPr>
                </m:e>
                <m:sub>
                  <m:r>
                    <m:rPr>
                      <m:nor/>
                    </m:rPr>
                    <w:rPr>
                      <w:rFonts w:asciiTheme="minorHAnsi" w:hAnsiTheme="minorHAnsi" w:cstheme="minorHAnsi"/>
                      <w:iCs/>
                      <w:szCs w:val="24"/>
                    </w:rPr>
                    <m:t>t</m:t>
                  </m:r>
                  <m:ctrlPr>
                    <w:rPr>
                      <w:rFonts w:ascii="Cambria Math" w:hAnsiTheme="minorHAnsi" w:cstheme="minorHAnsi"/>
                      <w:iCs/>
                      <w:szCs w:val="24"/>
                    </w:rPr>
                  </m:ctrlPr>
                </m:sub>
              </m:sSub>
            </m:e>
          </m:d>
          <m:r>
            <m:rPr>
              <m:nor/>
            </m:rPr>
            <w:rPr>
              <w:rFonts w:asciiTheme="minorHAnsi" w:hAnsiTheme="minorHAnsi" w:cstheme="minorHAnsi"/>
              <w:iCs/>
              <w:szCs w:val="24"/>
            </w:rPr>
            <m:t xml:space="preserve"> = </m:t>
          </m:r>
          <m:nary>
            <m:naryPr>
              <m:chr m:val="∑"/>
              <m:limLoc m:val="undOvr"/>
              <m:ctrlPr>
                <w:rPr>
                  <w:rFonts w:ascii="Cambria Math" w:hAnsiTheme="minorHAnsi" w:cstheme="minorHAnsi"/>
                  <w:iCs/>
                  <w:color w:val="000000"/>
                  <w:szCs w:val="24"/>
                </w:rPr>
              </m:ctrlPr>
            </m:naryPr>
            <m:sub>
              <m:r>
                <m:rPr>
                  <m:nor/>
                </m:rPr>
                <w:rPr>
                  <w:rFonts w:asciiTheme="minorHAnsi" w:hAnsiTheme="minorHAnsi" w:cstheme="minorHAnsi"/>
                  <w:iCs/>
                  <w:szCs w:val="24"/>
                </w:rPr>
                <m:t>n</m:t>
              </m:r>
            </m:sub>
            <m:sup/>
            <m:e>
              <m:d>
                <m:dPr>
                  <m:ctrlPr>
                    <w:rPr>
                      <w:rFonts w:ascii="Cambria Math" w:hAnsiTheme="minorHAnsi" w:cstheme="minorHAnsi"/>
                      <w:iCs/>
                      <w:color w:val="000000"/>
                      <w:szCs w:val="24"/>
                    </w:rPr>
                  </m:ctrlPr>
                </m:dPr>
                <m:e>
                  <m:sSub>
                    <m:sSubPr>
                      <m:ctrlPr>
                        <w:rPr>
                          <w:rFonts w:ascii="Cambria Math" w:hAnsiTheme="minorHAnsi" w:cstheme="minorHAnsi"/>
                          <w:iCs/>
                          <w:color w:val="000000"/>
                          <w:szCs w:val="24"/>
                        </w:rPr>
                      </m:ctrlPr>
                    </m:sSubPr>
                    <m:e>
                      <m:r>
                        <m:rPr>
                          <m:nor/>
                        </m:rPr>
                        <w:rPr>
                          <w:rFonts w:asciiTheme="minorHAnsi" w:hAnsiTheme="minorHAnsi" w:cstheme="minorHAnsi"/>
                          <w:iCs/>
                          <w:szCs w:val="24"/>
                        </w:rPr>
                        <m:t>K</m:t>
                      </m:r>
                      <m:ctrlPr>
                        <w:rPr>
                          <w:rFonts w:ascii="Cambria Math" w:hAnsiTheme="minorHAnsi" w:cstheme="minorHAnsi"/>
                          <w:iCs/>
                          <w:szCs w:val="24"/>
                        </w:rPr>
                      </m:ctrlPr>
                    </m:e>
                    <m:sub>
                      <m:r>
                        <m:rPr>
                          <m:nor/>
                        </m:rPr>
                        <w:rPr>
                          <w:rFonts w:asciiTheme="minorHAnsi" w:hAnsiTheme="minorHAnsi" w:cstheme="minorHAnsi"/>
                          <w:iCs/>
                          <w:szCs w:val="24"/>
                        </w:rPr>
                        <m:t>n</m:t>
                      </m:r>
                      <m:ctrlPr>
                        <w:rPr>
                          <w:rFonts w:ascii="Cambria Math" w:hAnsiTheme="minorHAnsi" w:cstheme="minorHAnsi"/>
                          <w:iCs/>
                          <w:szCs w:val="24"/>
                        </w:rPr>
                      </m:ctrlPr>
                    </m:sub>
                  </m:sSub>
                  <m:r>
                    <m:rPr>
                      <m:nor/>
                    </m:rPr>
                    <w:rPr>
                      <w:rFonts w:asciiTheme="minorHAnsi" w:hAnsiTheme="minorHAnsi" w:cstheme="minorHAnsi"/>
                      <w:iCs/>
                      <w:szCs w:val="24"/>
                    </w:rPr>
                    <m:t>+</m:t>
                  </m:r>
                  <m:sSub>
                    <m:sSubPr>
                      <m:ctrlPr>
                        <w:rPr>
                          <w:rFonts w:ascii="Cambria Math" w:hAnsiTheme="minorHAnsi" w:cstheme="minorHAnsi"/>
                          <w:iCs/>
                          <w:color w:val="000000"/>
                          <w:szCs w:val="24"/>
                        </w:rPr>
                      </m:ctrlPr>
                    </m:sSubPr>
                    <m:e>
                      <m:r>
                        <m:rPr>
                          <m:nor/>
                        </m:rPr>
                        <w:rPr>
                          <w:rFonts w:asciiTheme="minorHAnsi" w:hAnsiTheme="minorHAnsi" w:cstheme="minorHAnsi"/>
                          <w:iCs/>
                          <w:szCs w:val="24"/>
                        </w:rPr>
                        <m:t>V</m:t>
                      </m:r>
                      <m:ctrlPr>
                        <w:rPr>
                          <w:rFonts w:ascii="Cambria Math" w:hAnsiTheme="minorHAnsi" w:cstheme="minorHAnsi"/>
                          <w:iCs/>
                          <w:szCs w:val="24"/>
                        </w:rPr>
                      </m:ctrlPr>
                    </m:e>
                    <m:sub>
                      <m:r>
                        <m:rPr>
                          <m:nor/>
                        </m:rPr>
                        <w:rPr>
                          <w:rFonts w:asciiTheme="minorHAnsi" w:hAnsiTheme="minorHAnsi" w:cstheme="minorHAnsi"/>
                          <w:iCs/>
                          <w:szCs w:val="24"/>
                        </w:rPr>
                        <m:t>n</m:t>
                      </m:r>
                      <m:ctrlPr>
                        <w:rPr>
                          <w:rFonts w:ascii="Cambria Math" w:hAnsiTheme="minorHAnsi" w:cstheme="minorHAnsi"/>
                          <w:iCs/>
                          <w:szCs w:val="24"/>
                        </w:rPr>
                      </m:ctrlPr>
                    </m:sub>
                  </m:sSub>
                </m:e>
              </m:d>
              <m:sSup>
                <m:sSupPr>
                  <m:ctrlPr>
                    <w:rPr>
                      <w:rFonts w:ascii="Cambria Math" w:hAnsiTheme="minorHAnsi" w:cstheme="minorHAnsi"/>
                      <w:iCs/>
                      <w:color w:val="000000"/>
                      <w:szCs w:val="24"/>
                    </w:rPr>
                  </m:ctrlPr>
                </m:sSupPr>
                <m:e>
                  <m:d>
                    <m:dPr>
                      <m:ctrlPr>
                        <w:rPr>
                          <w:rFonts w:ascii="Cambria Math" w:hAnsiTheme="minorHAnsi" w:cstheme="minorHAnsi"/>
                          <w:iCs/>
                          <w:color w:val="000000"/>
                          <w:szCs w:val="24"/>
                        </w:rPr>
                      </m:ctrlPr>
                    </m:dPr>
                    <m:e>
                      <w:proofErr w:type="spellStart"/>
                      <m:r>
                        <m:rPr>
                          <m:nor/>
                        </m:rPr>
                        <w:rPr>
                          <w:rFonts w:asciiTheme="minorHAnsi" w:hAnsiTheme="minorHAnsi" w:cstheme="minorHAnsi"/>
                          <w:iCs/>
                          <w:szCs w:val="24"/>
                        </w:rPr>
                        <m:t>1+r</m:t>
                      </m:r>
                      <w:proofErr w:type="spellEnd"/>
                    </m:e>
                  </m:d>
                  <m:ctrlPr>
                    <w:rPr>
                      <w:rFonts w:ascii="Cambria Math" w:hAnsiTheme="minorHAnsi" w:cstheme="minorHAnsi"/>
                      <w:iCs/>
                      <w:szCs w:val="24"/>
                    </w:rPr>
                  </m:ctrlPr>
                </m:e>
                <m:sup>
                  <m:r>
                    <m:rPr>
                      <m:nor/>
                    </m:rPr>
                    <w:rPr>
                      <w:rFonts w:asciiTheme="minorHAnsi" w:hAnsiTheme="minorHAnsi" w:cstheme="minorHAnsi"/>
                      <w:iCs/>
                      <w:szCs w:val="24"/>
                    </w:rPr>
                    <m:t>t-n</m:t>
                  </m:r>
                  <m:ctrlPr>
                    <w:rPr>
                      <w:rFonts w:ascii="Cambria Math" w:hAnsiTheme="minorHAnsi" w:cstheme="minorHAnsi"/>
                      <w:iCs/>
                      <w:szCs w:val="24"/>
                    </w:rPr>
                  </m:ctrlPr>
                </m:sup>
              </m:sSup>
            </m:e>
          </m:nary>
        </m:oMath>
      </m:oMathPara>
    </w:p>
    <w:p w:rsidR="00AD1484" w:rsidRPr="001B3D75" w:rsidRDefault="00AD1484" w:rsidP="00E035FB">
      <w:pPr>
        <w:spacing w:after="240"/>
        <w:ind w:left="851"/>
        <w:rPr>
          <w:rFonts w:asciiTheme="minorHAnsi" w:hAnsiTheme="minorHAnsi"/>
          <w:szCs w:val="24"/>
        </w:rPr>
      </w:pPr>
      <w:proofErr w:type="gramStart"/>
      <w:r w:rsidRPr="001B3D75">
        <w:rPr>
          <w:rFonts w:asciiTheme="minorHAnsi" w:hAnsiTheme="minorHAnsi"/>
          <w:szCs w:val="24"/>
        </w:rPr>
        <w:t>where</w:t>
      </w:r>
      <w:proofErr w:type="gramEnd"/>
    </w:p>
    <w:p w:rsidR="00AD1484" w:rsidRPr="001B3D75" w:rsidRDefault="00AD1484" w:rsidP="00E035FB">
      <w:pPr>
        <w:spacing w:after="240"/>
        <w:ind w:left="851"/>
        <w:rPr>
          <w:rFonts w:asciiTheme="minorHAnsi" w:eastAsiaTheme="minorEastAsia" w:hAnsiTheme="minorHAnsi"/>
          <w:iCs/>
          <w:color w:val="000000"/>
          <w:szCs w:val="24"/>
        </w:rPr>
      </w:pPr>
      <w:proofErr w:type="gramStart"/>
      <w:r w:rsidRPr="001B3D75">
        <w:rPr>
          <w:rFonts w:asciiTheme="minorHAnsi" w:hAnsiTheme="minorHAnsi"/>
          <w:szCs w:val="24"/>
        </w:rPr>
        <w:t>t</w:t>
      </w:r>
      <w:proofErr w:type="gramEnd"/>
      <w:r w:rsidRPr="001B3D75">
        <w:rPr>
          <w:rFonts w:asciiTheme="minorHAnsi" w:hAnsiTheme="minorHAnsi"/>
          <w:szCs w:val="24"/>
        </w:rPr>
        <w:tab/>
      </w:r>
      <w:r w:rsidR="001B3D75" w:rsidRPr="001B3D75">
        <w:rPr>
          <w:rFonts w:asciiTheme="minorHAnsi" w:eastAsiaTheme="minorEastAsia" w:hAnsiTheme="minorHAnsi"/>
          <w:iCs/>
          <w:color w:val="000000"/>
          <w:szCs w:val="24"/>
        </w:rPr>
        <w:t xml:space="preserve">denotes the year in which the </w:t>
      </w:r>
      <w:r w:rsidR="001B3D75" w:rsidRPr="001B3D75">
        <w:rPr>
          <w:rFonts w:asciiTheme="minorHAnsi" w:eastAsiaTheme="minorEastAsia" w:hAnsiTheme="minorHAnsi"/>
          <w:b/>
          <w:iCs/>
          <w:color w:val="000000"/>
          <w:szCs w:val="24"/>
        </w:rPr>
        <w:t>pricing period</w:t>
      </w:r>
      <w:r w:rsidR="001B3D75" w:rsidRPr="001B3D75">
        <w:rPr>
          <w:rFonts w:asciiTheme="minorHAnsi" w:eastAsiaTheme="minorEastAsia" w:hAnsiTheme="minorHAnsi"/>
          <w:iCs/>
          <w:color w:val="000000"/>
          <w:szCs w:val="24"/>
        </w:rPr>
        <w:t xml:space="preserve"> ends</w:t>
      </w:r>
      <w:r w:rsidR="00E035FB">
        <w:rPr>
          <w:rFonts w:asciiTheme="minorHAnsi" w:eastAsiaTheme="minorEastAsia" w:hAnsiTheme="minorHAnsi"/>
          <w:iCs/>
          <w:color w:val="000000"/>
          <w:szCs w:val="24"/>
        </w:rPr>
        <w:t>;</w:t>
      </w:r>
    </w:p>
    <w:p w:rsidR="00AD1484" w:rsidRPr="001B3D75" w:rsidRDefault="004E6FB5" w:rsidP="00E035FB">
      <w:pPr>
        <w:spacing w:after="240"/>
        <w:ind w:left="851"/>
        <w:rPr>
          <w:rFonts w:asciiTheme="minorHAnsi" w:eastAsiaTheme="minorEastAsia" w:hAnsiTheme="minorHAnsi"/>
          <w:iCs/>
          <w:color w:val="000000"/>
          <w:szCs w:val="24"/>
        </w:rPr>
      </w:pPr>
      <m:oMath>
        <m:sSub>
          <m:sSubPr>
            <m:ctrlPr>
              <w:rPr>
                <w:rFonts w:ascii="Cambria Math" w:hAnsiTheme="minorHAnsi" w:cstheme="minorHAnsi"/>
                <w:iCs/>
                <w:color w:val="000000"/>
                <w:szCs w:val="24"/>
              </w:rPr>
            </m:ctrlPr>
          </m:sSubPr>
          <m:e>
            <m:r>
              <m:rPr>
                <m:nor/>
              </m:rPr>
              <w:rPr>
                <w:rFonts w:asciiTheme="minorHAnsi" w:hAnsiTheme="minorHAnsi" w:cstheme="minorHAnsi"/>
                <w:iCs/>
                <w:szCs w:val="24"/>
              </w:rPr>
              <m:t>K</m:t>
            </m:r>
            <m:ctrlPr>
              <w:rPr>
                <w:rFonts w:ascii="Cambria Math" w:hAnsiTheme="minorHAnsi" w:cstheme="minorHAnsi"/>
                <w:iCs/>
                <w:szCs w:val="24"/>
              </w:rPr>
            </m:ctrlPr>
          </m:e>
          <m:sub>
            <m:r>
              <m:rPr>
                <m:nor/>
              </m:rPr>
              <w:rPr>
                <w:rFonts w:asciiTheme="minorHAnsi" w:hAnsiTheme="minorHAnsi" w:cstheme="minorHAnsi"/>
                <w:iCs/>
                <w:szCs w:val="24"/>
              </w:rPr>
              <m:t>t</m:t>
            </m:r>
            <m:ctrlPr>
              <w:rPr>
                <w:rFonts w:ascii="Cambria Math" w:hAnsiTheme="minorHAnsi" w:cstheme="minorHAnsi"/>
                <w:iCs/>
                <w:szCs w:val="24"/>
              </w:rPr>
            </m:ctrlPr>
          </m:sub>
        </m:sSub>
      </m:oMath>
      <w:r w:rsidR="00AD1484" w:rsidRPr="001B3D75">
        <w:rPr>
          <w:rFonts w:asciiTheme="minorHAnsi" w:eastAsiaTheme="minorEastAsia" w:hAnsiTheme="minorHAnsi"/>
          <w:iCs/>
          <w:color w:val="000000"/>
          <w:szCs w:val="24"/>
        </w:rPr>
        <w:tab/>
      </w:r>
      <w:proofErr w:type="gramStart"/>
      <w:r w:rsidR="00AD1484" w:rsidRPr="001B3D75">
        <w:rPr>
          <w:rFonts w:asciiTheme="minorHAnsi" w:eastAsiaTheme="minorEastAsia" w:hAnsiTheme="minorHAnsi"/>
          <w:iCs/>
          <w:color w:val="000000"/>
          <w:szCs w:val="24"/>
        </w:rPr>
        <w:t>is</w:t>
      </w:r>
      <w:proofErr w:type="gramEnd"/>
      <w:r w:rsidR="00AD1484" w:rsidRPr="001B3D75">
        <w:rPr>
          <w:rFonts w:asciiTheme="minorHAnsi" w:eastAsiaTheme="minorEastAsia" w:hAnsiTheme="minorHAnsi"/>
          <w:iCs/>
          <w:color w:val="000000"/>
          <w:szCs w:val="24"/>
        </w:rPr>
        <w:t xml:space="preserve"> the sum of all </w:t>
      </w:r>
      <w:r w:rsidR="00AD1484" w:rsidRPr="001B3D75">
        <w:rPr>
          <w:rFonts w:asciiTheme="minorHAnsi" w:eastAsiaTheme="minorEastAsia" w:hAnsiTheme="minorHAnsi"/>
          <w:b/>
          <w:iCs/>
          <w:color w:val="000000"/>
          <w:szCs w:val="24"/>
        </w:rPr>
        <w:t>pass-through costs</w:t>
      </w:r>
      <w:r w:rsidR="00AD1484" w:rsidRPr="001B3D75">
        <w:rPr>
          <w:rFonts w:asciiTheme="minorHAnsi" w:eastAsiaTheme="minorEastAsia" w:hAnsiTheme="minorHAnsi"/>
          <w:iCs/>
          <w:color w:val="000000"/>
          <w:szCs w:val="24"/>
        </w:rPr>
        <w:t xml:space="preserve"> claimed during the </w:t>
      </w:r>
      <w:r w:rsidR="001B3D75">
        <w:rPr>
          <w:rFonts w:asciiTheme="minorHAnsi" w:eastAsiaTheme="minorEastAsia" w:hAnsiTheme="minorHAnsi"/>
          <w:b/>
          <w:iCs/>
          <w:color w:val="000000"/>
          <w:szCs w:val="24"/>
        </w:rPr>
        <w:t>pricing</w:t>
      </w:r>
      <w:r w:rsidR="00AD1484" w:rsidRPr="001B3D75">
        <w:rPr>
          <w:rFonts w:asciiTheme="minorHAnsi" w:eastAsiaTheme="minorEastAsia" w:hAnsiTheme="minorHAnsi"/>
          <w:b/>
          <w:iCs/>
          <w:color w:val="000000"/>
          <w:szCs w:val="24"/>
        </w:rPr>
        <w:t xml:space="preserve"> period</w:t>
      </w:r>
      <w:r w:rsidR="00E035FB">
        <w:rPr>
          <w:rFonts w:asciiTheme="minorHAnsi" w:eastAsiaTheme="minorEastAsia" w:hAnsiTheme="minorHAnsi"/>
          <w:b/>
          <w:iCs/>
          <w:color w:val="000000"/>
          <w:szCs w:val="24"/>
        </w:rPr>
        <w:t>;</w:t>
      </w:r>
    </w:p>
    <w:p w:rsidR="00AD1484" w:rsidRPr="001B3D75" w:rsidRDefault="004E6FB5" w:rsidP="00E035FB">
      <w:pPr>
        <w:spacing w:after="240"/>
        <w:ind w:left="851"/>
        <w:rPr>
          <w:rFonts w:asciiTheme="minorHAnsi" w:eastAsiaTheme="minorEastAsia" w:hAnsiTheme="minorHAnsi"/>
          <w:iCs/>
          <w:color w:val="000000"/>
          <w:szCs w:val="24"/>
        </w:rPr>
      </w:pPr>
      <m:oMath>
        <m:sSub>
          <m:sSubPr>
            <m:ctrlPr>
              <w:rPr>
                <w:rFonts w:ascii="Cambria Math" w:hAnsiTheme="minorHAnsi" w:cstheme="minorHAnsi"/>
                <w:iCs/>
                <w:color w:val="000000"/>
                <w:szCs w:val="24"/>
              </w:rPr>
            </m:ctrlPr>
          </m:sSubPr>
          <m:e>
            <m:r>
              <m:rPr>
                <m:nor/>
              </m:rPr>
              <w:rPr>
                <w:rFonts w:asciiTheme="minorHAnsi" w:hAnsiTheme="minorHAnsi" w:cstheme="minorHAnsi"/>
                <w:iCs/>
                <w:szCs w:val="24"/>
              </w:rPr>
              <m:t>V</m:t>
            </m:r>
            <m:ctrlPr>
              <w:rPr>
                <w:rFonts w:ascii="Cambria Math" w:hAnsiTheme="minorHAnsi" w:cstheme="minorHAnsi"/>
                <w:iCs/>
                <w:szCs w:val="24"/>
              </w:rPr>
            </m:ctrlPr>
          </m:e>
          <m:sub>
            <m:r>
              <m:rPr>
                <m:nor/>
              </m:rPr>
              <w:rPr>
                <w:rFonts w:asciiTheme="minorHAnsi" w:hAnsiTheme="minorHAnsi" w:cstheme="minorHAnsi"/>
                <w:iCs/>
                <w:szCs w:val="24"/>
              </w:rPr>
              <m:t>t</m:t>
            </m:r>
            <m:ctrlPr>
              <w:rPr>
                <w:rFonts w:ascii="Cambria Math" w:hAnsiTheme="minorHAnsi" w:cstheme="minorHAnsi"/>
                <w:iCs/>
                <w:szCs w:val="24"/>
              </w:rPr>
            </m:ctrlPr>
          </m:sub>
        </m:sSub>
      </m:oMath>
      <w:r w:rsidR="00AD1484" w:rsidRPr="001B3D75">
        <w:rPr>
          <w:rFonts w:asciiTheme="minorHAnsi" w:eastAsiaTheme="minorEastAsia" w:hAnsiTheme="minorHAnsi"/>
          <w:iCs/>
          <w:color w:val="000000"/>
          <w:szCs w:val="24"/>
        </w:rPr>
        <w:tab/>
      </w:r>
      <w:proofErr w:type="gramStart"/>
      <w:r w:rsidR="00AD1484" w:rsidRPr="001B3D75">
        <w:rPr>
          <w:rFonts w:asciiTheme="minorHAnsi" w:eastAsiaTheme="minorEastAsia" w:hAnsiTheme="minorHAnsi"/>
          <w:iCs/>
          <w:color w:val="000000"/>
          <w:szCs w:val="24"/>
        </w:rPr>
        <w:t>is</w:t>
      </w:r>
      <w:proofErr w:type="gramEnd"/>
      <w:r w:rsidR="00AD1484" w:rsidRPr="001B3D75">
        <w:rPr>
          <w:rFonts w:asciiTheme="minorHAnsi" w:eastAsiaTheme="minorEastAsia" w:hAnsiTheme="minorHAnsi"/>
          <w:iCs/>
          <w:color w:val="000000"/>
          <w:szCs w:val="24"/>
        </w:rPr>
        <w:t xml:space="preserve"> the sum of all </w:t>
      </w:r>
      <w:r w:rsidR="00AD1484" w:rsidRPr="001B3D75">
        <w:rPr>
          <w:rFonts w:asciiTheme="minorHAnsi" w:eastAsiaTheme="minorEastAsia" w:hAnsiTheme="minorHAnsi"/>
          <w:b/>
          <w:iCs/>
          <w:color w:val="000000"/>
          <w:szCs w:val="24"/>
        </w:rPr>
        <w:t>recoverable costs</w:t>
      </w:r>
      <w:r w:rsidR="00AD1484" w:rsidRPr="001B3D75">
        <w:rPr>
          <w:rFonts w:asciiTheme="minorHAnsi" w:eastAsiaTheme="minorEastAsia" w:hAnsiTheme="minorHAnsi"/>
          <w:iCs/>
          <w:color w:val="000000"/>
          <w:szCs w:val="24"/>
        </w:rPr>
        <w:t xml:space="preserve"> claimed during the </w:t>
      </w:r>
      <w:r w:rsidR="001B3D75">
        <w:rPr>
          <w:rFonts w:asciiTheme="minorHAnsi" w:eastAsiaTheme="minorEastAsia" w:hAnsiTheme="minorHAnsi"/>
          <w:b/>
          <w:iCs/>
          <w:color w:val="000000"/>
          <w:szCs w:val="24"/>
        </w:rPr>
        <w:t>pricing</w:t>
      </w:r>
      <w:r w:rsidR="00AD1484" w:rsidRPr="001B3D75">
        <w:rPr>
          <w:rFonts w:asciiTheme="minorHAnsi" w:eastAsiaTheme="minorEastAsia" w:hAnsiTheme="minorHAnsi"/>
          <w:b/>
          <w:iCs/>
          <w:color w:val="000000"/>
          <w:szCs w:val="24"/>
        </w:rPr>
        <w:t xml:space="preserve"> period</w:t>
      </w:r>
      <w:r w:rsidR="00E035FB">
        <w:rPr>
          <w:rFonts w:asciiTheme="minorHAnsi" w:eastAsiaTheme="minorEastAsia" w:hAnsiTheme="minorHAnsi"/>
          <w:b/>
          <w:iCs/>
          <w:color w:val="000000"/>
          <w:szCs w:val="24"/>
        </w:rPr>
        <w:t>;</w:t>
      </w:r>
    </w:p>
    <w:p w:rsidR="00AD1484" w:rsidRPr="001B3D75" w:rsidRDefault="00AD1484" w:rsidP="00E035FB">
      <w:pPr>
        <w:spacing w:after="240"/>
        <w:ind w:left="1418" w:hanging="567"/>
        <w:rPr>
          <w:rFonts w:asciiTheme="minorHAnsi" w:eastAsiaTheme="minorEastAsia" w:hAnsiTheme="minorHAnsi"/>
          <w:iCs/>
          <w:color w:val="000000"/>
          <w:szCs w:val="24"/>
        </w:rPr>
      </w:pPr>
      <w:proofErr w:type="gramStart"/>
      <w:r w:rsidRPr="001B3D75">
        <w:rPr>
          <w:rFonts w:asciiTheme="minorHAnsi" w:eastAsiaTheme="minorEastAsia" w:hAnsiTheme="minorHAnsi"/>
          <w:iCs/>
          <w:color w:val="000000"/>
          <w:szCs w:val="24"/>
        </w:rPr>
        <w:t>n</w:t>
      </w:r>
      <w:proofErr w:type="gramEnd"/>
      <w:r w:rsidRPr="001B3D75">
        <w:rPr>
          <w:rFonts w:asciiTheme="minorHAnsi" w:eastAsiaTheme="minorEastAsia" w:hAnsiTheme="minorHAnsi"/>
          <w:iCs/>
          <w:color w:val="000000"/>
          <w:szCs w:val="24"/>
        </w:rPr>
        <w:tab/>
        <w:t xml:space="preserve">denotes the year that actual </w:t>
      </w:r>
      <w:r w:rsidRPr="001B3D75">
        <w:rPr>
          <w:rFonts w:asciiTheme="minorHAnsi" w:eastAsiaTheme="minorEastAsia" w:hAnsiTheme="minorHAnsi"/>
          <w:b/>
          <w:iCs/>
          <w:color w:val="000000"/>
          <w:szCs w:val="24"/>
        </w:rPr>
        <w:t>pass-through costs</w:t>
      </w:r>
      <w:r w:rsidRPr="001B3D75">
        <w:rPr>
          <w:rFonts w:asciiTheme="minorHAnsi" w:eastAsiaTheme="minorEastAsia" w:hAnsiTheme="minorHAnsi"/>
          <w:iCs/>
          <w:color w:val="000000"/>
          <w:szCs w:val="24"/>
        </w:rPr>
        <w:t xml:space="preserve"> and </w:t>
      </w:r>
      <w:r w:rsidRPr="001B3D75">
        <w:rPr>
          <w:rFonts w:asciiTheme="minorHAnsi" w:eastAsiaTheme="minorEastAsia" w:hAnsiTheme="minorHAnsi"/>
          <w:b/>
          <w:iCs/>
          <w:color w:val="000000"/>
          <w:szCs w:val="24"/>
        </w:rPr>
        <w:t>recoverable costs</w:t>
      </w:r>
      <w:r w:rsidRPr="001B3D75">
        <w:rPr>
          <w:rFonts w:asciiTheme="minorHAnsi" w:eastAsiaTheme="minorEastAsia" w:hAnsiTheme="minorHAnsi"/>
          <w:iCs/>
          <w:color w:val="000000"/>
          <w:szCs w:val="24"/>
        </w:rPr>
        <w:t xml:space="preserve"> were paid or payable</w:t>
      </w:r>
      <w:r w:rsidR="00E035FB">
        <w:rPr>
          <w:rFonts w:asciiTheme="minorHAnsi" w:eastAsiaTheme="minorEastAsia" w:hAnsiTheme="minorHAnsi"/>
          <w:iCs/>
          <w:color w:val="000000"/>
          <w:szCs w:val="24"/>
        </w:rPr>
        <w:t>;</w:t>
      </w:r>
    </w:p>
    <w:p w:rsidR="00AD1484" w:rsidRPr="001B3D75" w:rsidRDefault="004E6FB5" w:rsidP="00E035FB">
      <w:pPr>
        <w:spacing w:after="240"/>
        <w:ind w:left="851"/>
        <w:rPr>
          <w:rFonts w:asciiTheme="minorHAnsi" w:eastAsiaTheme="minorEastAsia" w:hAnsiTheme="minorHAnsi"/>
          <w:iCs/>
          <w:color w:val="000000"/>
          <w:szCs w:val="24"/>
        </w:rPr>
      </w:pPr>
      <m:oMath>
        <m:sSub>
          <m:sSubPr>
            <m:ctrlPr>
              <w:rPr>
                <w:rFonts w:ascii="Cambria Math" w:hAnsiTheme="minorHAnsi" w:cstheme="minorHAnsi"/>
                <w:iCs/>
                <w:color w:val="000000"/>
                <w:szCs w:val="24"/>
              </w:rPr>
            </m:ctrlPr>
          </m:sSubPr>
          <m:e>
            <m:r>
              <m:rPr>
                <m:nor/>
              </m:rPr>
              <w:rPr>
                <w:rFonts w:asciiTheme="minorHAnsi" w:hAnsiTheme="minorHAnsi" w:cstheme="minorHAnsi"/>
                <w:iCs/>
                <w:szCs w:val="24"/>
              </w:rPr>
              <m:t>K</m:t>
            </m:r>
            <m:ctrlPr>
              <w:rPr>
                <w:rFonts w:ascii="Cambria Math" w:hAnsiTheme="minorHAnsi" w:cstheme="minorHAnsi"/>
                <w:iCs/>
                <w:szCs w:val="24"/>
              </w:rPr>
            </m:ctrlPr>
          </m:e>
          <m:sub>
            <m:r>
              <m:rPr>
                <m:nor/>
              </m:rPr>
              <w:rPr>
                <w:rFonts w:asciiTheme="minorHAnsi" w:hAnsiTheme="minorHAnsi" w:cstheme="minorHAnsi"/>
                <w:iCs/>
                <w:szCs w:val="24"/>
              </w:rPr>
              <m:t>n</m:t>
            </m:r>
            <m:ctrlPr>
              <w:rPr>
                <w:rFonts w:ascii="Cambria Math" w:hAnsiTheme="minorHAnsi" w:cstheme="minorHAnsi"/>
                <w:iCs/>
                <w:szCs w:val="24"/>
              </w:rPr>
            </m:ctrlPr>
          </m:sub>
        </m:sSub>
      </m:oMath>
      <w:r w:rsidR="00AD1484" w:rsidRPr="001B3D75">
        <w:rPr>
          <w:rFonts w:asciiTheme="minorHAnsi" w:eastAsiaTheme="minorEastAsia" w:hAnsiTheme="minorHAnsi"/>
          <w:iCs/>
          <w:color w:val="000000"/>
          <w:szCs w:val="24"/>
        </w:rPr>
        <w:tab/>
      </w:r>
      <w:proofErr w:type="gramStart"/>
      <w:r w:rsidR="00AD1484" w:rsidRPr="001B3D75">
        <w:rPr>
          <w:rFonts w:asciiTheme="minorHAnsi" w:eastAsiaTheme="minorEastAsia" w:hAnsiTheme="minorHAnsi"/>
          <w:iCs/>
          <w:color w:val="000000"/>
          <w:szCs w:val="24"/>
        </w:rPr>
        <w:t>is</w:t>
      </w:r>
      <w:proofErr w:type="gramEnd"/>
      <w:r w:rsidR="00AD1484" w:rsidRPr="001B3D75">
        <w:rPr>
          <w:rFonts w:asciiTheme="minorHAnsi" w:eastAsiaTheme="minorEastAsia" w:hAnsiTheme="minorHAnsi"/>
          <w:iCs/>
          <w:color w:val="000000"/>
          <w:szCs w:val="24"/>
        </w:rPr>
        <w:t xml:space="preserve"> the sum of all </w:t>
      </w:r>
      <w:r w:rsidR="00AD1484" w:rsidRPr="001B3D75">
        <w:rPr>
          <w:rFonts w:asciiTheme="minorHAnsi" w:eastAsiaTheme="minorEastAsia" w:hAnsiTheme="minorHAnsi"/>
          <w:b/>
          <w:iCs/>
          <w:color w:val="000000"/>
          <w:szCs w:val="24"/>
        </w:rPr>
        <w:t>pass-through costs</w:t>
      </w:r>
      <w:r w:rsidR="00AD1484" w:rsidRPr="001B3D75">
        <w:rPr>
          <w:rFonts w:asciiTheme="minorHAnsi" w:eastAsiaTheme="minorEastAsia" w:hAnsiTheme="minorHAnsi"/>
          <w:iCs/>
          <w:color w:val="000000"/>
          <w:szCs w:val="24"/>
        </w:rPr>
        <w:t xml:space="preserve"> paid or payable in year n</w:t>
      </w:r>
      <w:r w:rsidR="00E035FB">
        <w:rPr>
          <w:rFonts w:asciiTheme="minorHAnsi" w:eastAsiaTheme="minorEastAsia" w:hAnsiTheme="minorHAnsi"/>
          <w:iCs/>
          <w:color w:val="000000"/>
          <w:szCs w:val="24"/>
        </w:rPr>
        <w:t>;</w:t>
      </w:r>
    </w:p>
    <w:p w:rsidR="00AD1484" w:rsidRPr="001B3D75" w:rsidRDefault="004E6FB5" w:rsidP="00E035FB">
      <w:pPr>
        <w:spacing w:after="240"/>
        <w:ind w:left="851"/>
        <w:rPr>
          <w:rFonts w:asciiTheme="minorHAnsi" w:eastAsiaTheme="minorEastAsia" w:hAnsiTheme="minorHAnsi"/>
          <w:iCs/>
          <w:color w:val="000000"/>
          <w:szCs w:val="24"/>
        </w:rPr>
      </w:pPr>
      <m:oMath>
        <m:sSub>
          <m:sSubPr>
            <m:ctrlPr>
              <w:rPr>
                <w:rFonts w:ascii="Cambria Math" w:hAnsiTheme="minorHAnsi" w:cstheme="minorHAnsi"/>
                <w:iCs/>
                <w:color w:val="000000"/>
                <w:szCs w:val="24"/>
              </w:rPr>
            </m:ctrlPr>
          </m:sSubPr>
          <m:e>
            <m:r>
              <m:rPr>
                <m:nor/>
              </m:rPr>
              <w:rPr>
                <w:rFonts w:asciiTheme="minorHAnsi" w:hAnsiTheme="minorHAnsi" w:cstheme="minorHAnsi"/>
                <w:iCs/>
                <w:szCs w:val="24"/>
              </w:rPr>
              <m:t>V</m:t>
            </m:r>
            <m:ctrlPr>
              <w:rPr>
                <w:rFonts w:ascii="Cambria Math" w:hAnsiTheme="minorHAnsi" w:cstheme="minorHAnsi"/>
                <w:iCs/>
                <w:szCs w:val="24"/>
              </w:rPr>
            </m:ctrlPr>
          </m:e>
          <m:sub>
            <m:r>
              <m:rPr>
                <m:nor/>
              </m:rPr>
              <w:rPr>
                <w:rFonts w:asciiTheme="minorHAnsi" w:hAnsiTheme="minorHAnsi" w:cstheme="minorHAnsi"/>
                <w:iCs/>
                <w:szCs w:val="24"/>
              </w:rPr>
              <m:t>n</m:t>
            </m:r>
            <m:ctrlPr>
              <w:rPr>
                <w:rFonts w:ascii="Cambria Math" w:hAnsiTheme="minorHAnsi" w:cstheme="minorHAnsi"/>
                <w:iCs/>
                <w:szCs w:val="24"/>
              </w:rPr>
            </m:ctrlPr>
          </m:sub>
        </m:sSub>
      </m:oMath>
      <w:r w:rsidR="00AD1484" w:rsidRPr="001B3D75">
        <w:rPr>
          <w:rFonts w:asciiTheme="minorHAnsi" w:eastAsiaTheme="minorEastAsia" w:hAnsiTheme="minorHAnsi"/>
          <w:iCs/>
          <w:color w:val="000000"/>
          <w:szCs w:val="24"/>
        </w:rPr>
        <w:tab/>
      </w:r>
      <w:proofErr w:type="gramStart"/>
      <w:r w:rsidR="00AD1484" w:rsidRPr="001B3D75">
        <w:rPr>
          <w:rFonts w:asciiTheme="minorHAnsi" w:eastAsiaTheme="minorEastAsia" w:hAnsiTheme="minorHAnsi"/>
          <w:iCs/>
          <w:color w:val="000000"/>
          <w:szCs w:val="24"/>
        </w:rPr>
        <w:t>is</w:t>
      </w:r>
      <w:proofErr w:type="gramEnd"/>
      <w:r w:rsidR="00AD1484" w:rsidRPr="001B3D75">
        <w:rPr>
          <w:rFonts w:asciiTheme="minorHAnsi" w:eastAsiaTheme="minorEastAsia" w:hAnsiTheme="minorHAnsi"/>
          <w:iCs/>
          <w:color w:val="000000"/>
          <w:szCs w:val="24"/>
        </w:rPr>
        <w:t xml:space="preserve"> the sum of all </w:t>
      </w:r>
      <w:r w:rsidR="00AD1484" w:rsidRPr="001B3D75">
        <w:rPr>
          <w:rFonts w:asciiTheme="minorHAnsi" w:eastAsiaTheme="minorEastAsia" w:hAnsiTheme="minorHAnsi"/>
          <w:b/>
          <w:iCs/>
          <w:color w:val="000000"/>
          <w:szCs w:val="24"/>
        </w:rPr>
        <w:t>recoverable costs</w:t>
      </w:r>
      <w:r w:rsidR="00AD1484" w:rsidRPr="001B3D75">
        <w:rPr>
          <w:rFonts w:asciiTheme="minorHAnsi" w:eastAsiaTheme="minorEastAsia" w:hAnsiTheme="minorHAnsi"/>
          <w:iCs/>
          <w:color w:val="000000"/>
          <w:szCs w:val="24"/>
        </w:rPr>
        <w:t xml:space="preserve"> paid or payable in year n</w:t>
      </w:r>
      <w:r w:rsidR="00E035FB">
        <w:rPr>
          <w:rFonts w:asciiTheme="minorHAnsi" w:eastAsiaTheme="minorEastAsia" w:hAnsiTheme="minorHAnsi"/>
          <w:iCs/>
          <w:color w:val="000000"/>
          <w:szCs w:val="24"/>
        </w:rPr>
        <w:t>;</w:t>
      </w:r>
    </w:p>
    <w:p w:rsidR="00AD1484" w:rsidRPr="001B3D75" w:rsidRDefault="00AD1484" w:rsidP="00E035FB">
      <w:pPr>
        <w:spacing w:after="240"/>
        <w:ind w:left="851"/>
        <w:rPr>
          <w:rFonts w:asciiTheme="minorHAnsi" w:hAnsiTheme="minorHAnsi"/>
          <w:szCs w:val="24"/>
        </w:rPr>
      </w:pPr>
      <w:proofErr w:type="gramStart"/>
      <w:r w:rsidRPr="001B3D75">
        <w:rPr>
          <w:rFonts w:asciiTheme="minorHAnsi" w:hAnsiTheme="minorHAnsi"/>
          <w:szCs w:val="24"/>
        </w:rPr>
        <w:t>r</w:t>
      </w:r>
      <w:proofErr w:type="gramEnd"/>
      <w:r w:rsidRPr="001B3D75">
        <w:rPr>
          <w:rFonts w:asciiTheme="minorHAnsi" w:hAnsiTheme="minorHAnsi"/>
          <w:szCs w:val="24"/>
        </w:rPr>
        <w:tab/>
        <w:t>discount rate for time-value-of-money adjustments, and is [x]%</w:t>
      </w:r>
      <w:r w:rsidR="00E035FB">
        <w:rPr>
          <w:rFonts w:asciiTheme="minorHAnsi" w:hAnsiTheme="minorHAnsi"/>
          <w:szCs w:val="24"/>
        </w:rPr>
        <w:t>.</w:t>
      </w:r>
    </w:p>
    <w:p w:rsidR="00674C0A" w:rsidRPr="00D53361" w:rsidRDefault="00674C0A" w:rsidP="00E035FB">
      <w:pPr>
        <w:pStyle w:val="BodyText"/>
        <w:ind w:left="851"/>
      </w:pPr>
    </w:p>
    <w:p w:rsidR="00D42BDA" w:rsidRPr="00D53361" w:rsidRDefault="00D53361" w:rsidP="00D42BDA">
      <w:pPr>
        <w:pStyle w:val="Heading2"/>
      </w:pPr>
      <w:r w:rsidRPr="00D53361">
        <w:br w:type="page"/>
      </w:r>
      <w:bookmarkStart w:id="26" w:name="_Toc348091317"/>
      <w:r w:rsidR="00D42BDA" w:rsidRPr="00CF7718">
        <w:t xml:space="preserve">Schedule </w:t>
      </w:r>
      <w:r w:rsidR="00E035FB">
        <w:t>6</w:t>
      </w:r>
      <w:r w:rsidR="00D42BDA">
        <w:t>: Claw-back</w:t>
      </w:r>
      <w:bookmarkEnd w:id="26"/>
    </w:p>
    <w:p w:rsidR="00832F07" w:rsidRDefault="00354B7B" w:rsidP="004B3E19">
      <w:pPr>
        <w:pStyle w:val="BodyText"/>
        <w:numPr>
          <w:ilvl w:val="2"/>
          <w:numId w:val="95"/>
        </w:numPr>
      </w:pPr>
      <w:r>
        <w:t xml:space="preserve">A </w:t>
      </w:r>
      <w:proofErr w:type="spellStart"/>
      <w:r w:rsidR="004B3E19" w:rsidRPr="004B3E19">
        <w:rPr>
          <w:b/>
        </w:rPr>
        <w:t>GDB</w:t>
      </w:r>
      <w:proofErr w:type="spellEnd"/>
      <w:r w:rsidR="004B3E19">
        <w:t xml:space="preserve"> listed below </w:t>
      </w:r>
      <w:r w:rsidR="004B3E19" w:rsidRPr="00965A1A">
        <w:t>must</w:t>
      </w:r>
      <w:r w:rsidR="004B3E19" w:rsidRPr="00EC63FD">
        <w:t xml:space="preserve"> </w:t>
      </w:r>
      <w:r w:rsidR="004B3E19" w:rsidRPr="00965A1A">
        <w:t>include claw-back amount</w:t>
      </w:r>
      <w:r w:rsidR="004B3E19">
        <w:t xml:space="preserve">s, which are calculated using the process set out in this schedule, as a </w:t>
      </w:r>
      <w:r w:rsidR="004B3E19" w:rsidRPr="004B3E19">
        <w:rPr>
          <w:b/>
        </w:rPr>
        <w:t>recoverable cost</w:t>
      </w:r>
      <w:r w:rsidR="004B3E19">
        <w:t xml:space="preserve"> </w:t>
      </w:r>
      <w:r w:rsidR="004B3E19" w:rsidRPr="003506C1">
        <w:t>for</w:t>
      </w:r>
      <w:r w:rsidR="004B3E19">
        <w:t xml:space="preserve"> each</w:t>
      </w:r>
      <w:r w:rsidR="004B3E19" w:rsidRPr="00965A1A">
        <w:t xml:space="preserve"> </w:t>
      </w:r>
      <w:r w:rsidR="004B3E19" w:rsidRPr="004B3E19">
        <w:rPr>
          <w:b/>
        </w:rPr>
        <w:t>assessment period</w:t>
      </w:r>
      <w:r w:rsidR="004B3E19">
        <w:t>:</w:t>
      </w:r>
    </w:p>
    <w:p w:rsidR="004B3E19" w:rsidRDefault="004B3E19" w:rsidP="00EF14A3">
      <w:pPr>
        <w:pStyle w:val="Para4"/>
        <w:numPr>
          <w:ilvl w:val="0"/>
          <w:numId w:val="0"/>
        </w:numPr>
        <w:ind w:left="1560"/>
      </w:pPr>
      <w:r>
        <w:t>[XXX].</w:t>
      </w:r>
    </w:p>
    <w:p w:rsidR="00010C0D" w:rsidRPr="00010C0D" w:rsidRDefault="00010C0D" w:rsidP="00010C0D">
      <w:pPr>
        <w:pStyle w:val="BodyText"/>
        <w:numPr>
          <w:ilvl w:val="2"/>
          <w:numId w:val="95"/>
        </w:numPr>
        <w:rPr>
          <w:rFonts w:asciiTheme="minorHAnsi" w:hAnsiTheme="minorHAnsi"/>
        </w:rPr>
      </w:pPr>
      <w:r w:rsidRPr="00010C0D">
        <w:rPr>
          <w:rFonts w:asciiTheme="minorHAnsi" w:hAnsiTheme="minorHAnsi"/>
        </w:rPr>
        <w:t xml:space="preserve">For </w:t>
      </w:r>
      <w:r>
        <w:rPr>
          <w:rFonts w:asciiTheme="minorHAnsi" w:hAnsiTheme="minorHAnsi"/>
        </w:rPr>
        <w:t xml:space="preserve">the avoidance of doubt, claw-back amounts must be treated as a negative </w:t>
      </w:r>
      <w:r w:rsidRPr="00010C0D">
        <w:rPr>
          <w:rFonts w:asciiTheme="minorHAnsi" w:hAnsiTheme="minorHAnsi"/>
          <w:b/>
        </w:rPr>
        <w:t>recoverable cost</w:t>
      </w:r>
      <w:r>
        <w:rPr>
          <w:rFonts w:asciiTheme="minorHAnsi" w:hAnsiTheme="minorHAnsi"/>
        </w:rPr>
        <w:t>.</w:t>
      </w:r>
    </w:p>
    <w:p w:rsidR="00E035FB" w:rsidRPr="00E035FB" w:rsidRDefault="00E035FB" w:rsidP="00E035FB">
      <w:pPr>
        <w:pStyle w:val="Tabletext1"/>
        <w:rPr>
          <w:rFonts w:asciiTheme="minorHAnsi" w:hAnsiTheme="minorHAnsi"/>
          <w:b/>
          <w:sz w:val="24"/>
        </w:rPr>
      </w:pPr>
      <w:r w:rsidRPr="00E035FB">
        <w:rPr>
          <w:rFonts w:asciiTheme="minorHAnsi" w:hAnsiTheme="minorHAnsi"/>
          <w:b/>
          <w:sz w:val="24"/>
        </w:rPr>
        <w:t>Step 1</w:t>
      </w:r>
    </w:p>
    <w:p w:rsidR="00E035FB" w:rsidRPr="00E035FB" w:rsidRDefault="00E035FB" w:rsidP="004B3E19">
      <w:pPr>
        <w:pStyle w:val="BodyText"/>
        <w:numPr>
          <w:ilvl w:val="2"/>
          <w:numId w:val="95"/>
        </w:numPr>
        <w:rPr>
          <w:rFonts w:asciiTheme="minorHAnsi" w:hAnsiTheme="minorHAnsi"/>
          <w:szCs w:val="24"/>
        </w:rPr>
      </w:pPr>
      <w:r w:rsidRPr="00E035FB">
        <w:rPr>
          <w:rFonts w:asciiTheme="minorHAnsi" w:hAnsiTheme="minorHAnsi"/>
          <w:szCs w:val="24"/>
        </w:rPr>
        <w:t xml:space="preserve">The claw-back required for each of the periods (a) to (e) below, is calculated using </w:t>
      </w:r>
      <w:r w:rsidR="004B3E19">
        <w:rPr>
          <w:rFonts w:asciiTheme="minorHAnsi" w:hAnsiTheme="minorHAnsi"/>
        </w:rPr>
        <w:t>E</w:t>
      </w:r>
      <w:r w:rsidRPr="00E035FB">
        <w:rPr>
          <w:rFonts w:asciiTheme="minorHAnsi" w:hAnsiTheme="minorHAnsi"/>
          <w:szCs w:val="24"/>
        </w:rPr>
        <w:t xml:space="preserve">quation </w:t>
      </w:r>
      <w:r w:rsidR="004B3E19">
        <w:rPr>
          <w:rFonts w:asciiTheme="minorHAnsi" w:hAnsiTheme="minorHAnsi"/>
        </w:rPr>
        <w:t>6</w:t>
      </w:r>
      <w:r w:rsidRPr="00E035FB">
        <w:rPr>
          <w:rFonts w:asciiTheme="minorHAnsi" w:hAnsiTheme="minorHAnsi"/>
          <w:szCs w:val="24"/>
        </w:rPr>
        <w:t>:</w:t>
      </w:r>
      <w:r w:rsidRPr="00E035FB">
        <w:rPr>
          <w:rFonts w:asciiTheme="minorHAnsi" w:hAnsiTheme="minorHAnsi"/>
          <w:szCs w:val="24"/>
        </w:rPr>
        <w:tab/>
      </w:r>
    </w:p>
    <w:p w:rsidR="00E035FB" w:rsidRPr="004B3E19" w:rsidRDefault="00E035FB" w:rsidP="004B3E19">
      <w:pPr>
        <w:pStyle w:val="Para4"/>
        <w:numPr>
          <w:ilvl w:val="3"/>
          <w:numId w:val="99"/>
        </w:numPr>
        <w:tabs>
          <w:tab w:val="clear" w:pos="2835"/>
          <w:tab w:val="num" w:pos="1560"/>
        </w:tabs>
        <w:ind w:left="1560"/>
      </w:pPr>
      <w:r w:rsidRPr="004B3E19">
        <w:t>1 Oct 2008 – 30 Sep 2009</w:t>
      </w:r>
      <w:r w:rsidR="004E7C36">
        <w:t>, where</w:t>
      </w:r>
      <w:r w:rsidRPr="004B3E19">
        <w:t xml:space="preserve"> t = 2009</w:t>
      </w:r>
      <w:r w:rsidR="004E7C36">
        <w:t>;</w:t>
      </w:r>
    </w:p>
    <w:p w:rsidR="00E035FB" w:rsidRPr="004B3E19" w:rsidRDefault="00E035FB" w:rsidP="004B3E19">
      <w:pPr>
        <w:pStyle w:val="Para4"/>
        <w:numPr>
          <w:ilvl w:val="3"/>
          <w:numId w:val="97"/>
        </w:numPr>
        <w:tabs>
          <w:tab w:val="clear" w:pos="2835"/>
          <w:tab w:val="num" w:pos="1560"/>
        </w:tabs>
        <w:ind w:left="1560"/>
      </w:pPr>
      <w:r w:rsidRPr="004B3E19">
        <w:t>1 Oct 2009 – 30 Sep 2010</w:t>
      </w:r>
      <w:r w:rsidR="004E7C36">
        <w:t xml:space="preserve">, where </w:t>
      </w:r>
      <w:r w:rsidRPr="004B3E19">
        <w:t>t = 2010</w:t>
      </w:r>
      <w:r w:rsidR="004E7C36">
        <w:t>;</w:t>
      </w:r>
    </w:p>
    <w:p w:rsidR="00E035FB" w:rsidRPr="004B3E19" w:rsidRDefault="00E035FB" w:rsidP="004B3E19">
      <w:pPr>
        <w:pStyle w:val="Para4"/>
        <w:numPr>
          <w:ilvl w:val="3"/>
          <w:numId w:val="97"/>
        </w:numPr>
        <w:tabs>
          <w:tab w:val="clear" w:pos="2835"/>
          <w:tab w:val="num" w:pos="1560"/>
        </w:tabs>
        <w:ind w:left="1560"/>
      </w:pPr>
      <w:r w:rsidRPr="004B3E19">
        <w:t>1 Oct 2010 – 30 Sep 2011</w:t>
      </w:r>
      <w:r w:rsidR="004E7C36">
        <w:t>, where</w:t>
      </w:r>
      <w:r w:rsidRPr="004B3E19">
        <w:t xml:space="preserve"> t = 2011</w:t>
      </w:r>
      <w:r w:rsidR="004E7C36">
        <w:t>;</w:t>
      </w:r>
    </w:p>
    <w:p w:rsidR="00E035FB" w:rsidRPr="004B3E19" w:rsidRDefault="00E035FB" w:rsidP="004B3E19">
      <w:pPr>
        <w:pStyle w:val="Para4"/>
        <w:numPr>
          <w:ilvl w:val="3"/>
          <w:numId w:val="97"/>
        </w:numPr>
        <w:tabs>
          <w:tab w:val="clear" w:pos="2835"/>
          <w:tab w:val="num" w:pos="1560"/>
        </w:tabs>
        <w:ind w:left="1560"/>
      </w:pPr>
      <w:r w:rsidRPr="004B3E19">
        <w:t>1 Oct 2011 – 30 Sep 2012</w:t>
      </w:r>
      <w:r w:rsidR="004E7C36">
        <w:t xml:space="preserve">, where </w:t>
      </w:r>
      <w:r w:rsidRPr="004B3E19">
        <w:t>t = 2012</w:t>
      </w:r>
      <w:r w:rsidR="004E7C36">
        <w:t>; and</w:t>
      </w:r>
    </w:p>
    <w:p w:rsidR="00E035FB" w:rsidRPr="004B3E19" w:rsidRDefault="00E035FB" w:rsidP="004B3E19">
      <w:pPr>
        <w:pStyle w:val="Para4"/>
        <w:numPr>
          <w:ilvl w:val="3"/>
          <w:numId w:val="97"/>
        </w:numPr>
        <w:tabs>
          <w:tab w:val="clear" w:pos="2835"/>
          <w:tab w:val="num" w:pos="1560"/>
        </w:tabs>
        <w:ind w:left="1560"/>
      </w:pPr>
      <w:r w:rsidRPr="004B3E19">
        <w:t>1 Oct 2012 – 2</w:t>
      </w:r>
      <w:r w:rsidR="00942D23">
        <w:t>8</w:t>
      </w:r>
      <w:r w:rsidRPr="004B3E19">
        <w:t xml:space="preserve"> Feb 2013</w:t>
      </w:r>
      <w:r w:rsidR="004E7C36">
        <w:t>, where</w:t>
      </w:r>
      <w:r w:rsidRPr="004B3E19">
        <w:t xml:space="preserve"> t = 2013 </w:t>
      </w:r>
      <w:r w:rsidR="004E7C36">
        <w:t>(</w:t>
      </w:r>
      <w:r w:rsidRPr="004B3E19">
        <w:t>this period is 5 months</w:t>
      </w:r>
      <w:r w:rsidR="004E7C36">
        <w:t>).</w:t>
      </w:r>
    </w:p>
    <w:p w:rsidR="00E035FB" w:rsidRPr="00BF620B" w:rsidRDefault="004B3E19" w:rsidP="00BD0043">
      <w:pPr>
        <w:pStyle w:val="Tablebodytext"/>
        <w:ind w:left="851"/>
        <w:rPr>
          <w:b/>
          <w:position w:val="-12"/>
        </w:rPr>
      </w:pPr>
      <w:r w:rsidRPr="005A67FA">
        <w:rPr>
          <w:b/>
          <w:position w:val="-12"/>
        </w:rPr>
        <w:t xml:space="preserve">Equation </w:t>
      </w:r>
      <w:r>
        <w:rPr>
          <w:b/>
          <w:position w:val="-12"/>
        </w:rPr>
        <w:t>6</w:t>
      </w:r>
    </w:p>
    <w:p w:rsidR="00BD0043" w:rsidRDefault="00BD0043" w:rsidP="00BD0043">
      <w:pPr>
        <w:pStyle w:val="Tabletext1"/>
        <w:tabs>
          <w:tab w:val="left" w:pos="3119"/>
          <w:tab w:val="left" w:pos="6946"/>
        </w:tabs>
        <w:spacing w:before="0" w:after="240"/>
        <w:ind w:left="851"/>
        <w:rPr>
          <w:rFonts w:asciiTheme="minorHAnsi" w:hAnsiTheme="minorHAnsi"/>
          <w:position w:val="-12"/>
          <w:sz w:val="24"/>
          <w:vertAlign w:val="subscript"/>
        </w:rPr>
      </w:pPr>
      <w:proofErr w:type="spellStart"/>
      <w:r w:rsidRPr="00E035FB">
        <w:rPr>
          <w:rFonts w:asciiTheme="minorHAnsi" w:hAnsiTheme="minorHAnsi"/>
          <w:position w:val="-12"/>
          <w:sz w:val="24"/>
        </w:rPr>
        <w:t>CR</w:t>
      </w:r>
      <w:r w:rsidRPr="00E035FB">
        <w:rPr>
          <w:rFonts w:asciiTheme="minorHAnsi" w:hAnsiTheme="minorHAnsi"/>
          <w:position w:val="-12"/>
          <w:sz w:val="24"/>
          <w:vertAlign w:val="subscript"/>
        </w:rPr>
        <w:t>t</w:t>
      </w:r>
      <w:proofErr w:type="spellEnd"/>
      <w:r w:rsidRPr="00E035FB">
        <w:rPr>
          <w:rFonts w:asciiTheme="minorHAnsi" w:hAnsiTheme="minorHAnsi"/>
          <w:position w:val="-12"/>
          <w:sz w:val="24"/>
        </w:rPr>
        <w:t xml:space="preserve"> = (</w:t>
      </w:r>
      <w:proofErr w:type="spellStart"/>
      <w:r w:rsidRPr="00E035FB">
        <w:rPr>
          <w:rFonts w:asciiTheme="minorHAnsi" w:hAnsiTheme="minorHAnsi"/>
          <w:position w:val="-12"/>
          <w:sz w:val="24"/>
        </w:rPr>
        <w:t>NetRev</w:t>
      </w:r>
      <w:r w:rsidRPr="00E035FB">
        <w:rPr>
          <w:rFonts w:asciiTheme="minorHAnsi" w:hAnsiTheme="minorHAnsi"/>
          <w:position w:val="-12"/>
          <w:sz w:val="24"/>
          <w:vertAlign w:val="subscript"/>
        </w:rPr>
        <w:t>t</w:t>
      </w:r>
      <w:proofErr w:type="spellEnd"/>
      <w:r w:rsidRPr="00E035FB">
        <w:rPr>
          <w:rFonts w:asciiTheme="minorHAnsi" w:hAnsiTheme="minorHAnsi"/>
          <w:position w:val="-12"/>
          <w:sz w:val="24"/>
        </w:rPr>
        <w:t xml:space="preserve"> – </w:t>
      </w:r>
      <w:proofErr w:type="spellStart"/>
      <w:r w:rsidRPr="00E035FB">
        <w:rPr>
          <w:rFonts w:asciiTheme="minorHAnsi" w:hAnsiTheme="minorHAnsi"/>
          <w:position w:val="-12"/>
          <w:sz w:val="24"/>
        </w:rPr>
        <w:t>RR</w:t>
      </w:r>
      <w:r w:rsidRPr="00E035FB">
        <w:rPr>
          <w:rFonts w:asciiTheme="minorHAnsi" w:hAnsiTheme="minorHAnsi"/>
          <w:position w:val="-12"/>
          <w:sz w:val="24"/>
          <w:vertAlign w:val="subscript"/>
        </w:rPr>
        <w:t>t</w:t>
      </w:r>
      <w:proofErr w:type="spellEnd"/>
      <w:proofErr w:type="gramStart"/>
      <w:r w:rsidRPr="00E035FB">
        <w:rPr>
          <w:rFonts w:asciiTheme="minorHAnsi" w:hAnsiTheme="minorHAnsi"/>
          <w:position w:val="-12"/>
          <w:sz w:val="24"/>
        </w:rPr>
        <w:t>)(</w:t>
      </w:r>
      <w:proofErr w:type="gramEnd"/>
      <w:r w:rsidRPr="00E035FB">
        <w:rPr>
          <w:rFonts w:asciiTheme="minorHAnsi" w:hAnsiTheme="minorHAnsi"/>
          <w:position w:val="-12"/>
          <w:sz w:val="24"/>
        </w:rPr>
        <w:t>1 + r)</w:t>
      </w:r>
      <w:r w:rsidRPr="00E035FB">
        <w:rPr>
          <w:rFonts w:asciiTheme="minorHAnsi" w:hAnsiTheme="minorHAnsi"/>
          <w:position w:val="-12"/>
          <w:sz w:val="24"/>
          <w:vertAlign w:val="superscript"/>
        </w:rPr>
        <w:t>n</w:t>
      </w:r>
      <w:r w:rsidRPr="00E035FB">
        <w:rPr>
          <w:rFonts w:asciiTheme="minorHAnsi" w:hAnsiTheme="minorHAnsi"/>
          <w:position w:val="-12"/>
          <w:sz w:val="24"/>
          <w:vertAlign w:val="subscript"/>
        </w:rPr>
        <w:t xml:space="preserve"> </w:t>
      </w:r>
    </w:p>
    <w:p w:rsidR="00E035FB" w:rsidRPr="00E035FB" w:rsidRDefault="00E035FB" w:rsidP="00BD0043">
      <w:pPr>
        <w:pStyle w:val="Tabletext1"/>
        <w:spacing w:before="0" w:after="240"/>
        <w:ind w:left="851"/>
        <w:rPr>
          <w:rFonts w:asciiTheme="minorHAnsi" w:hAnsiTheme="minorHAnsi"/>
          <w:sz w:val="24"/>
        </w:rPr>
      </w:pPr>
      <w:proofErr w:type="gramStart"/>
      <w:r w:rsidRPr="00E035FB">
        <w:rPr>
          <w:rFonts w:asciiTheme="minorHAnsi" w:hAnsiTheme="minorHAnsi"/>
          <w:sz w:val="24"/>
        </w:rPr>
        <w:t>where</w:t>
      </w:r>
      <w:proofErr w:type="gramEnd"/>
      <w:r w:rsidRPr="00E035FB">
        <w:rPr>
          <w:rFonts w:asciiTheme="minorHAnsi" w:hAnsiTheme="minorHAnsi"/>
          <w:sz w:val="24"/>
        </w:rPr>
        <w:t>:</w:t>
      </w:r>
    </w:p>
    <w:p w:rsidR="004A3C7F" w:rsidRDefault="00E035FB" w:rsidP="00BD0043">
      <w:pPr>
        <w:pStyle w:val="Tabletext1"/>
        <w:spacing w:before="0" w:after="240"/>
        <w:ind w:left="1701" w:hanging="851"/>
        <w:rPr>
          <w:rFonts w:asciiTheme="minorHAnsi" w:hAnsiTheme="minorHAnsi"/>
          <w:sz w:val="24"/>
        </w:rPr>
      </w:pPr>
      <w:proofErr w:type="spellStart"/>
      <w:r w:rsidRPr="00E035FB">
        <w:rPr>
          <w:rFonts w:asciiTheme="minorHAnsi" w:hAnsiTheme="minorHAnsi"/>
          <w:sz w:val="24"/>
        </w:rPr>
        <w:t>NetRev</w:t>
      </w:r>
      <w:r w:rsidRPr="00E035FB">
        <w:rPr>
          <w:rFonts w:asciiTheme="minorHAnsi" w:hAnsiTheme="minorHAnsi"/>
          <w:sz w:val="24"/>
          <w:vertAlign w:val="subscript"/>
        </w:rPr>
        <w:t>t</w:t>
      </w:r>
      <w:proofErr w:type="spellEnd"/>
      <w:r w:rsidRPr="00E035FB">
        <w:rPr>
          <w:rFonts w:asciiTheme="minorHAnsi" w:hAnsiTheme="minorHAnsi"/>
          <w:sz w:val="24"/>
        </w:rPr>
        <w:tab/>
      </w:r>
      <w:r w:rsidR="00010C0D">
        <w:rPr>
          <w:rFonts w:asciiTheme="minorHAnsi" w:hAnsiTheme="minorHAnsi"/>
          <w:sz w:val="24"/>
        </w:rPr>
        <w:t>is the n</w:t>
      </w:r>
      <w:r w:rsidRPr="00E035FB">
        <w:rPr>
          <w:rFonts w:asciiTheme="minorHAnsi" w:hAnsiTheme="minorHAnsi"/>
          <w:sz w:val="24"/>
        </w:rPr>
        <w:t>et revenue being</w:t>
      </w:r>
      <w:r w:rsidR="004A3C7F">
        <w:rPr>
          <w:rFonts w:asciiTheme="minorHAnsi" w:hAnsiTheme="minorHAnsi"/>
          <w:sz w:val="24"/>
        </w:rPr>
        <w:t>:</w:t>
      </w:r>
    </w:p>
    <w:p w:rsidR="00942D23" w:rsidRPr="00942D23" w:rsidRDefault="004A3C7F" w:rsidP="00942D23">
      <w:pPr>
        <w:pStyle w:val="Para5"/>
        <w:numPr>
          <w:ilvl w:val="4"/>
          <w:numId w:val="97"/>
        </w:numPr>
        <w:tabs>
          <w:tab w:val="clear" w:pos="3544"/>
          <w:tab w:val="num" w:pos="2410"/>
        </w:tabs>
        <w:ind w:left="2410"/>
        <w:rPr>
          <w:rFonts w:asciiTheme="minorHAnsi" w:hAnsiTheme="minorHAnsi"/>
        </w:rPr>
      </w:pPr>
      <w:r w:rsidRPr="00942D23">
        <w:rPr>
          <w:rFonts w:asciiTheme="minorHAnsi" w:hAnsiTheme="minorHAnsi"/>
        </w:rPr>
        <w:t xml:space="preserve">for </w:t>
      </w:r>
      <w:r w:rsidRPr="00942D23">
        <w:rPr>
          <w:rFonts w:asciiTheme="minorHAnsi" w:hAnsiTheme="minorHAnsi"/>
          <w:b/>
        </w:rPr>
        <w:t>pricing periods</w:t>
      </w:r>
      <w:r w:rsidRPr="00942D23">
        <w:rPr>
          <w:rFonts w:asciiTheme="minorHAnsi" w:hAnsiTheme="minorHAnsi"/>
        </w:rPr>
        <w:t xml:space="preserve"> t=2008 to 2012</w:t>
      </w:r>
      <w:r w:rsidR="00942D23" w:rsidRPr="00942D23">
        <w:rPr>
          <w:rFonts w:asciiTheme="minorHAnsi" w:hAnsiTheme="minorHAnsi"/>
        </w:rPr>
        <w:t>,</w:t>
      </w:r>
      <w:r w:rsidRPr="00942D23">
        <w:rPr>
          <w:rFonts w:asciiTheme="minorHAnsi" w:hAnsiTheme="minorHAnsi"/>
        </w:rPr>
        <w:t xml:space="preserve"> </w:t>
      </w:r>
      <w:r w:rsidR="00E035FB" w:rsidRPr="00942D23">
        <w:rPr>
          <w:rFonts w:asciiTheme="minorHAnsi" w:hAnsiTheme="minorHAnsi"/>
        </w:rPr>
        <w:t xml:space="preserve">the actual revenue relating to </w:t>
      </w:r>
      <w:r w:rsidR="00E035FB" w:rsidRPr="00942D23">
        <w:rPr>
          <w:rFonts w:asciiTheme="minorHAnsi" w:hAnsiTheme="minorHAnsi"/>
          <w:b/>
        </w:rPr>
        <w:t xml:space="preserve">gas </w:t>
      </w:r>
      <w:r w:rsidR="00BD0043" w:rsidRPr="00942D23">
        <w:rPr>
          <w:rFonts w:asciiTheme="minorHAnsi" w:hAnsiTheme="minorHAnsi"/>
          <w:b/>
        </w:rPr>
        <w:t>distribution</w:t>
      </w:r>
      <w:r w:rsidR="00E035FB" w:rsidRPr="00942D23">
        <w:rPr>
          <w:rFonts w:asciiTheme="minorHAnsi" w:hAnsiTheme="minorHAnsi"/>
          <w:b/>
        </w:rPr>
        <w:t xml:space="preserve"> services</w:t>
      </w:r>
      <w:r w:rsidR="00E035FB" w:rsidRPr="00942D23">
        <w:rPr>
          <w:rFonts w:asciiTheme="minorHAnsi" w:hAnsiTheme="minorHAnsi"/>
        </w:rPr>
        <w:t xml:space="preserve"> less actual </w:t>
      </w:r>
      <w:r w:rsidR="00E035FB" w:rsidRPr="00942D23">
        <w:rPr>
          <w:rFonts w:asciiTheme="minorHAnsi" w:hAnsiTheme="minorHAnsi"/>
          <w:b/>
        </w:rPr>
        <w:t>pass-through</w:t>
      </w:r>
      <w:r w:rsidR="00BD0043" w:rsidRPr="00942D23">
        <w:rPr>
          <w:rFonts w:asciiTheme="minorHAnsi" w:hAnsiTheme="minorHAnsi"/>
          <w:b/>
        </w:rPr>
        <w:t xml:space="preserve"> costs</w:t>
      </w:r>
      <w:r w:rsidR="00BD0043" w:rsidRPr="00942D23">
        <w:rPr>
          <w:rFonts w:asciiTheme="minorHAnsi" w:hAnsiTheme="minorHAnsi"/>
        </w:rPr>
        <w:t xml:space="preserve"> and </w:t>
      </w:r>
      <w:r w:rsidR="00E035FB" w:rsidRPr="00942D23">
        <w:rPr>
          <w:rFonts w:asciiTheme="minorHAnsi" w:hAnsiTheme="minorHAnsi"/>
          <w:b/>
        </w:rPr>
        <w:t>recoverable costs</w:t>
      </w:r>
      <w:r w:rsidR="00E035FB" w:rsidRPr="00942D23">
        <w:rPr>
          <w:rFonts w:asciiTheme="minorHAnsi" w:hAnsiTheme="minorHAnsi"/>
        </w:rPr>
        <w:t xml:space="preserve"> less other regulated income</w:t>
      </w:r>
      <w:r w:rsidR="00942D23" w:rsidRPr="00942D23">
        <w:rPr>
          <w:rFonts w:asciiTheme="minorHAnsi" w:hAnsiTheme="minorHAnsi"/>
        </w:rPr>
        <w:t>;</w:t>
      </w:r>
    </w:p>
    <w:p w:rsidR="00E035FB" w:rsidRPr="00942D23" w:rsidRDefault="00942D23" w:rsidP="00942D23">
      <w:pPr>
        <w:pStyle w:val="Para5"/>
        <w:numPr>
          <w:ilvl w:val="4"/>
          <w:numId w:val="97"/>
        </w:numPr>
        <w:tabs>
          <w:tab w:val="clear" w:pos="3544"/>
          <w:tab w:val="num" w:pos="2410"/>
        </w:tabs>
        <w:ind w:left="2410"/>
        <w:rPr>
          <w:rFonts w:asciiTheme="minorHAnsi" w:hAnsiTheme="minorHAnsi"/>
        </w:rPr>
      </w:pPr>
      <w:r>
        <w:rPr>
          <w:rFonts w:asciiTheme="minorHAnsi" w:hAnsiTheme="minorHAnsi"/>
        </w:rPr>
        <w:t>for the 5 month period</w:t>
      </w:r>
      <w:r w:rsidR="00E035FB" w:rsidRPr="00942D23">
        <w:rPr>
          <w:rFonts w:asciiTheme="minorHAnsi" w:hAnsiTheme="minorHAnsi"/>
        </w:rPr>
        <w:t xml:space="preserve"> t = 2013, the actual revenue </w:t>
      </w:r>
      <w:r>
        <w:rPr>
          <w:rFonts w:asciiTheme="minorHAnsi" w:hAnsiTheme="minorHAnsi"/>
        </w:rPr>
        <w:t>in</w:t>
      </w:r>
      <w:r w:rsidR="00E035FB" w:rsidRPr="00942D23">
        <w:rPr>
          <w:rFonts w:asciiTheme="minorHAnsi" w:hAnsiTheme="minorHAnsi"/>
        </w:rPr>
        <w:t xml:space="preserve"> 1 Oct 2012 – 28 Feb 2013</w:t>
      </w:r>
      <w:r>
        <w:rPr>
          <w:rFonts w:asciiTheme="minorHAnsi" w:hAnsiTheme="minorHAnsi"/>
        </w:rPr>
        <w:t xml:space="preserve"> </w:t>
      </w:r>
      <w:r w:rsidRPr="00942D23">
        <w:rPr>
          <w:rFonts w:asciiTheme="minorHAnsi" w:hAnsiTheme="minorHAnsi"/>
        </w:rPr>
        <w:t xml:space="preserve">relating to </w:t>
      </w:r>
      <w:r w:rsidRPr="00942D23">
        <w:rPr>
          <w:rFonts w:asciiTheme="minorHAnsi" w:hAnsiTheme="minorHAnsi"/>
          <w:b/>
        </w:rPr>
        <w:t>gas distribution services</w:t>
      </w:r>
      <w:r w:rsidRPr="00942D23">
        <w:rPr>
          <w:rFonts w:asciiTheme="minorHAnsi" w:hAnsiTheme="minorHAnsi"/>
        </w:rPr>
        <w:t xml:space="preserve"> less actual </w:t>
      </w:r>
      <w:r w:rsidRPr="00942D23">
        <w:rPr>
          <w:rFonts w:asciiTheme="minorHAnsi" w:hAnsiTheme="minorHAnsi"/>
          <w:b/>
        </w:rPr>
        <w:t>pass-through costs</w:t>
      </w:r>
      <w:r w:rsidRPr="00942D23">
        <w:rPr>
          <w:rFonts w:asciiTheme="minorHAnsi" w:hAnsiTheme="minorHAnsi"/>
        </w:rPr>
        <w:t xml:space="preserve"> and </w:t>
      </w:r>
      <w:r w:rsidRPr="00942D23">
        <w:rPr>
          <w:rFonts w:asciiTheme="minorHAnsi" w:hAnsiTheme="minorHAnsi"/>
          <w:b/>
        </w:rPr>
        <w:t>recoverable costs</w:t>
      </w:r>
      <w:r w:rsidRPr="00942D23">
        <w:rPr>
          <w:rFonts w:asciiTheme="minorHAnsi" w:hAnsiTheme="minorHAnsi"/>
        </w:rPr>
        <w:t xml:space="preserve"> less other regulated income</w:t>
      </w:r>
      <w:r w:rsidR="00E035FB" w:rsidRPr="00942D23">
        <w:rPr>
          <w:rFonts w:asciiTheme="minorHAnsi" w:hAnsiTheme="minorHAnsi"/>
        </w:rPr>
        <w:t xml:space="preserve">. </w:t>
      </w:r>
    </w:p>
    <w:p w:rsidR="00E035FB" w:rsidRPr="00E035FB" w:rsidRDefault="00E035FB" w:rsidP="00BD0043">
      <w:pPr>
        <w:pStyle w:val="Tabletext1"/>
        <w:spacing w:before="0" w:after="240"/>
        <w:ind w:left="1701" w:hanging="851"/>
        <w:rPr>
          <w:rFonts w:asciiTheme="minorHAnsi" w:hAnsiTheme="minorHAnsi"/>
          <w:sz w:val="24"/>
        </w:rPr>
      </w:pPr>
      <w:proofErr w:type="gramStart"/>
      <w:r w:rsidRPr="00E035FB">
        <w:rPr>
          <w:rFonts w:asciiTheme="minorHAnsi" w:hAnsiTheme="minorHAnsi"/>
          <w:sz w:val="24"/>
        </w:rPr>
        <w:t>r</w:t>
      </w:r>
      <w:proofErr w:type="gramEnd"/>
      <w:r w:rsidRPr="00E035FB">
        <w:rPr>
          <w:rFonts w:asciiTheme="minorHAnsi" w:hAnsiTheme="minorHAnsi"/>
          <w:sz w:val="24"/>
        </w:rPr>
        <w:tab/>
      </w:r>
      <w:r w:rsidR="00010C0D">
        <w:rPr>
          <w:rFonts w:asciiTheme="minorHAnsi" w:hAnsiTheme="minorHAnsi"/>
          <w:sz w:val="24"/>
        </w:rPr>
        <w:t xml:space="preserve">is the </w:t>
      </w:r>
      <w:r w:rsidRPr="00E035FB">
        <w:rPr>
          <w:rFonts w:asciiTheme="minorHAnsi" w:hAnsiTheme="minorHAnsi"/>
          <w:sz w:val="24"/>
        </w:rPr>
        <w:t xml:space="preserve">discount rate </w:t>
      </w:r>
      <w:r w:rsidR="00942D23">
        <w:rPr>
          <w:rFonts w:asciiTheme="minorHAnsi" w:hAnsiTheme="minorHAnsi"/>
          <w:sz w:val="24"/>
        </w:rPr>
        <w:t>of</w:t>
      </w:r>
      <w:r w:rsidRPr="00E035FB">
        <w:rPr>
          <w:rFonts w:asciiTheme="minorHAnsi" w:hAnsiTheme="minorHAnsi"/>
          <w:sz w:val="24"/>
        </w:rPr>
        <w:t xml:space="preserve"> [y]%</w:t>
      </w:r>
    </w:p>
    <w:p w:rsidR="00C268AF" w:rsidRPr="00E035FB" w:rsidRDefault="00C268AF" w:rsidP="00C268AF">
      <w:pPr>
        <w:pStyle w:val="Tabletext1"/>
        <w:spacing w:before="0" w:after="240"/>
        <w:ind w:left="1701" w:hanging="850"/>
        <w:rPr>
          <w:rFonts w:asciiTheme="minorHAnsi" w:hAnsiTheme="minorHAnsi"/>
          <w:sz w:val="24"/>
        </w:rPr>
      </w:pPr>
      <w:proofErr w:type="gramStart"/>
      <w:r w:rsidRPr="00E035FB">
        <w:rPr>
          <w:rFonts w:asciiTheme="minorHAnsi" w:hAnsiTheme="minorHAnsi"/>
          <w:sz w:val="24"/>
        </w:rPr>
        <w:t>n</w:t>
      </w:r>
      <w:proofErr w:type="gramEnd"/>
      <w:r w:rsidRPr="00E035FB">
        <w:rPr>
          <w:rFonts w:asciiTheme="minorHAnsi" w:hAnsiTheme="minorHAnsi"/>
          <w:sz w:val="24"/>
        </w:rPr>
        <w:tab/>
        <w:t>for the period (a) n = 5; (b) n = 4; (c</w:t>
      </w:r>
      <w:r>
        <w:rPr>
          <w:rFonts w:asciiTheme="minorHAnsi" w:hAnsiTheme="minorHAnsi"/>
          <w:sz w:val="24"/>
        </w:rPr>
        <w:t>) n = 3; (d) n = 2; (e) n = 1</w:t>
      </w:r>
    </w:p>
    <w:p w:rsidR="00C268AF" w:rsidRPr="00E035FB" w:rsidRDefault="00C268AF" w:rsidP="00C268AF">
      <w:pPr>
        <w:pStyle w:val="Tabletext1"/>
        <w:spacing w:before="0" w:after="240"/>
        <w:ind w:left="1701" w:hanging="851"/>
        <w:rPr>
          <w:rFonts w:asciiTheme="minorHAnsi" w:hAnsiTheme="minorHAnsi"/>
          <w:sz w:val="24"/>
        </w:rPr>
      </w:pPr>
      <w:proofErr w:type="spellStart"/>
      <w:r w:rsidRPr="00E035FB">
        <w:rPr>
          <w:rFonts w:asciiTheme="minorHAnsi" w:hAnsiTheme="minorHAnsi"/>
          <w:sz w:val="24"/>
        </w:rPr>
        <w:t>RR</w:t>
      </w:r>
      <w:r w:rsidRPr="00E035FB">
        <w:rPr>
          <w:rFonts w:asciiTheme="minorHAnsi" w:hAnsiTheme="minorHAnsi"/>
          <w:sz w:val="24"/>
          <w:vertAlign w:val="subscript"/>
        </w:rPr>
        <w:t>t</w:t>
      </w:r>
      <w:proofErr w:type="spellEnd"/>
      <w:r w:rsidRPr="00E035FB">
        <w:rPr>
          <w:rFonts w:asciiTheme="minorHAnsi" w:hAnsiTheme="minorHAnsi"/>
          <w:sz w:val="24"/>
        </w:rPr>
        <w:tab/>
      </w:r>
      <w:r w:rsidR="00010C0D">
        <w:rPr>
          <w:rFonts w:asciiTheme="minorHAnsi" w:hAnsiTheme="minorHAnsi"/>
          <w:sz w:val="24"/>
        </w:rPr>
        <w:t>is the r</w:t>
      </w:r>
      <w:r w:rsidRPr="00E035FB">
        <w:rPr>
          <w:rFonts w:asciiTheme="minorHAnsi" w:hAnsiTheme="minorHAnsi"/>
          <w:sz w:val="24"/>
        </w:rPr>
        <w:t xml:space="preserve">egulated revenue for </w:t>
      </w:r>
      <w:r w:rsidRPr="004A3C7F">
        <w:rPr>
          <w:rFonts w:asciiTheme="minorHAnsi" w:hAnsiTheme="minorHAnsi"/>
          <w:b/>
          <w:sz w:val="24"/>
        </w:rPr>
        <w:t>pricing periods</w:t>
      </w:r>
      <w:r>
        <w:rPr>
          <w:rFonts w:asciiTheme="minorHAnsi" w:hAnsiTheme="minorHAnsi"/>
          <w:sz w:val="24"/>
        </w:rPr>
        <w:t xml:space="preserve"> </w:t>
      </w:r>
      <w:r w:rsidRPr="00E035FB">
        <w:rPr>
          <w:rFonts w:asciiTheme="minorHAnsi" w:hAnsiTheme="minorHAnsi"/>
          <w:sz w:val="24"/>
        </w:rPr>
        <w:t>t = 2008 to 201</w:t>
      </w:r>
      <w:r>
        <w:rPr>
          <w:rFonts w:asciiTheme="minorHAnsi" w:hAnsiTheme="minorHAnsi"/>
          <w:sz w:val="24"/>
        </w:rPr>
        <w:t>3, which is calculated using Equation 7 for t = 2008, Equation 8 for t = 2009 to 2012, and Equation 9 for t = 2013</w:t>
      </w:r>
    </w:p>
    <w:p w:rsidR="00C268AF" w:rsidRPr="00BF620B" w:rsidRDefault="00C268AF" w:rsidP="00812AD1">
      <w:pPr>
        <w:pStyle w:val="Tablebodytext"/>
        <w:keepNext/>
        <w:ind w:left="1701"/>
        <w:rPr>
          <w:b/>
          <w:position w:val="-12"/>
        </w:rPr>
      </w:pPr>
      <w:r w:rsidRPr="005A67FA">
        <w:rPr>
          <w:b/>
          <w:position w:val="-12"/>
        </w:rPr>
        <w:t xml:space="preserve">Equation </w:t>
      </w:r>
      <w:r>
        <w:rPr>
          <w:b/>
          <w:position w:val="-12"/>
        </w:rPr>
        <w:t>7</w:t>
      </w:r>
    </w:p>
    <w:p w:rsidR="00C268AF" w:rsidRDefault="00C268AF" w:rsidP="00C268AF">
      <w:pPr>
        <w:pStyle w:val="Tabletext1"/>
        <w:tabs>
          <w:tab w:val="left" w:pos="3119"/>
          <w:tab w:val="left" w:pos="6946"/>
        </w:tabs>
        <w:spacing w:before="0" w:after="240"/>
        <w:ind w:left="1701"/>
        <w:rPr>
          <w:rFonts w:asciiTheme="minorHAnsi" w:hAnsiTheme="minorHAnsi"/>
          <w:position w:val="-12"/>
          <w:sz w:val="24"/>
        </w:rPr>
      </w:pPr>
      <w:proofErr w:type="spellStart"/>
      <w:r w:rsidRPr="00E035FB">
        <w:rPr>
          <w:rFonts w:asciiTheme="minorHAnsi" w:hAnsiTheme="minorHAnsi"/>
          <w:position w:val="-12"/>
          <w:sz w:val="24"/>
        </w:rPr>
        <w:t>RR</w:t>
      </w:r>
      <w:r w:rsidRPr="00E035FB">
        <w:rPr>
          <w:rFonts w:asciiTheme="minorHAnsi" w:hAnsiTheme="minorHAnsi"/>
          <w:position w:val="-12"/>
          <w:sz w:val="24"/>
          <w:vertAlign w:val="subscript"/>
        </w:rPr>
        <w:t>2008</w:t>
      </w:r>
      <w:proofErr w:type="spellEnd"/>
      <w:r w:rsidRPr="00E035FB">
        <w:rPr>
          <w:rFonts w:asciiTheme="minorHAnsi" w:hAnsiTheme="minorHAnsi"/>
          <w:position w:val="-12"/>
          <w:sz w:val="24"/>
        </w:rPr>
        <w:t xml:space="preserve"> = </w:t>
      </w:r>
      <w:proofErr w:type="spellStart"/>
      <w:r w:rsidRPr="00E035FB">
        <w:rPr>
          <w:rFonts w:asciiTheme="minorHAnsi" w:hAnsiTheme="minorHAnsi"/>
          <w:position w:val="-12"/>
          <w:sz w:val="24"/>
        </w:rPr>
        <w:t>NetRev</w:t>
      </w:r>
      <w:r w:rsidRPr="00E035FB">
        <w:rPr>
          <w:rFonts w:asciiTheme="minorHAnsi" w:hAnsiTheme="minorHAnsi"/>
          <w:position w:val="-12"/>
          <w:sz w:val="24"/>
          <w:vertAlign w:val="subscript"/>
        </w:rPr>
        <w:t>2008</w:t>
      </w:r>
      <w:proofErr w:type="spellEnd"/>
      <w:r w:rsidRPr="00E035FB">
        <w:rPr>
          <w:rFonts w:asciiTheme="minorHAnsi" w:hAnsiTheme="minorHAnsi"/>
          <w:position w:val="-12"/>
          <w:sz w:val="24"/>
        </w:rPr>
        <w:t xml:space="preserve"> </w:t>
      </w:r>
    </w:p>
    <w:p w:rsidR="00C268AF" w:rsidRPr="00BF620B" w:rsidRDefault="00C268AF" w:rsidP="00C268AF">
      <w:pPr>
        <w:pStyle w:val="Tablebodytext"/>
        <w:ind w:left="1701"/>
        <w:rPr>
          <w:b/>
          <w:position w:val="-12"/>
        </w:rPr>
      </w:pPr>
      <w:r w:rsidRPr="005A67FA">
        <w:rPr>
          <w:b/>
          <w:position w:val="-12"/>
        </w:rPr>
        <w:t xml:space="preserve">Equation </w:t>
      </w:r>
      <w:r>
        <w:rPr>
          <w:b/>
          <w:position w:val="-12"/>
        </w:rPr>
        <w:t>8</w:t>
      </w:r>
    </w:p>
    <w:p w:rsidR="00C268AF" w:rsidRDefault="00C268AF" w:rsidP="00C268AF">
      <w:pPr>
        <w:pStyle w:val="Tabletext1"/>
        <w:tabs>
          <w:tab w:val="left" w:pos="3119"/>
          <w:tab w:val="left" w:pos="6946"/>
        </w:tabs>
        <w:spacing w:before="0" w:after="240"/>
        <w:ind w:left="1701"/>
        <w:rPr>
          <w:rFonts w:asciiTheme="minorHAnsi" w:hAnsiTheme="minorHAnsi" w:cs="Arial"/>
          <w:sz w:val="24"/>
        </w:rPr>
      </w:pPr>
      <w:proofErr w:type="spellStart"/>
      <w:r w:rsidRPr="00E035FB">
        <w:rPr>
          <w:rFonts w:asciiTheme="minorHAnsi" w:hAnsiTheme="minorHAnsi"/>
          <w:sz w:val="24"/>
        </w:rPr>
        <w:t>RR</w:t>
      </w:r>
      <w:r w:rsidRPr="00E035FB">
        <w:rPr>
          <w:rFonts w:asciiTheme="minorHAnsi" w:hAnsiTheme="minorHAnsi"/>
          <w:sz w:val="24"/>
          <w:vertAlign w:val="subscript"/>
        </w:rPr>
        <w:t>t</w:t>
      </w:r>
      <w:proofErr w:type="spellEnd"/>
      <w:r w:rsidRPr="00E035FB">
        <w:rPr>
          <w:rFonts w:asciiTheme="minorHAnsi" w:hAnsiTheme="minorHAnsi"/>
          <w:sz w:val="24"/>
        </w:rPr>
        <w:t xml:space="preserve"> = </w:t>
      </w:r>
      <w:proofErr w:type="spellStart"/>
      <w:r w:rsidRPr="00E035FB">
        <w:rPr>
          <w:rFonts w:asciiTheme="minorHAnsi" w:hAnsiTheme="minorHAnsi"/>
          <w:sz w:val="24"/>
        </w:rPr>
        <w:t>RR</w:t>
      </w:r>
      <w:r w:rsidRPr="00E035FB">
        <w:rPr>
          <w:rFonts w:asciiTheme="minorHAnsi" w:hAnsiTheme="minorHAnsi"/>
          <w:sz w:val="24"/>
          <w:vertAlign w:val="subscript"/>
        </w:rPr>
        <w:t>t</w:t>
      </w:r>
      <w:proofErr w:type="spellEnd"/>
      <w:r w:rsidRPr="00E035FB">
        <w:rPr>
          <w:rFonts w:asciiTheme="minorHAnsi" w:hAnsiTheme="minorHAnsi"/>
          <w:sz w:val="24"/>
          <w:vertAlign w:val="subscript"/>
        </w:rPr>
        <w:t>-1</w:t>
      </w:r>
      <w:r w:rsidRPr="00E035FB">
        <w:rPr>
          <w:rFonts w:asciiTheme="minorHAnsi" w:hAnsiTheme="minorHAnsi"/>
          <w:sz w:val="24"/>
        </w:rPr>
        <w:t xml:space="preserve">(1 + </w:t>
      </w:r>
      <w:proofErr w:type="spellStart"/>
      <w:r w:rsidRPr="00E035FB">
        <w:rPr>
          <w:rFonts w:asciiTheme="minorHAnsi" w:hAnsiTheme="minorHAnsi" w:cs="Arial"/>
          <w:sz w:val="24"/>
        </w:rPr>
        <w:t>Δ</w:t>
      </w:r>
      <w:r w:rsidRPr="00E035FB">
        <w:rPr>
          <w:rFonts w:asciiTheme="minorHAnsi" w:hAnsiTheme="minorHAnsi"/>
          <w:sz w:val="24"/>
        </w:rPr>
        <w:t>CPI</w:t>
      </w:r>
      <w:r w:rsidRPr="00E035FB">
        <w:rPr>
          <w:rFonts w:asciiTheme="minorHAnsi" w:hAnsiTheme="minorHAnsi"/>
          <w:sz w:val="24"/>
          <w:vertAlign w:val="subscript"/>
        </w:rPr>
        <w:t>t</w:t>
      </w:r>
      <w:proofErr w:type="spellEnd"/>
      <w:proofErr w:type="gramStart"/>
      <w:r w:rsidRPr="00E035FB">
        <w:rPr>
          <w:rFonts w:asciiTheme="minorHAnsi" w:hAnsiTheme="minorHAnsi"/>
          <w:sz w:val="24"/>
        </w:rPr>
        <w:t>)(</w:t>
      </w:r>
      <w:proofErr w:type="gramEnd"/>
      <w:r w:rsidRPr="00E035FB">
        <w:rPr>
          <w:rFonts w:asciiTheme="minorHAnsi" w:hAnsiTheme="minorHAnsi"/>
          <w:sz w:val="24"/>
        </w:rPr>
        <w:t xml:space="preserve">1 + </w:t>
      </w:r>
      <w:proofErr w:type="spellStart"/>
      <w:r w:rsidRPr="00E035FB">
        <w:rPr>
          <w:rFonts w:asciiTheme="minorHAnsi" w:hAnsiTheme="minorHAnsi" w:cs="Arial"/>
          <w:sz w:val="24"/>
        </w:rPr>
        <w:t>ΔCPR</w:t>
      </w:r>
      <w:r w:rsidRPr="00E035FB">
        <w:rPr>
          <w:rFonts w:asciiTheme="minorHAnsi" w:hAnsiTheme="minorHAnsi" w:cs="Arial"/>
          <w:sz w:val="24"/>
          <w:vertAlign w:val="subscript"/>
        </w:rPr>
        <w:t>t</w:t>
      </w:r>
      <w:proofErr w:type="spellEnd"/>
      <w:r w:rsidRPr="00E035FB">
        <w:rPr>
          <w:rFonts w:asciiTheme="minorHAnsi" w:hAnsiTheme="minorHAnsi" w:cs="Arial"/>
          <w:sz w:val="24"/>
        </w:rPr>
        <w:t>)</w:t>
      </w:r>
    </w:p>
    <w:p w:rsidR="00C268AF" w:rsidRPr="00BF620B" w:rsidRDefault="00C268AF" w:rsidP="00C268AF">
      <w:pPr>
        <w:pStyle w:val="Tablebodytext"/>
        <w:ind w:left="851" w:firstLine="850"/>
        <w:rPr>
          <w:b/>
          <w:position w:val="-12"/>
        </w:rPr>
      </w:pPr>
      <w:r w:rsidRPr="005A67FA">
        <w:rPr>
          <w:b/>
          <w:position w:val="-12"/>
        </w:rPr>
        <w:t xml:space="preserve">Equation </w:t>
      </w:r>
      <w:r>
        <w:rPr>
          <w:b/>
          <w:position w:val="-12"/>
        </w:rPr>
        <w:t>9</w:t>
      </w:r>
    </w:p>
    <w:p w:rsidR="00C268AF" w:rsidRPr="00E035FB" w:rsidRDefault="00C268AF" w:rsidP="00C268AF">
      <w:pPr>
        <w:pStyle w:val="Tabletext1"/>
        <w:tabs>
          <w:tab w:val="left" w:pos="3119"/>
          <w:tab w:val="left" w:pos="6946"/>
        </w:tabs>
        <w:spacing w:before="0" w:after="240"/>
        <w:ind w:left="851" w:firstLine="850"/>
        <w:rPr>
          <w:rFonts w:asciiTheme="minorHAnsi" w:hAnsiTheme="minorHAnsi"/>
          <w:position w:val="-12"/>
          <w:sz w:val="24"/>
        </w:rPr>
      </w:pPr>
      <w:proofErr w:type="spellStart"/>
      <w:r w:rsidRPr="00E035FB">
        <w:rPr>
          <w:rFonts w:asciiTheme="minorHAnsi" w:hAnsiTheme="minorHAnsi"/>
          <w:position w:val="-12"/>
          <w:sz w:val="24"/>
        </w:rPr>
        <w:t>RR</w:t>
      </w:r>
      <w:r w:rsidRPr="00E035FB">
        <w:rPr>
          <w:rFonts w:asciiTheme="minorHAnsi" w:hAnsiTheme="minorHAnsi"/>
          <w:position w:val="-12"/>
          <w:sz w:val="24"/>
          <w:vertAlign w:val="subscript"/>
        </w:rPr>
        <w:t>2013</w:t>
      </w:r>
      <w:proofErr w:type="spellEnd"/>
      <w:r w:rsidRPr="00E035FB">
        <w:rPr>
          <w:rFonts w:asciiTheme="minorHAnsi" w:hAnsiTheme="minorHAnsi"/>
          <w:position w:val="-12"/>
          <w:sz w:val="24"/>
        </w:rPr>
        <w:t xml:space="preserve"> = (5/12) * </w:t>
      </w:r>
      <w:proofErr w:type="spellStart"/>
      <w:proofErr w:type="gramStart"/>
      <w:r w:rsidRPr="00E035FB">
        <w:rPr>
          <w:rFonts w:asciiTheme="minorHAnsi" w:hAnsiTheme="minorHAnsi"/>
          <w:position w:val="-12"/>
          <w:sz w:val="24"/>
        </w:rPr>
        <w:t>RR</w:t>
      </w:r>
      <w:r w:rsidRPr="00E035FB">
        <w:rPr>
          <w:rFonts w:asciiTheme="minorHAnsi" w:hAnsiTheme="minorHAnsi"/>
          <w:position w:val="-12"/>
          <w:sz w:val="24"/>
          <w:vertAlign w:val="subscript"/>
        </w:rPr>
        <w:t>2012</w:t>
      </w:r>
      <w:proofErr w:type="spellEnd"/>
      <w:r w:rsidRPr="00E035FB">
        <w:rPr>
          <w:rFonts w:asciiTheme="minorHAnsi" w:hAnsiTheme="minorHAnsi"/>
          <w:position w:val="-12"/>
          <w:sz w:val="24"/>
        </w:rPr>
        <w:t>(</w:t>
      </w:r>
      <w:proofErr w:type="gramEnd"/>
      <w:r w:rsidRPr="00E035FB">
        <w:rPr>
          <w:rFonts w:asciiTheme="minorHAnsi" w:hAnsiTheme="minorHAnsi"/>
          <w:position w:val="-12"/>
          <w:sz w:val="24"/>
        </w:rPr>
        <w:t xml:space="preserve">1 + </w:t>
      </w:r>
      <w:proofErr w:type="spellStart"/>
      <w:r w:rsidRPr="00E035FB">
        <w:rPr>
          <w:rFonts w:asciiTheme="minorHAnsi" w:hAnsiTheme="minorHAnsi"/>
          <w:position w:val="-12"/>
          <w:sz w:val="24"/>
        </w:rPr>
        <w:t>ΔCPI</w:t>
      </w:r>
      <w:r w:rsidRPr="00E035FB">
        <w:rPr>
          <w:rFonts w:asciiTheme="minorHAnsi" w:hAnsiTheme="minorHAnsi"/>
          <w:position w:val="-12"/>
          <w:sz w:val="24"/>
          <w:vertAlign w:val="subscript"/>
        </w:rPr>
        <w:t>2013</w:t>
      </w:r>
      <w:proofErr w:type="spellEnd"/>
      <w:r w:rsidRPr="00E035FB">
        <w:rPr>
          <w:rFonts w:asciiTheme="minorHAnsi" w:hAnsiTheme="minorHAnsi"/>
          <w:position w:val="-12"/>
          <w:sz w:val="24"/>
        </w:rPr>
        <w:t xml:space="preserve">)(1 + </w:t>
      </w:r>
      <w:proofErr w:type="spellStart"/>
      <w:r w:rsidRPr="00E035FB">
        <w:rPr>
          <w:rFonts w:asciiTheme="minorHAnsi" w:hAnsiTheme="minorHAnsi"/>
          <w:position w:val="-12"/>
          <w:sz w:val="24"/>
        </w:rPr>
        <w:t>ΔCPR</w:t>
      </w:r>
      <w:r w:rsidRPr="00E035FB">
        <w:rPr>
          <w:rFonts w:asciiTheme="minorHAnsi" w:hAnsiTheme="minorHAnsi"/>
          <w:position w:val="-12"/>
          <w:sz w:val="24"/>
          <w:vertAlign w:val="subscript"/>
        </w:rPr>
        <w:t>2013</w:t>
      </w:r>
      <w:proofErr w:type="spellEnd"/>
      <w:r w:rsidRPr="00E035FB">
        <w:rPr>
          <w:rFonts w:asciiTheme="minorHAnsi" w:hAnsiTheme="minorHAnsi"/>
          <w:position w:val="-12"/>
          <w:sz w:val="24"/>
        </w:rPr>
        <w:t>)</w:t>
      </w:r>
    </w:p>
    <w:p w:rsidR="00C268AF" w:rsidRDefault="00C268AF" w:rsidP="00C268AF">
      <w:pPr>
        <w:pStyle w:val="Tabletext1"/>
        <w:spacing w:before="0" w:after="240"/>
        <w:ind w:left="1701"/>
        <w:rPr>
          <w:rFonts w:asciiTheme="minorHAnsi" w:hAnsiTheme="minorHAnsi"/>
          <w:sz w:val="24"/>
        </w:rPr>
      </w:pPr>
      <w:proofErr w:type="gramStart"/>
      <w:r>
        <w:rPr>
          <w:rFonts w:asciiTheme="minorHAnsi" w:hAnsiTheme="minorHAnsi"/>
          <w:sz w:val="24"/>
        </w:rPr>
        <w:t>where</w:t>
      </w:r>
      <w:proofErr w:type="gramEnd"/>
      <w:r>
        <w:rPr>
          <w:rFonts w:asciiTheme="minorHAnsi" w:hAnsiTheme="minorHAnsi"/>
          <w:sz w:val="24"/>
        </w:rPr>
        <w:t>:</w:t>
      </w:r>
    </w:p>
    <w:p w:rsidR="009E6A7A" w:rsidRDefault="00E035FB" w:rsidP="00E6601E">
      <w:pPr>
        <w:pStyle w:val="Tabletext1"/>
        <w:spacing w:before="0" w:after="240"/>
        <w:ind w:left="2410" w:hanging="709"/>
        <w:rPr>
          <w:rFonts w:asciiTheme="minorHAnsi" w:hAnsiTheme="minorHAnsi"/>
          <w:sz w:val="24"/>
        </w:rPr>
      </w:pPr>
      <w:proofErr w:type="spellStart"/>
      <w:r w:rsidRPr="00E035FB">
        <w:rPr>
          <w:rFonts w:asciiTheme="minorHAnsi" w:hAnsiTheme="minorHAnsi"/>
          <w:sz w:val="24"/>
        </w:rPr>
        <w:t>ΔCPR</w:t>
      </w:r>
      <w:r w:rsidRPr="00E035FB">
        <w:rPr>
          <w:rFonts w:asciiTheme="minorHAnsi" w:hAnsiTheme="minorHAnsi"/>
          <w:sz w:val="24"/>
          <w:vertAlign w:val="subscript"/>
        </w:rPr>
        <w:t>t</w:t>
      </w:r>
      <w:proofErr w:type="spellEnd"/>
      <w:r w:rsidRPr="00E035FB">
        <w:rPr>
          <w:rFonts w:asciiTheme="minorHAnsi" w:hAnsiTheme="minorHAnsi"/>
          <w:sz w:val="24"/>
        </w:rPr>
        <w:tab/>
      </w:r>
      <w:r w:rsidR="00C268AF">
        <w:rPr>
          <w:rFonts w:asciiTheme="minorHAnsi" w:hAnsiTheme="minorHAnsi"/>
          <w:sz w:val="24"/>
        </w:rPr>
        <w:t xml:space="preserve">is the </w:t>
      </w:r>
      <w:r w:rsidR="009E6A7A">
        <w:rPr>
          <w:rFonts w:asciiTheme="minorHAnsi" w:hAnsiTheme="minorHAnsi"/>
          <w:sz w:val="24"/>
        </w:rPr>
        <w:t>c</w:t>
      </w:r>
      <w:r w:rsidRPr="00E035FB">
        <w:rPr>
          <w:rFonts w:asciiTheme="minorHAnsi" w:hAnsiTheme="minorHAnsi"/>
          <w:sz w:val="24"/>
        </w:rPr>
        <w:t>onstant price revenue growth</w:t>
      </w:r>
      <w:r w:rsidR="00E6601E">
        <w:rPr>
          <w:rFonts w:asciiTheme="minorHAnsi" w:hAnsiTheme="minorHAnsi"/>
          <w:sz w:val="24"/>
        </w:rPr>
        <w:t>,</w:t>
      </w:r>
      <w:r w:rsidR="009E6A7A">
        <w:rPr>
          <w:rFonts w:asciiTheme="minorHAnsi" w:hAnsiTheme="minorHAnsi"/>
          <w:sz w:val="24"/>
        </w:rPr>
        <w:t xml:space="preserve"> </w:t>
      </w:r>
      <w:r w:rsidR="00E6601E">
        <w:rPr>
          <w:rFonts w:asciiTheme="minorHAnsi" w:hAnsiTheme="minorHAnsi"/>
          <w:sz w:val="24"/>
        </w:rPr>
        <w:t>which is</w:t>
      </w:r>
      <w:r w:rsidRPr="00E035FB">
        <w:rPr>
          <w:rFonts w:asciiTheme="minorHAnsi" w:hAnsiTheme="minorHAnsi"/>
          <w:sz w:val="24"/>
        </w:rPr>
        <w:t xml:space="preserve">: </w:t>
      </w:r>
    </w:p>
    <w:p w:rsidR="009E6A7A" w:rsidRPr="00010C0D" w:rsidRDefault="009E6A7A" w:rsidP="009E6A7A">
      <w:pPr>
        <w:pStyle w:val="Para5"/>
        <w:numPr>
          <w:ilvl w:val="4"/>
          <w:numId w:val="102"/>
        </w:numPr>
        <w:tabs>
          <w:tab w:val="clear" w:pos="3544"/>
        </w:tabs>
        <w:ind w:left="2410"/>
        <w:rPr>
          <w:rFonts w:asciiTheme="minorHAnsi" w:hAnsiTheme="minorHAnsi"/>
        </w:rPr>
      </w:pPr>
      <w:r w:rsidRPr="009E6A7A">
        <w:rPr>
          <w:rFonts w:asciiTheme="minorHAnsi" w:hAnsiTheme="minorHAnsi"/>
        </w:rPr>
        <w:t xml:space="preserve">for </w:t>
      </w:r>
      <w:r w:rsidRPr="00010C0D">
        <w:rPr>
          <w:rFonts w:asciiTheme="minorHAnsi" w:hAnsiTheme="minorHAnsi"/>
          <w:b/>
        </w:rPr>
        <w:t>pricing periods</w:t>
      </w:r>
      <w:r w:rsidRPr="009E6A7A">
        <w:rPr>
          <w:rFonts w:asciiTheme="minorHAnsi" w:hAnsiTheme="minorHAnsi"/>
        </w:rPr>
        <w:t xml:space="preserve"> t=2009 to 2012</w:t>
      </w:r>
      <w:r w:rsidR="00762B1D">
        <w:rPr>
          <w:rFonts w:asciiTheme="minorHAnsi" w:hAnsiTheme="minorHAnsi"/>
        </w:rPr>
        <w:t>, calculated using Equation 10</w:t>
      </w:r>
      <w:r>
        <w:rPr>
          <w:rFonts w:asciiTheme="minorHAnsi" w:hAnsiTheme="minorHAnsi"/>
        </w:rPr>
        <w:t>:</w:t>
      </w:r>
    </w:p>
    <w:p w:rsidR="00762B1D" w:rsidRPr="00762B1D" w:rsidRDefault="00762B1D" w:rsidP="00762B1D">
      <w:pPr>
        <w:pStyle w:val="Para1"/>
        <w:numPr>
          <w:ilvl w:val="0"/>
          <w:numId w:val="0"/>
        </w:numPr>
        <w:ind w:left="2410"/>
        <w:rPr>
          <w:b/>
          <w:position w:val="-12"/>
        </w:rPr>
      </w:pPr>
      <w:r w:rsidRPr="00762B1D">
        <w:rPr>
          <w:b/>
          <w:position w:val="-12"/>
        </w:rPr>
        <w:t xml:space="preserve">Equation </w:t>
      </w:r>
      <w:r>
        <w:rPr>
          <w:b/>
          <w:position w:val="-12"/>
        </w:rPr>
        <w:t>10</w:t>
      </w:r>
    </w:p>
    <w:p w:rsidR="00E035FB" w:rsidRDefault="00010C0D" w:rsidP="009E6A7A">
      <w:pPr>
        <w:pStyle w:val="Para5"/>
        <w:numPr>
          <w:ilvl w:val="0"/>
          <w:numId w:val="0"/>
        </w:numPr>
        <w:ind w:left="2410"/>
        <w:rPr>
          <w:rFonts w:asciiTheme="minorHAnsi" w:hAnsiTheme="minorHAnsi"/>
          <w:position w:val="-30"/>
        </w:rPr>
      </w:pPr>
      <w:r w:rsidRPr="0021462A">
        <w:rPr>
          <w:position w:val="-32"/>
        </w:rPr>
        <w:object w:dxaOrig="2280" w:dyaOrig="720">
          <v:shape id="_x0000_i1056" type="#_x0000_t75" style="width:110.2pt;height:36.3pt" o:ole="">
            <v:imagedata r:id="rId68" o:title=""/>
          </v:shape>
          <o:OLEObject Type="Embed" ProgID="Equation.3" ShapeID="_x0000_i1056" DrawAspect="Content" ObjectID="_1421845011" r:id="rId69"/>
        </w:object>
      </w:r>
    </w:p>
    <w:p w:rsidR="00B32E70" w:rsidRDefault="00B32E70" w:rsidP="009E6A7A">
      <w:pPr>
        <w:pStyle w:val="Para5"/>
        <w:numPr>
          <w:ilvl w:val="0"/>
          <w:numId w:val="0"/>
        </w:numPr>
        <w:ind w:left="2410"/>
        <w:rPr>
          <w:rFonts w:asciiTheme="minorHAnsi" w:hAnsiTheme="minorHAnsi"/>
          <w:position w:val="-30"/>
        </w:rPr>
      </w:pPr>
      <w:proofErr w:type="gramStart"/>
      <w:r>
        <w:rPr>
          <w:rFonts w:asciiTheme="minorHAnsi" w:hAnsiTheme="minorHAnsi"/>
          <w:position w:val="-30"/>
        </w:rPr>
        <w:t>where</w:t>
      </w:r>
      <w:proofErr w:type="gramEnd"/>
    </w:p>
    <w:tbl>
      <w:tblPr>
        <w:tblW w:w="6662" w:type="dxa"/>
        <w:tblInd w:w="2518" w:type="dxa"/>
        <w:tblLook w:val="01E0"/>
      </w:tblPr>
      <w:tblGrid>
        <w:gridCol w:w="992"/>
        <w:gridCol w:w="5670"/>
      </w:tblGrid>
      <w:tr w:rsidR="00B32E70" w:rsidTr="00867EA4">
        <w:trPr>
          <w:trHeight w:val="644"/>
        </w:trPr>
        <w:tc>
          <w:tcPr>
            <w:tcW w:w="992" w:type="dxa"/>
          </w:tcPr>
          <w:p w:rsidR="00B32E70" w:rsidRPr="00413932" w:rsidRDefault="00B32E70" w:rsidP="00653435">
            <w:pPr>
              <w:pStyle w:val="Tablebodytext"/>
              <w:rPr>
                <w:position w:val="-12"/>
              </w:rPr>
            </w:pPr>
            <w:r w:rsidRPr="00D53361">
              <w:rPr>
                <w:i/>
              </w:rPr>
              <w:t>t</w:t>
            </w:r>
          </w:p>
        </w:tc>
        <w:tc>
          <w:tcPr>
            <w:tcW w:w="5670" w:type="dxa"/>
          </w:tcPr>
          <w:p w:rsidR="00B32E70" w:rsidRDefault="00B32E70" w:rsidP="00653435">
            <w:pPr>
              <w:pStyle w:val="Tablebodytext"/>
            </w:pPr>
            <w:r>
              <w:rPr>
                <w:position w:val="-28"/>
              </w:rPr>
              <w:t xml:space="preserve">is the year in which the </w:t>
            </w:r>
            <w:r w:rsidRPr="00A75457">
              <w:rPr>
                <w:b/>
                <w:position w:val="-28"/>
              </w:rPr>
              <w:t>pricing period</w:t>
            </w:r>
            <w:r>
              <w:rPr>
                <w:position w:val="-28"/>
              </w:rPr>
              <w:t xml:space="preserve"> ends;</w:t>
            </w:r>
          </w:p>
        </w:tc>
      </w:tr>
      <w:tr w:rsidR="00B32E70" w:rsidRPr="00AD6BDC" w:rsidTr="00867EA4">
        <w:trPr>
          <w:trHeight w:val="644"/>
        </w:trPr>
        <w:tc>
          <w:tcPr>
            <w:tcW w:w="992" w:type="dxa"/>
          </w:tcPr>
          <w:p w:rsidR="00B32E70" w:rsidRPr="00413932" w:rsidRDefault="00B32E70" w:rsidP="00653435">
            <w:pPr>
              <w:pStyle w:val="Tablebodytext"/>
              <w:rPr>
                <w:position w:val="-12"/>
              </w:rPr>
            </w:pPr>
            <w:proofErr w:type="spellStart"/>
            <w:r w:rsidRPr="00D53361">
              <w:rPr>
                <w:i/>
              </w:rPr>
              <w:t>i</w:t>
            </w:r>
            <w:proofErr w:type="spellEnd"/>
          </w:p>
        </w:tc>
        <w:tc>
          <w:tcPr>
            <w:tcW w:w="5670" w:type="dxa"/>
          </w:tcPr>
          <w:p w:rsidR="00B32E70" w:rsidRPr="00AD6BDC" w:rsidRDefault="00B32E70" w:rsidP="00653435">
            <w:pPr>
              <w:pStyle w:val="Tablebodytext"/>
            </w:pPr>
            <w:r>
              <w:t>i</w:t>
            </w:r>
            <w:r w:rsidRPr="00D53361">
              <w:t xml:space="preserve">s each </w:t>
            </w:r>
            <w:r w:rsidRPr="00D53361">
              <w:rPr>
                <w:b/>
              </w:rPr>
              <w:t>price</w:t>
            </w:r>
            <w:r w:rsidRPr="00D53361">
              <w:t xml:space="preserve"> relating to a </w:t>
            </w:r>
            <w:r w:rsidRPr="00D53361">
              <w:rPr>
                <w:b/>
              </w:rPr>
              <w:t>gas distribution service</w:t>
            </w:r>
            <w:r>
              <w:rPr>
                <w:b/>
              </w:rPr>
              <w:t>;</w:t>
            </w:r>
          </w:p>
        </w:tc>
      </w:tr>
      <w:tr w:rsidR="00B32E70" w:rsidRPr="00D53361" w:rsidTr="00867EA4">
        <w:trPr>
          <w:trHeight w:val="644"/>
        </w:trPr>
        <w:tc>
          <w:tcPr>
            <w:tcW w:w="992" w:type="dxa"/>
          </w:tcPr>
          <w:p w:rsidR="00B32E70" w:rsidRPr="00D53361" w:rsidRDefault="00B32E70" w:rsidP="00653435">
            <w:pPr>
              <w:pStyle w:val="Tablebodytext"/>
              <w:rPr>
                <w:i/>
              </w:rPr>
            </w:pPr>
            <w:r w:rsidRPr="00413932">
              <w:rPr>
                <w:position w:val="-12"/>
              </w:rPr>
              <w:object w:dxaOrig="460" w:dyaOrig="340">
                <v:shape id="_x0000_i1057" type="#_x0000_t75" style="width:22.55pt;height:19.4pt" o:ole="">
                  <v:imagedata r:id="rId56" o:title=""/>
                </v:shape>
                <o:OLEObject Type="Embed" ProgID="Equation.3" ShapeID="_x0000_i1057" DrawAspect="Content" ObjectID="_1421845012" r:id="rId70"/>
              </w:object>
            </w:r>
          </w:p>
        </w:tc>
        <w:tc>
          <w:tcPr>
            <w:tcW w:w="5670" w:type="dxa"/>
          </w:tcPr>
          <w:p w:rsidR="00B32E70" w:rsidRPr="00D53361" w:rsidRDefault="00B32E70" w:rsidP="00653435">
            <w:pPr>
              <w:pStyle w:val="Tablebodytext"/>
            </w:pPr>
            <w:r w:rsidRPr="00AD6BDC">
              <w:t xml:space="preserve">is the </w:t>
            </w:r>
            <w:proofErr w:type="spellStart"/>
            <w:r w:rsidRPr="00CC066B">
              <w:t>i</w:t>
            </w:r>
            <w:r w:rsidRPr="00CC066B">
              <w:rPr>
                <w:vertAlign w:val="superscript"/>
              </w:rPr>
              <w:t>th</w:t>
            </w:r>
            <w:proofErr w:type="spellEnd"/>
            <w:r w:rsidRPr="00AD6BDC">
              <w:t xml:space="preserve"> </w:t>
            </w:r>
            <w:r w:rsidRPr="00FC4268">
              <w:rPr>
                <w:b/>
              </w:rPr>
              <w:t>price</w:t>
            </w:r>
            <w:r w:rsidRPr="00AD6BDC">
              <w:t xml:space="preserve"> for </w:t>
            </w:r>
            <w:r>
              <w:t xml:space="preserve">any part of the </w:t>
            </w:r>
            <w:r w:rsidRPr="008824A5">
              <w:rPr>
                <w:b/>
              </w:rPr>
              <w:t>pricing period</w:t>
            </w:r>
            <w:r w:rsidR="00867EA4" w:rsidRPr="00867EA4">
              <w:t xml:space="preserve"> </w:t>
            </w:r>
            <w:r w:rsidR="00867EA4">
              <w:t>ending in year</w:t>
            </w:r>
            <w:r>
              <w:t xml:space="preserve"> </w:t>
            </w:r>
            <w:r w:rsidRPr="008824A5">
              <w:t>t</w:t>
            </w:r>
            <w:r>
              <w:rPr>
                <w:i/>
              </w:rPr>
              <w:t>-</w:t>
            </w:r>
            <w:r w:rsidRPr="0063471E">
              <w:t>1</w:t>
            </w:r>
            <w:r>
              <w:t>;</w:t>
            </w:r>
          </w:p>
        </w:tc>
      </w:tr>
      <w:tr w:rsidR="00B32E70" w:rsidRPr="00D53361" w:rsidTr="00867EA4">
        <w:trPr>
          <w:trHeight w:val="707"/>
        </w:trPr>
        <w:tc>
          <w:tcPr>
            <w:tcW w:w="992" w:type="dxa"/>
          </w:tcPr>
          <w:p w:rsidR="00B32E70" w:rsidRPr="00413932" w:rsidRDefault="00B32E70" w:rsidP="00653435">
            <w:pPr>
              <w:pStyle w:val="Tablebodytext"/>
              <w:rPr>
                <w:position w:val="-18"/>
              </w:rPr>
            </w:pPr>
            <w:r w:rsidRPr="00413932">
              <w:rPr>
                <w:position w:val="-18"/>
              </w:rPr>
              <w:object w:dxaOrig="460" w:dyaOrig="400">
                <v:shape id="_x0000_i1058" type="#_x0000_t75" style="width:23.8pt;height:19.4pt" o:ole="">
                  <v:imagedata r:id="rId71" o:title=""/>
                </v:shape>
                <o:OLEObject Type="Embed" ProgID="Equation.3" ShapeID="_x0000_i1058" DrawAspect="Content" ObjectID="_1421845013" r:id="rId72"/>
              </w:object>
            </w:r>
          </w:p>
        </w:tc>
        <w:tc>
          <w:tcPr>
            <w:tcW w:w="5670" w:type="dxa"/>
          </w:tcPr>
          <w:p w:rsidR="00B32E70" w:rsidRPr="00AD6BDC" w:rsidRDefault="00B32E70" w:rsidP="00B32E70">
            <w:pPr>
              <w:pStyle w:val="Tablebodytext"/>
            </w:pPr>
            <w:r w:rsidRPr="00AD6BDC">
              <w:t xml:space="preserve">is the </w:t>
            </w:r>
            <w:r w:rsidRPr="0048622D">
              <w:rPr>
                <w:b/>
              </w:rPr>
              <w:t>quantity</w:t>
            </w:r>
            <w:r w:rsidRPr="00AD6BDC">
              <w:t xml:space="preserve"> corresponding to the </w:t>
            </w:r>
            <w:proofErr w:type="spellStart"/>
            <w:r w:rsidRPr="00CC066B">
              <w:t>i</w:t>
            </w:r>
            <w:r w:rsidRPr="00CC066B">
              <w:rPr>
                <w:vertAlign w:val="superscript"/>
              </w:rPr>
              <w:t>th</w:t>
            </w:r>
            <w:proofErr w:type="spellEnd"/>
            <w:r w:rsidRPr="00CC066B">
              <w:t xml:space="preserve"> </w:t>
            </w:r>
            <w:r w:rsidRPr="00FC4268">
              <w:rPr>
                <w:b/>
              </w:rPr>
              <w:t>price</w:t>
            </w:r>
            <w:r w:rsidRPr="00AD6BDC">
              <w:t xml:space="preserve"> </w:t>
            </w:r>
            <w:r>
              <w:t>for</w:t>
            </w:r>
            <w:r w:rsidRPr="00AD6BDC">
              <w:t xml:space="preserve"> </w:t>
            </w:r>
            <w:r>
              <w:t xml:space="preserve">the </w:t>
            </w:r>
            <w:r w:rsidRPr="008824A5">
              <w:rPr>
                <w:b/>
              </w:rPr>
              <w:t>pricing period</w:t>
            </w:r>
            <w:r>
              <w:t>;</w:t>
            </w:r>
          </w:p>
        </w:tc>
      </w:tr>
      <w:tr w:rsidR="00B32E70" w:rsidRPr="00D53361" w:rsidTr="00867EA4">
        <w:trPr>
          <w:trHeight w:val="707"/>
        </w:trPr>
        <w:tc>
          <w:tcPr>
            <w:tcW w:w="992" w:type="dxa"/>
          </w:tcPr>
          <w:p w:rsidR="00B32E70" w:rsidRPr="00D53361" w:rsidRDefault="00B32E70" w:rsidP="00653435">
            <w:pPr>
              <w:pStyle w:val="Tablebodytext"/>
              <w:rPr>
                <w:i/>
              </w:rPr>
            </w:pPr>
            <w:r w:rsidRPr="00413932">
              <w:rPr>
                <w:position w:val="-18"/>
              </w:rPr>
              <w:object w:dxaOrig="620" w:dyaOrig="400">
                <v:shape id="_x0000_i1059" type="#_x0000_t75" style="width:31.95pt;height:19.4pt" o:ole="">
                  <v:imagedata r:id="rId73" o:title=""/>
                </v:shape>
                <o:OLEObject Type="Embed" ProgID="Equation.3" ShapeID="_x0000_i1059" DrawAspect="Content" ObjectID="_1421845014" r:id="rId74"/>
              </w:object>
            </w:r>
          </w:p>
        </w:tc>
        <w:tc>
          <w:tcPr>
            <w:tcW w:w="5670" w:type="dxa"/>
          </w:tcPr>
          <w:p w:rsidR="00B32E70" w:rsidRPr="00D53361" w:rsidRDefault="00B32E70" w:rsidP="00653435">
            <w:pPr>
              <w:pStyle w:val="Tablebodytext"/>
            </w:pPr>
            <w:proofErr w:type="gramStart"/>
            <w:r w:rsidRPr="00AD6BDC">
              <w:t>is</w:t>
            </w:r>
            <w:proofErr w:type="gramEnd"/>
            <w:r w:rsidRPr="00AD6BDC">
              <w:t xml:space="preserve"> the </w:t>
            </w:r>
            <w:r w:rsidRPr="0048622D">
              <w:rPr>
                <w:b/>
              </w:rPr>
              <w:t>quantity</w:t>
            </w:r>
            <w:r w:rsidRPr="00AD6BDC">
              <w:t xml:space="preserve"> corresponding to the </w:t>
            </w:r>
            <w:proofErr w:type="spellStart"/>
            <w:r w:rsidRPr="00CC066B">
              <w:t>i</w:t>
            </w:r>
            <w:r w:rsidRPr="00CC066B">
              <w:rPr>
                <w:vertAlign w:val="superscript"/>
              </w:rPr>
              <w:t>th</w:t>
            </w:r>
            <w:proofErr w:type="spellEnd"/>
            <w:r w:rsidRPr="00CC066B">
              <w:t xml:space="preserve"> </w:t>
            </w:r>
            <w:r w:rsidRPr="00FC4268">
              <w:rPr>
                <w:b/>
              </w:rPr>
              <w:t>price</w:t>
            </w:r>
            <w:r w:rsidRPr="00AD6BDC">
              <w:t xml:space="preserve"> </w:t>
            </w:r>
            <w:r>
              <w:t>for</w:t>
            </w:r>
            <w:r w:rsidRPr="00AD6BDC">
              <w:t xml:space="preserve"> </w:t>
            </w:r>
            <w:r>
              <w:t xml:space="preserve">the </w:t>
            </w:r>
            <w:r w:rsidRPr="008824A5">
              <w:rPr>
                <w:b/>
              </w:rPr>
              <w:t>pricing period</w:t>
            </w:r>
            <w:r w:rsidR="00867EA4">
              <w:t xml:space="preserve"> ending in year</w:t>
            </w:r>
            <w:r>
              <w:t xml:space="preserve"> </w:t>
            </w:r>
            <w:r w:rsidRPr="00CC066B">
              <w:t>t</w:t>
            </w:r>
            <w:r>
              <w:t>-1.</w:t>
            </w:r>
          </w:p>
        </w:tc>
      </w:tr>
    </w:tbl>
    <w:p w:rsidR="009E6A7A" w:rsidRDefault="009E6A7A" w:rsidP="009E6A7A">
      <w:pPr>
        <w:pStyle w:val="Para5"/>
        <w:numPr>
          <w:ilvl w:val="4"/>
          <w:numId w:val="102"/>
        </w:numPr>
        <w:tabs>
          <w:tab w:val="clear" w:pos="3544"/>
        </w:tabs>
        <w:ind w:left="2410"/>
        <w:rPr>
          <w:rFonts w:asciiTheme="minorHAnsi" w:hAnsiTheme="minorHAnsi"/>
        </w:rPr>
      </w:pPr>
      <w:r>
        <w:rPr>
          <w:rFonts w:asciiTheme="minorHAnsi" w:hAnsiTheme="minorHAnsi"/>
        </w:rPr>
        <w:t>for the 5 month period</w:t>
      </w:r>
      <w:r w:rsidRPr="00942D23">
        <w:rPr>
          <w:rFonts w:asciiTheme="minorHAnsi" w:hAnsiTheme="minorHAnsi"/>
        </w:rPr>
        <w:t xml:space="preserve"> t = 2013, </w:t>
      </w:r>
      <w:r>
        <w:rPr>
          <w:rFonts w:asciiTheme="minorHAnsi" w:hAnsiTheme="minorHAnsi"/>
        </w:rPr>
        <w:t>e</w:t>
      </w:r>
      <w:r w:rsidR="00E035FB" w:rsidRPr="00E035FB">
        <w:rPr>
          <w:rFonts w:asciiTheme="minorHAnsi" w:hAnsiTheme="minorHAnsi"/>
        </w:rPr>
        <w:t>ither</w:t>
      </w:r>
      <w:r>
        <w:rPr>
          <w:rFonts w:asciiTheme="minorHAnsi" w:hAnsiTheme="minorHAnsi"/>
        </w:rPr>
        <w:t>:</w:t>
      </w:r>
    </w:p>
    <w:p w:rsidR="00E035FB" w:rsidRPr="009E6A7A" w:rsidRDefault="00E035FB" w:rsidP="00762B1D">
      <w:pPr>
        <w:pStyle w:val="Para5"/>
        <w:numPr>
          <w:ilvl w:val="0"/>
          <w:numId w:val="0"/>
        </w:numPr>
        <w:ind w:left="2410"/>
        <w:rPr>
          <w:rFonts w:asciiTheme="minorHAnsi" w:hAnsiTheme="minorHAnsi"/>
        </w:rPr>
      </w:pPr>
      <w:r w:rsidRPr="009E6A7A">
        <w:rPr>
          <w:rFonts w:asciiTheme="minorHAnsi" w:hAnsiTheme="minorHAnsi"/>
        </w:rPr>
        <w:t xml:space="preserve">the forecast value of constant price revenue growth as used in the </w:t>
      </w:r>
      <w:r w:rsidRPr="00762B1D">
        <w:rPr>
          <w:rFonts w:asciiTheme="minorHAnsi" w:hAnsiTheme="minorHAnsi"/>
          <w:b/>
        </w:rPr>
        <w:t>Commission’s</w:t>
      </w:r>
      <w:r w:rsidRPr="009E6A7A">
        <w:rPr>
          <w:rFonts w:asciiTheme="minorHAnsi" w:hAnsiTheme="minorHAnsi"/>
        </w:rPr>
        <w:t xml:space="preserve"> financial model for </w:t>
      </w:r>
      <w:r w:rsidR="00762B1D">
        <w:rPr>
          <w:rFonts w:asciiTheme="minorHAnsi" w:hAnsiTheme="minorHAnsi"/>
        </w:rPr>
        <w:t xml:space="preserve">calculating the starting </w:t>
      </w:r>
      <w:r w:rsidR="006256E3" w:rsidRPr="006256E3">
        <w:rPr>
          <w:rFonts w:asciiTheme="minorHAnsi" w:hAnsiTheme="minorHAnsi"/>
        </w:rPr>
        <w:t>prices</w:t>
      </w:r>
      <w:r w:rsidR="00762B1D">
        <w:rPr>
          <w:rFonts w:asciiTheme="minorHAnsi" w:hAnsiTheme="minorHAnsi"/>
        </w:rPr>
        <w:t xml:space="preserve"> as specified in Schedule 1;</w:t>
      </w:r>
      <w:r w:rsidRPr="009E6A7A">
        <w:rPr>
          <w:rFonts w:asciiTheme="minorHAnsi" w:hAnsiTheme="minorHAnsi"/>
        </w:rPr>
        <w:t xml:space="preserve"> or</w:t>
      </w:r>
    </w:p>
    <w:p w:rsidR="00E035FB" w:rsidRPr="00E035FB" w:rsidRDefault="00E035FB" w:rsidP="00762B1D">
      <w:pPr>
        <w:pStyle w:val="Tabletext1"/>
        <w:spacing w:before="0" w:after="240"/>
        <w:ind w:left="2410"/>
        <w:rPr>
          <w:rFonts w:asciiTheme="minorHAnsi" w:hAnsiTheme="minorHAnsi"/>
          <w:sz w:val="24"/>
        </w:rPr>
      </w:pPr>
      <w:proofErr w:type="gramStart"/>
      <w:r w:rsidRPr="00E035FB">
        <w:rPr>
          <w:rFonts w:asciiTheme="minorHAnsi" w:hAnsiTheme="minorHAnsi"/>
          <w:sz w:val="24"/>
        </w:rPr>
        <w:t>the</w:t>
      </w:r>
      <w:proofErr w:type="gramEnd"/>
      <w:r w:rsidRPr="00E035FB">
        <w:rPr>
          <w:rFonts w:asciiTheme="minorHAnsi" w:hAnsiTheme="minorHAnsi"/>
          <w:sz w:val="24"/>
        </w:rPr>
        <w:t xml:space="preserve"> actual constant price revenue growth relating to </w:t>
      </w:r>
      <w:r w:rsidR="00762B1D">
        <w:rPr>
          <w:rFonts w:asciiTheme="minorHAnsi" w:hAnsiTheme="minorHAnsi"/>
          <w:sz w:val="24"/>
        </w:rPr>
        <w:t>the period</w:t>
      </w:r>
      <w:r w:rsidRPr="00E035FB">
        <w:rPr>
          <w:rFonts w:asciiTheme="minorHAnsi" w:hAnsiTheme="minorHAnsi"/>
          <w:sz w:val="24"/>
        </w:rPr>
        <w:t xml:space="preserve">, as determined using </w:t>
      </w:r>
      <w:r w:rsidR="00762B1D">
        <w:rPr>
          <w:rFonts w:asciiTheme="minorHAnsi" w:hAnsiTheme="minorHAnsi"/>
          <w:sz w:val="24"/>
        </w:rPr>
        <w:t>Equation 10</w:t>
      </w:r>
      <w:r w:rsidRPr="00E035FB">
        <w:rPr>
          <w:rFonts w:asciiTheme="minorHAnsi" w:hAnsiTheme="minorHAnsi"/>
          <w:sz w:val="24"/>
        </w:rPr>
        <w:t>.</w:t>
      </w:r>
    </w:p>
    <w:p w:rsidR="00762B1D" w:rsidRDefault="00E035FB" w:rsidP="00E6601E">
      <w:pPr>
        <w:pStyle w:val="Tabletext1"/>
        <w:spacing w:before="0" w:after="240"/>
        <w:ind w:left="2410" w:hanging="709"/>
        <w:rPr>
          <w:rFonts w:asciiTheme="minorHAnsi" w:hAnsiTheme="minorHAnsi"/>
          <w:sz w:val="24"/>
        </w:rPr>
      </w:pPr>
      <w:proofErr w:type="spellStart"/>
      <w:r w:rsidRPr="00E035FB">
        <w:rPr>
          <w:rFonts w:asciiTheme="minorHAnsi" w:hAnsiTheme="minorHAnsi"/>
          <w:sz w:val="24"/>
        </w:rPr>
        <w:t>ΔCPI</w:t>
      </w:r>
      <w:r w:rsidRPr="00E035FB">
        <w:rPr>
          <w:rFonts w:asciiTheme="minorHAnsi" w:hAnsiTheme="minorHAnsi"/>
          <w:sz w:val="24"/>
          <w:vertAlign w:val="subscript"/>
        </w:rPr>
        <w:t>t</w:t>
      </w:r>
      <w:proofErr w:type="spellEnd"/>
      <w:r w:rsidRPr="00E035FB">
        <w:rPr>
          <w:rFonts w:asciiTheme="minorHAnsi" w:hAnsiTheme="minorHAnsi"/>
          <w:sz w:val="24"/>
        </w:rPr>
        <w:tab/>
      </w:r>
      <w:r w:rsidR="00762B1D">
        <w:rPr>
          <w:rFonts w:asciiTheme="minorHAnsi" w:hAnsiTheme="minorHAnsi"/>
          <w:sz w:val="24"/>
        </w:rPr>
        <w:t xml:space="preserve">is the </w:t>
      </w:r>
      <w:r w:rsidR="00762B1D" w:rsidRPr="00E37818">
        <w:rPr>
          <w:rFonts w:asciiTheme="minorHAnsi" w:hAnsiTheme="minorHAnsi"/>
          <w:b/>
          <w:sz w:val="24"/>
        </w:rPr>
        <w:t>CPI</w:t>
      </w:r>
      <w:r w:rsidR="00762B1D">
        <w:rPr>
          <w:rFonts w:asciiTheme="minorHAnsi" w:hAnsiTheme="minorHAnsi"/>
          <w:sz w:val="24"/>
        </w:rPr>
        <w:t xml:space="preserve"> for </w:t>
      </w:r>
      <w:proofErr w:type="gramStart"/>
      <w:r w:rsidR="00762B1D">
        <w:rPr>
          <w:rFonts w:asciiTheme="minorHAnsi" w:hAnsiTheme="minorHAnsi"/>
          <w:sz w:val="24"/>
        </w:rPr>
        <w:t>periods</w:t>
      </w:r>
      <w:proofErr w:type="gramEnd"/>
      <w:r w:rsidR="00762B1D">
        <w:rPr>
          <w:rFonts w:asciiTheme="minorHAnsi" w:hAnsiTheme="minorHAnsi"/>
          <w:sz w:val="24"/>
        </w:rPr>
        <w:t xml:space="preserve"> </w:t>
      </w:r>
      <w:r w:rsidR="00E37818">
        <w:rPr>
          <w:rFonts w:asciiTheme="minorHAnsi" w:hAnsiTheme="minorHAnsi"/>
          <w:sz w:val="24"/>
        </w:rPr>
        <w:t xml:space="preserve">t = </w:t>
      </w:r>
      <w:r w:rsidR="00762B1D">
        <w:rPr>
          <w:rFonts w:asciiTheme="minorHAnsi" w:hAnsiTheme="minorHAnsi"/>
          <w:sz w:val="24"/>
        </w:rPr>
        <w:t>2009 to 2013, calculated using Equation 11:</w:t>
      </w:r>
    </w:p>
    <w:p w:rsidR="00762B1D" w:rsidRPr="00762B1D" w:rsidRDefault="00762B1D" w:rsidP="00E6601E">
      <w:pPr>
        <w:pStyle w:val="Para1"/>
        <w:numPr>
          <w:ilvl w:val="0"/>
          <w:numId w:val="0"/>
        </w:numPr>
        <w:ind w:left="2410"/>
        <w:rPr>
          <w:b/>
          <w:position w:val="-12"/>
        </w:rPr>
      </w:pPr>
      <w:r w:rsidRPr="00762B1D">
        <w:rPr>
          <w:b/>
          <w:position w:val="-12"/>
        </w:rPr>
        <w:t xml:space="preserve">Equation </w:t>
      </w:r>
      <w:r>
        <w:rPr>
          <w:b/>
          <w:position w:val="-12"/>
        </w:rPr>
        <w:t>11</w:t>
      </w:r>
    </w:p>
    <w:p w:rsidR="00E035FB" w:rsidRPr="00E035FB" w:rsidRDefault="00E035FB" w:rsidP="00E6601E">
      <w:pPr>
        <w:pStyle w:val="Tabletext1"/>
        <w:spacing w:before="0" w:after="240"/>
        <w:ind w:left="2410"/>
        <w:rPr>
          <w:rFonts w:asciiTheme="minorHAnsi" w:hAnsiTheme="minorHAnsi"/>
          <w:position w:val="-32"/>
          <w:sz w:val="24"/>
        </w:rPr>
      </w:pPr>
      <w:r w:rsidRPr="00E035FB">
        <w:rPr>
          <w:rFonts w:asciiTheme="minorHAnsi" w:hAnsiTheme="minorHAnsi"/>
          <w:position w:val="-32"/>
          <w:sz w:val="24"/>
        </w:rPr>
        <w:object w:dxaOrig="1200" w:dyaOrig="720">
          <v:shape id="_x0000_i1060" type="#_x0000_t75" style="width:58.25pt;height:36.3pt" o:ole="">
            <v:imagedata r:id="rId75" o:title=""/>
          </v:shape>
          <o:OLEObject Type="Embed" ProgID="Equation.3" ShapeID="_x0000_i1060" DrawAspect="Content" ObjectID="_1421845015" r:id="rId76"/>
        </w:object>
      </w:r>
    </w:p>
    <w:p w:rsidR="00E035FB" w:rsidRPr="00E035FB" w:rsidRDefault="00EF14A3" w:rsidP="00E6601E">
      <w:pPr>
        <w:pStyle w:val="Tabletext1"/>
        <w:spacing w:before="0" w:after="240"/>
        <w:ind w:left="2410"/>
        <w:rPr>
          <w:rFonts w:asciiTheme="minorHAnsi" w:hAnsiTheme="minorHAnsi"/>
          <w:sz w:val="24"/>
        </w:rPr>
      </w:pPr>
      <w:r>
        <w:rPr>
          <w:rFonts w:asciiTheme="minorHAnsi" w:hAnsiTheme="minorHAnsi"/>
          <w:sz w:val="24"/>
        </w:rPr>
        <w:t xml:space="preserve">The </w:t>
      </w:r>
      <w:proofErr w:type="spellStart"/>
      <w:r w:rsidR="00E035FB" w:rsidRPr="00E035FB">
        <w:rPr>
          <w:rFonts w:asciiTheme="minorHAnsi" w:hAnsiTheme="minorHAnsi"/>
          <w:sz w:val="24"/>
        </w:rPr>
        <w:t>CPI</w:t>
      </w:r>
      <w:r w:rsidR="00E035FB" w:rsidRPr="00E6601E">
        <w:rPr>
          <w:rFonts w:asciiTheme="minorHAnsi" w:hAnsiTheme="minorHAnsi"/>
          <w:sz w:val="24"/>
          <w:vertAlign w:val="subscript"/>
        </w:rPr>
        <w:t>Sep</w:t>
      </w:r>
      <w:proofErr w:type="spellEnd"/>
      <w:r w:rsidR="00E035FB" w:rsidRPr="00E6601E">
        <w:rPr>
          <w:rFonts w:asciiTheme="minorHAnsi" w:hAnsiTheme="minorHAnsi"/>
          <w:sz w:val="24"/>
          <w:vertAlign w:val="subscript"/>
        </w:rPr>
        <w:t xml:space="preserve">, 2013 </w:t>
      </w:r>
      <w:r w:rsidR="00E035FB" w:rsidRPr="00E035FB">
        <w:rPr>
          <w:rFonts w:asciiTheme="minorHAnsi" w:hAnsiTheme="minorHAnsi"/>
          <w:sz w:val="24"/>
        </w:rPr>
        <w:t>value shall be the Reserve Bank forecast contained in the data for the March 2013 Monetary Policy Statement.</w:t>
      </w:r>
    </w:p>
    <w:p w:rsidR="00E035FB" w:rsidRPr="00E035FB" w:rsidRDefault="00E035FB" w:rsidP="00BD0043">
      <w:pPr>
        <w:pStyle w:val="Tabletext1"/>
        <w:spacing w:before="0" w:after="240"/>
        <w:rPr>
          <w:rFonts w:asciiTheme="minorHAnsi" w:hAnsiTheme="minorHAnsi"/>
          <w:b/>
          <w:sz w:val="24"/>
        </w:rPr>
      </w:pPr>
      <w:r w:rsidRPr="00E035FB">
        <w:rPr>
          <w:rFonts w:asciiTheme="minorHAnsi" w:hAnsiTheme="minorHAnsi"/>
          <w:b/>
          <w:sz w:val="24"/>
        </w:rPr>
        <w:t>Step 2</w:t>
      </w:r>
    </w:p>
    <w:p w:rsidR="00010C0D" w:rsidRPr="00E035FB" w:rsidRDefault="00E035FB" w:rsidP="00BD0043">
      <w:pPr>
        <w:pStyle w:val="Tabletext1"/>
        <w:spacing w:before="0" w:after="240"/>
        <w:rPr>
          <w:rFonts w:asciiTheme="minorHAnsi" w:hAnsiTheme="minorHAnsi"/>
          <w:sz w:val="24"/>
        </w:rPr>
      </w:pPr>
      <w:r w:rsidRPr="00E035FB">
        <w:rPr>
          <w:rFonts w:asciiTheme="minorHAnsi" w:hAnsiTheme="minorHAnsi"/>
          <w:sz w:val="24"/>
        </w:rPr>
        <w:t>The total claw-back required (</w:t>
      </w:r>
      <w:proofErr w:type="spellStart"/>
      <w:r w:rsidRPr="00E035FB">
        <w:rPr>
          <w:rFonts w:asciiTheme="minorHAnsi" w:hAnsiTheme="minorHAnsi"/>
          <w:sz w:val="24"/>
        </w:rPr>
        <w:t>TCR</w:t>
      </w:r>
      <w:proofErr w:type="spellEnd"/>
      <w:r w:rsidRPr="00E035FB">
        <w:rPr>
          <w:rFonts w:asciiTheme="minorHAnsi" w:hAnsiTheme="minorHAnsi"/>
          <w:sz w:val="24"/>
        </w:rPr>
        <w:t xml:space="preserve">) is the sum of the claw-back required for </w:t>
      </w:r>
      <w:r w:rsidR="00E6601E">
        <w:rPr>
          <w:rFonts w:asciiTheme="minorHAnsi" w:hAnsiTheme="minorHAnsi"/>
          <w:sz w:val="24"/>
        </w:rPr>
        <w:t>each of the periods (a) to (d) (t = 2009 to 2012 inclusive)</w:t>
      </w:r>
      <w:r w:rsidR="00010C0D">
        <w:rPr>
          <w:rFonts w:asciiTheme="minorHAnsi" w:hAnsiTheme="minorHAnsi"/>
          <w:sz w:val="24"/>
        </w:rPr>
        <w:t xml:space="preserve"> if the calculation produces a positive value, </w:t>
      </w:r>
      <w:proofErr w:type="gramStart"/>
      <w:r w:rsidR="00010C0D">
        <w:rPr>
          <w:rFonts w:asciiTheme="minorHAnsi" w:hAnsiTheme="minorHAnsi"/>
          <w:sz w:val="24"/>
        </w:rPr>
        <w:t xml:space="preserve">or </w:t>
      </w:r>
      <w:r w:rsidRPr="00E035FB">
        <w:rPr>
          <w:rFonts w:asciiTheme="minorHAnsi" w:hAnsiTheme="minorHAnsi"/>
          <w:sz w:val="24"/>
        </w:rPr>
        <w:t>.</w:t>
      </w:r>
      <w:proofErr w:type="gramEnd"/>
      <w:r w:rsidR="00010C0D">
        <w:rPr>
          <w:rFonts w:asciiTheme="minorHAnsi" w:hAnsiTheme="minorHAnsi"/>
          <w:sz w:val="24"/>
        </w:rPr>
        <w:t xml:space="preserve"> </w:t>
      </w:r>
      <w:proofErr w:type="gramStart"/>
      <w:r w:rsidR="00010C0D">
        <w:rPr>
          <w:rFonts w:asciiTheme="minorHAnsi" w:hAnsiTheme="minorHAnsi"/>
          <w:sz w:val="24"/>
        </w:rPr>
        <w:t>nil</w:t>
      </w:r>
      <w:proofErr w:type="gramEnd"/>
      <w:r w:rsidR="00010C0D">
        <w:rPr>
          <w:rFonts w:asciiTheme="minorHAnsi" w:hAnsiTheme="minorHAnsi"/>
          <w:sz w:val="24"/>
        </w:rPr>
        <w:t xml:space="preserve"> if the calculation produces a negative value. </w:t>
      </w:r>
    </w:p>
    <w:p w:rsidR="00E035FB" w:rsidRPr="00E035FB" w:rsidRDefault="00E035FB" w:rsidP="00BD0043">
      <w:pPr>
        <w:pStyle w:val="Tabletext1"/>
        <w:spacing w:before="0" w:after="240"/>
        <w:rPr>
          <w:rFonts w:asciiTheme="minorHAnsi" w:hAnsiTheme="minorHAnsi"/>
          <w:b/>
          <w:sz w:val="24"/>
        </w:rPr>
      </w:pPr>
      <w:r w:rsidRPr="00E035FB">
        <w:rPr>
          <w:rFonts w:asciiTheme="minorHAnsi" w:hAnsiTheme="minorHAnsi"/>
          <w:b/>
          <w:sz w:val="24"/>
        </w:rPr>
        <w:t>Step 3</w:t>
      </w:r>
    </w:p>
    <w:p w:rsidR="00E035FB" w:rsidRDefault="00E035FB" w:rsidP="00BD0043">
      <w:pPr>
        <w:pStyle w:val="Tabletext1"/>
        <w:spacing w:before="0" w:after="240"/>
        <w:rPr>
          <w:rFonts w:asciiTheme="minorHAnsi" w:hAnsiTheme="minorHAnsi"/>
          <w:sz w:val="24"/>
        </w:rPr>
      </w:pPr>
      <w:r w:rsidRPr="00E035FB">
        <w:rPr>
          <w:rFonts w:asciiTheme="minorHAnsi" w:hAnsiTheme="minorHAnsi"/>
          <w:sz w:val="24"/>
        </w:rPr>
        <w:t xml:space="preserve">The claw-back </w:t>
      </w:r>
      <w:r w:rsidR="00E6601E">
        <w:rPr>
          <w:rFonts w:asciiTheme="minorHAnsi" w:hAnsiTheme="minorHAnsi"/>
          <w:sz w:val="24"/>
        </w:rPr>
        <w:t>amounts that are</w:t>
      </w:r>
      <w:r w:rsidRPr="00E035FB">
        <w:rPr>
          <w:rFonts w:asciiTheme="minorHAnsi" w:hAnsiTheme="minorHAnsi"/>
          <w:sz w:val="24"/>
        </w:rPr>
        <w:t xml:space="preserve"> allocated against each of the </w:t>
      </w:r>
      <w:r w:rsidRPr="00E6601E">
        <w:rPr>
          <w:rFonts w:asciiTheme="minorHAnsi" w:hAnsiTheme="minorHAnsi"/>
          <w:b/>
          <w:sz w:val="24"/>
        </w:rPr>
        <w:t>assessment periods</w:t>
      </w:r>
      <w:r w:rsidRPr="00E035FB">
        <w:rPr>
          <w:rFonts w:asciiTheme="minorHAnsi" w:hAnsiTheme="minorHAnsi"/>
          <w:sz w:val="24"/>
        </w:rPr>
        <w:t xml:space="preserve"> in the </w:t>
      </w:r>
      <w:r w:rsidRPr="00E6601E">
        <w:rPr>
          <w:rFonts w:asciiTheme="minorHAnsi" w:hAnsiTheme="minorHAnsi"/>
          <w:b/>
          <w:sz w:val="24"/>
        </w:rPr>
        <w:t>regulatory period</w:t>
      </w:r>
      <w:r w:rsidR="00E6601E">
        <w:rPr>
          <w:rFonts w:asciiTheme="minorHAnsi" w:hAnsiTheme="minorHAnsi"/>
          <w:sz w:val="24"/>
        </w:rPr>
        <w:t xml:space="preserve"> are set out in Table </w:t>
      </w:r>
      <w:r w:rsidR="00F8207E">
        <w:rPr>
          <w:rFonts w:asciiTheme="minorHAnsi" w:hAnsiTheme="minorHAnsi"/>
          <w:sz w:val="24"/>
        </w:rPr>
        <w:t>4</w:t>
      </w:r>
      <w:r w:rsidRPr="00E035FB">
        <w:rPr>
          <w:rFonts w:asciiTheme="minorHAnsi" w:hAnsiTheme="minorHAnsi"/>
          <w:sz w:val="24"/>
        </w:rPr>
        <w:t xml:space="preserve">. </w:t>
      </w:r>
    </w:p>
    <w:p w:rsidR="00E6601E" w:rsidRDefault="00E6601E" w:rsidP="00C41255">
      <w:pPr>
        <w:rPr>
          <w:rFonts w:asciiTheme="minorHAnsi" w:hAnsiTheme="minorHAnsi"/>
        </w:rPr>
      </w:pPr>
      <w:r>
        <w:rPr>
          <w:rFonts w:asciiTheme="minorHAnsi" w:hAnsiTheme="minorHAnsi"/>
        </w:rPr>
        <w:t xml:space="preserve">The </w:t>
      </w:r>
      <w:r w:rsidRPr="00E035FB">
        <w:rPr>
          <w:rFonts w:asciiTheme="minorHAnsi" w:hAnsiTheme="minorHAnsi"/>
        </w:rPr>
        <w:t xml:space="preserve">discount rate </w:t>
      </w:r>
      <w:r w:rsidR="00C41255">
        <w:rPr>
          <w:rFonts w:asciiTheme="minorHAnsi" w:hAnsiTheme="minorHAnsi"/>
        </w:rPr>
        <w:t xml:space="preserve">(r) </w:t>
      </w:r>
      <w:r w:rsidR="00D60234">
        <w:rPr>
          <w:rFonts w:asciiTheme="minorHAnsi" w:hAnsiTheme="minorHAnsi"/>
        </w:rPr>
        <w:t xml:space="preserve">in Table </w:t>
      </w:r>
      <w:r w:rsidR="00F8207E">
        <w:rPr>
          <w:rFonts w:asciiTheme="minorHAnsi" w:hAnsiTheme="minorHAnsi"/>
        </w:rPr>
        <w:t>4</w:t>
      </w:r>
      <w:r w:rsidR="00D60234">
        <w:rPr>
          <w:rFonts w:asciiTheme="minorHAnsi" w:hAnsiTheme="minorHAnsi"/>
        </w:rPr>
        <w:t xml:space="preserve"> </w:t>
      </w:r>
      <w:r w:rsidR="00C41255">
        <w:rPr>
          <w:rFonts w:asciiTheme="minorHAnsi" w:hAnsiTheme="minorHAnsi"/>
        </w:rPr>
        <w:t xml:space="preserve">is </w:t>
      </w:r>
      <w:r w:rsidRPr="00E035FB">
        <w:rPr>
          <w:rFonts w:asciiTheme="minorHAnsi" w:hAnsiTheme="minorHAnsi"/>
        </w:rPr>
        <w:t>[y</w:t>
      </w:r>
      <w:proofErr w:type="gramStart"/>
      <w:r w:rsidRPr="00E035FB">
        <w:rPr>
          <w:rFonts w:asciiTheme="minorHAnsi" w:hAnsiTheme="minorHAnsi"/>
        </w:rPr>
        <w:t>]%</w:t>
      </w:r>
      <w:proofErr w:type="gramEnd"/>
      <w:r w:rsidR="00C41255">
        <w:rPr>
          <w:rFonts w:asciiTheme="minorHAnsi" w:hAnsiTheme="minorHAnsi"/>
        </w:rPr>
        <w:t>.</w:t>
      </w:r>
    </w:p>
    <w:p w:rsidR="00D60234" w:rsidRPr="00C41255" w:rsidRDefault="00D60234" w:rsidP="00C41255"/>
    <w:p w:rsidR="00E6601E" w:rsidRPr="00E6601E" w:rsidRDefault="00E6601E" w:rsidP="00E6601E">
      <w:pPr>
        <w:pStyle w:val="BodyText"/>
        <w:jc w:val="center"/>
        <w:rPr>
          <w:b/>
          <w:u w:val="single"/>
        </w:rPr>
      </w:pPr>
      <w:r w:rsidRPr="00E6601E">
        <w:rPr>
          <w:b/>
          <w:u w:val="single"/>
        </w:rPr>
        <w:t xml:space="preserve">Table </w:t>
      </w:r>
      <w:r w:rsidR="00F8207E">
        <w:rPr>
          <w:b/>
          <w:u w:val="single"/>
        </w:rPr>
        <w:t xml:space="preserve">4 </w:t>
      </w:r>
      <w:r w:rsidR="00D60234">
        <w:rPr>
          <w:b/>
          <w:u w:val="single"/>
        </w:rPr>
        <w:t>Claw-back amounts to be recovered in each assessment period</w:t>
      </w:r>
    </w:p>
    <w:tbl>
      <w:tblPr>
        <w:tblW w:w="8363" w:type="dxa"/>
        <w:tblInd w:w="817" w:type="dxa"/>
        <w:shd w:val="clear" w:color="auto" w:fill="BFBFBF"/>
        <w:tblLook w:val="04A0"/>
      </w:tblPr>
      <w:tblGrid>
        <w:gridCol w:w="8363"/>
      </w:tblGrid>
      <w:tr w:rsidR="00E035FB" w:rsidRPr="00E035FB" w:rsidTr="004B3E19">
        <w:tc>
          <w:tcPr>
            <w:tcW w:w="836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7"/>
              <w:gridCol w:w="3289"/>
            </w:tblGrid>
            <w:tr w:rsidR="00E035FB" w:rsidRPr="00D60234" w:rsidTr="004B3E19">
              <w:trPr>
                <w:trHeight w:val="537"/>
              </w:trPr>
              <w:tc>
                <w:tcPr>
                  <w:tcW w:w="4847" w:type="dxa"/>
                </w:tcPr>
                <w:p w:rsidR="00E035FB" w:rsidRPr="00D60234" w:rsidRDefault="00E035FB" w:rsidP="004B3E19">
                  <w:pPr>
                    <w:pStyle w:val="Tabletext1"/>
                    <w:rPr>
                      <w:rFonts w:asciiTheme="minorHAnsi" w:hAnsiTheme="minorHAnsi"/>
                      <w:b/>
                      <w:sz w:val="24"/>
                    </w:rPr>
                  </w:pPr>
                  <w:r w:rsidRPr="00D60234">
                    <w:rPr>
                      <w:rFonts w:asciiTheme="minorHAnsi" w:hAnsiTheme="minorHAnsi"/>
                      <w:b/>
                      <w:sz w:val="24"/>
                    </w:rPr>
                    <w:t>Assessment period</w:t>
                  </w:r>
                </w:p>
              </w:tc>
              <w:tc>
                <w:tcPr>
                  <w:tcW w:w="3289" w:type="dxa"/>
                </w:tcPr>
                <w:p w:rsidR="00E035FB" w:rsidRPr="00D60234" w:rsidRDefault="00E035FB" w:rsidP="004B3E19">
                  <w:pPr>
                    <w:pStyle w:val="Tabletext1"/>
                    <w:rPr>
                      <w:rFonts w:asciiTheme="minorHAnsi" w:hAnsiTheme="minorHAnsi"/>
                      <w:b/>
                      <w:sz w:val="24"/>
                    </w:rPr>
                  </w:pPr>
                  <w:r w:rsidRPr="00D60234">
                    <w:rPr>
                      <w:rFonts w:asciiTheme="minorHAnsi" w:hAnsiTheme="minorHAnsi"/>
                      <w:b/>
                      <w:sz w:val="24"/>
                    </w:rPr>
                    <w:t xml:space="preserve">Claw-back to be recovered during the assessment period </w:t>
                  </w:r>
                </w:p>
              </w:tc>
            </w:tr>
            <w:tr w:rsidR="00EF14A3" w:rsidRPr="00E035FB" w:rsidTr="00995F7A">
              <w:trPr>
                <w:trHeight w:val="170"/>
              </w:trPr>
              <w:tc>
                <w:tcPr>
                  <w:tcW w:w="4847" w:type="dxa"/>
                </w:tcPr>
                <w:p w:rsidR="00EF14A3" w:rsidRPr="00E035FB" w:rsidRDefault="00EF14A3" w:rsidP="004B3E19">
                  <w:pPr>
                    <w:pStyle w:val="Tabletext1"/>
                    <w:rPr>
                      <w:rFonts w:asciiTheme="minorHAnsi" w:hAnsiTheme="minorHAnsi"/>
                      <w:sz w:val="24"/>
                    </w:rPr>
                  </w:pPr>
                  <w:r w:rsidRPr="00EF14A3">
                    <w:rPr>
                      <w:rFonts w:asciiTheme="minorHAnsi" w:hAnsiTheme="minorHAnsi"/>
                      <w:b/>
                      <w:sz w:val="24"/>
                    </w:rPr>
                    <w:t>First assessment period</w:t>
                  </w:r>
                  <w:r>
                    <w:rPr>
                      <w:rFonts w:asciiTheme="minorHAnsi" w:hAnsiTheme="minorHAnsi"/>
                      <w:sz w:val="24"/>
                    </w:rPr>
                    <w:t xml:space="preserve">: </w:t>
                  </w:r>
                  <w:r w:rsidRPr="00E035FB">
                    <w:rPr>
                      <w:rFonts w:asciiTheme="minorHAnsi" w:hAnsiTheme="minorHAnsi"/>
                      <w:sz w:val="24"/>
                    </w:rPr>
                    <w:t>1 Jul 2013 – 30 Sep 2014</w:t>
                  </w:r>
                </w:p>
              </w:tc>
              <w:tc>
                <w:tcPr>
                  <w:tcW w:w="3289" w:type="dxa"/>
                </w:tcPr>
                <w:p w:rsidR="00EF14A3" w:rsidRPr="00E035FB" w:rsidRDefault="00EF14A3" w:rsidP="004B3E19">
                  <w:pPr>
                    <w:pStyle w:val="Tabletext1"/>
                    <w:rPr>
                      <w:rFonts w:asciiTheme="minorHAnsi" w:hAnsiTheme="minorHAnsi"/>
                      <w:sz w:val="24"/>
                    </w:rPr>
                  </w:pPr>
                  <w:r w:rsidRPr="00E035FB">
                    <w:rPr>
                      <w:rFonts w:asciiTheme="minorHAnsi" w:hAnsiTheme="minorHAnsi"/>
                      <w:sz w:val="24"/>
                    </w:rPr>
                    <w:t>(</w:t>
                  </w:r>
                  <w:proofErr w:type="spellStart"/>
                  <w:r w:rsidRPr="00E035FB">
                    <w:rPr>
                      <w:rFonts w:asciiTheme="minorHAnsi" w:hAnsiTheme="minorHAnsi"/>
                      <w:sz w:val="24"/>
                    </w:rPr>
                    <w:t>TCR</w:t>
                  </w:r>
                  <w:proofErr w:type="spellEnd"/>
                  <w:r w:rsidRPr="00E035FB">
                    <w:rPr>
                      <w:rFonts w:asciiTheme="minorHAnsi" w:hAnsiTheme="minorHAnsi"/>
                      <w:sz w:val="24"/>
                    </w:rPr>
                    <w:t>/4.25)*1.25</w:t>
                  </w:r>
                </w:p>
              </w:tc>
            </w:tr>
            <w:tr w:rsidR="00EF14A3" w:rsidRPr="00E035FB" w:rsidTr="00995F7A">
              <w:trPr>
                <w:trHeight w:val="170"/>
              </w:trPr>
              <w:tc>
                <w:tcPr>
                  <w:tcW w:w="4847" w:type="dxa"/>
                </w:tcPr>
                <w:p w:rsidR="00EF14A3" w:rsidRPr="00E035FB" w:rsidRDefault="00EF14A3" w:rsidP="004B3E19">
                  <w:pPr>
                    <w:pStyle w:val="Tabletext1"/>
                    <w:rPr>
                      <w:rFonts w:asciiTheme="minorHAnsi" w:hAnsiTheme="minorHAnsi"/>
                      <w:sz w:val="24"/>
                    </w:rPr>
                  </w:pPr>
                  <w:r w:rsidRPr="00E035FB">
                    <w:rPr>
                      <w:rFonts w:asciiTheme="minorHAnsi" w:hAnsiTheme="minorHAnsi"/>
                      <w:sz w:val="24"/>
                    </w:rPr>
                    <w:t xml:space="preserve">Second </w:t>
                  </w:r>
                  <w:r w:rsidRPr="00EF14A3">
                    <w:rPr>
                      <w:rFonts w:asciiTheme="minorHAnsi" w:hAnsiTheme="minorHAnsi"/>
                      <w:b/>
                      <w:sz w:val="24"/>
                    </w:rPr>
                    <w:t>assessment period</w:t>
                  </w:r>
                  <w:r>
                    <w:rPr>
                      <w:rFonts w:asciiTheme="minorHAnsi" w:hAnsiTheme="minorHAnsi"/>
                      <w:sz w:val="24"/>
                    </w:rPr>
                    <w:t xml:space="preserve">: </w:t>
                  </w:r>
                  <w:r w:rsidRPr="00E035FB">
                    <w:rPr>
                      <w:rFonts w:asciiTheme="minorHAnsi" w:hAnsiTheme="minorHAnsi"/>
                      <w:sz w:val="24"/>
                    </w:rPr>
                    <w:t>1 Oct 2014 – 30 Sep 2015</w:t>
                  </w:r>
                </w:p>
              </w:tc>
              <w:tc>
                <w:tcPr>
                  <w:tcW w:w="3289" w:type="dxa"/>
                </w:tcPr>
                <w:p w:rsidR="00EF14A3" w:rsidRPr="00E035FB" w:rsidRDefault="00EF14A3" w:rsidP="004B3E19">
                  <w:pPr>
                    <w:pStyle w:val="Tabletext1"/>
                    <w:rPr>
                      <w:rFonts w:asciiTheme="minorHAnsi" w:hAnsiTheme="minorHAnsi"/>
                      <w:sz w:val="24"/>
                    </w:rPr>
                  </w:pPr>
                  <w:r w:rsidRPr="00E035FB">
                    <w:rPr>
                      <w:rFonts w:asciiTheme="minorHAnsi" w:hAnsiTheme="minorHAnsi"/>
                      <w:sz w:val="24"/>
                    </w:rPr>
                    <w:t>((</w:t>
                  </w:r>
                  <w:proofErr w:type="spellStart"/>
                  <w:r w:rsidRPr="00E035FB">
                    <w:rPr>
                      <w:rFonts w:asciiTheme="minorHAnsi" w:hAnsiTheme="minorHAnsi"/>
                      <w:sz w:val="24"/>
                    </w:rPr>
                    <w:t>TCR</w:t>
                  </w:r>
                  <w:proofErr w:type="spellEnd"/>
                  <w:r w:rsidRPr="00E035FB">
                    <w:rPr>
                      <w:rFonts w:asciiTheme="minorHAnsi" w:hAnsiTheme="minorHAnsi"/>
                      <w:sz w:val="24"/>
                    </w:rPr>
                    <w:t>/4.25) + (</w:t>
                  </w:r>
                  <w:proofErr w:type="spellStart"/>
                  <w:r w:rsidRPr="00E035FB">
                    <w:rPr>
                      <w:rFonts w:asciiTheme="minorHAnsi" w:hAnsiTheme="minorHAnsi"/>
                      <w:sz w:val="24"/>
                    </w:rPr>
                    <w:t>CR</w:t>
                  </w:r>
                  <w:r w:rsidRPr="00E035FB">
                    <w:rPr>
                      <w:rFonts w:asciiTheme="minorHAnsi" w:hAnsiTheme="minorHAnsi"/>
                      <w:sz w:val="24"/>
                      <w:vertAlign w:val="subscript"/>
                    </w:rPr>
                    <w:t>2013</w:t>
                  </w:r>
                  <w:proofErr w:type="spellEnd"/>
                  <w:r w:rsidRPr="00E035FB">
                    <w:rPr>
                      <w:rFonts w:asciiTheme="minorHAnsi" w:hAnsiTheme="minorHAnsi"/>
                      <w:sz w:val="24"/>
                    </w:rPr>
                    <w:t>/3))*(</w:t>
                  </w:r>
                  <w:proofErr w:type="spellStart"/>
                  <w:r w:rsidRPr="00E035FB">
                    <w:rPr>
                      <w:rFonts w:asciiTheme="minorHAnsi" w:hAnsiTheme="minorHAnsi"/>
                      <w:sz w:val="24"/>
                    </w:rPr>
                    <w:t>1+r</w:t>
                  </w:r>
                  <w:proofErr w:type="spellEnd"/>
                  <w:r w:rsidRPr="00E035FB">
                    <w:rPr>
                      <w:rFonts w:asciiTheme="minorHAnsi" w:hAnsiTheme="minorHAnsi"/>
                      <w:sz w:val="24"/>
                    </w:rPr>
                    <w:t>)</w:t>
                  </w:r>
                </w:p>
              </w:tc>
            </w:tr>
            <w:tr w:rsidR="00EF14A3" w:rsidRPr="00E035FB" w:rsidTr="00995F7A">
              <w:trPr>
                <w:trHeight w:val="170"/>
              </w:trPr>
              <w:tc>
                <w:tcPr>
                  <w:tcW w:w="4847" w:type="dxa"/>
                </w:tcPr>
                <w:p w:rsidR="00EF14A3" w:rsidRPr="00E035FB" w:rsidRDefault="00EF14A3" w:rsidP="004B3E19">
                  <w:pPr>
                    <w:pStyle w:val="Tabletext1"/>
                    <w:rPr>
                      <w:rFonts w:asciiTheme="minorHAnsi" w:hAnsiTheme="minorHAnsi"/>
                      <w:sz w:val="24"/>
                    </w:rPr>
                  </w:pPr>
                  <w:r w:rsidRPr="00E035FB">
                    <w:rPr>
                      <w:rFonts w:asciiTheme="minorHAnsi" w:hAnsiTheme="minorHAnsi"/>
                      <w:sz w:val="24"/>
                    </w:rPr>
                    <w:t xml:space="preserve">Third </w:t>
                  </w:r>
                  <w:r w:rsidRPr="00EF14A3">
                    <w:rPr>
                      <w:rFonts w:asciiTheme="minorHAnsi" w:hAnsiTheme="minorHAnsi"/>
                      <w:b/>
                      <w:sz w:val="24"/>
                    </w:rPr>
                    <w:t>assessment period</w:t>
                  </w:r>
                  <w:r>
                    <w:rPr>
                      <w:rFonts w:asciiTheme="minorHAnsi" w:hAnsiTheme="minorHAnsi"/>
                      <w:sz w:val="24"/>
                    </w:rPr>
                    <w:t xml:space="preserve">: </w:t>
                  </w:r>
                  <w:r w:rsidRPr="00E035FB">
                    <w:rPr>
                      <w:rFonts w:asciiTheme="minorHAnsi" w:hAnsiTheme="minorHAnsi"/>
                      <w:sz w:val="24"/>
                    </w:rPr>
                    <w:t>1 Oct 2015 – 30 Sep 2016</w:t>
                  </w:r>
                </w:p>
              </w:tc>
              <w:tc>
                <w:tcPr>
                  <w:tcW w:w="3289" w:type="dxa"/>
                </w:tcPr>
                <w:p w:rsidR="00EF14A3" w:rsidRPr="00E035FB" w:rsidRDefault="00EF14A3" w:rsidP="004B3E19">
                  <w:pPr>
                    <w:pStyle w:val="Tabletext1"/>
                    <w:rPr>
                      <w:rFonts w:asciiTheme="minorHAnsi" w:hAnsiTheme="minorHAnsi"/>
                      <w:sz w:val="24"/>
                    </w:rPr>
                  </w:pPr>
                  <w:r w:rsidRPr="00E035FB">
                    <w:rPr>
                      <w:rFonts w:asciiTheme="minorHAnsi" w:hAnsiTheme="minorHAnsi"/>
                      <w:sz w:val="24"/>
                    </w:rPr>
                    <w:t>((</w:t>
                  </w:r>
                  <w:proofErr w:type="spellStart"/>
                  <w:r w:rsidRPr="00E035FB">
                    <w:rPr>
                      <w:rFonts w:asciiTheme="minorHAnsi" w:hAnsiTheme="minorHAnsi"/>
                      <w:sz w:val="24"/>
                    </w:rPr>
                    <w:t>TCR</w:t>
                  </w:r>
                  <w:proofErr w:type="spellEnd"/>
                  <w:r w:rsidRPr="00E035FB">
                    <w:rPr>
                      <w:rFonts w:asciiTheme="minorHAnsi" w:hAnsiTheme="minorHAnsi"/>
                      <w:sz w:val="24"/>
                    </w:rPr>
                    <w:t>/4.25) + (</w:t>
                  </w:r>
                  <w:proofErr w:type="spellStart"/>
                  <w:r w:rsidRPr="00E035FB">
                    <w:rPr>
                      <w:rFonts w:asciiTheme="minorHAnsi" w:hAnsiTheme="minorHAnsi"/>
                      <w:sz w:val="24"/>
                    </w:rPr>
                    <w:t>CR</w:t>
                  </w:r>
                  <w:r w:rsidRPr="00E035FB">
                    <w:rPr>
                      <w:rFonts w:asciiTheme="minorHAnsi" w:hAnsiTheme="minorHAnsi"/>
                      <w:sz w:val="24"/>
                      <w:vertAlign w:val="subscript"/>
                    </w:rPr>
                    <w:t>2013</w:t>
                  </w:r>
                  <w:proofErr w:type="spellEnd"/>
                  <w:r w:rsidRPr="00E035FB">
                    <w:rPr>
                      <w:rFonts w:asciiTheme="minorHAnsi" w:hAnsiTheme="minorHAnsi"/>
                      <w:sz w:val="24"/>
                    </w:rPr>
                    <w:t>/3))*(</w:t>
                  </w:r>
                  <w:proofErr w:type="spellStart"/>
                  <w:r w:rsidRPr="00E035FB">
                    <w:rPr>
                      <w:rFonts w:asciiTheme="minorHAnsi" w:hAnsiTheme="minorHAnsi"/>
                      <w:sz w:val="24"/>
                    </w:rPr>
                    <w:t>1+r</w:t>
                  </w:r>
                  <w:proofErr w:type="spellEnd"/>
                  <w:r w:rsidRPr="00E035FB">
                    <w:rPr>
                      <w:rFonts w:asciiTheme="minorHAnsi" w:hAnsiTheme="minorHAnsi"/>
                      <w:sz w:val="24"/>
                    </w:rPr>
                    <w:t>)</w:t>
                  </w:r>
                  <w:r w:rsidRPr="00E035FB">
                    <w:rPr>
                      <w:rFonts w:asciiTheme="minorHAnsi" w:hAnsiTheme="minorHAnsi"/>
                      <w:sz w:val="24"/>
                      <w:vertAlign w:val="superscript"/>
                    </w:rPr>
                    <w:t>2</w:t>
                  </w:r>
                </w:p>
              </w:tc>
            </w:tr>
            <w:tr w:rsidR="00EF14A3" w:rsidRPr="00E035FB" w:rsidTr="00995F7A">
              <w:trPr>
                <w:trHeight w:val="170"/>
              </w:trPr>
              <w:tc>
                <w:tcPr>
                  <w:tcW w:w="4847" w:type="dxa"/>
                </w:tcPr>
                <w:p w:rsidR="00EF14A3" w:rsidRPr="00E035FB" w:rsidRDefault="00EF14A3" w:rsidP="004B3E19">
                  <w:pPr>
                    <w:pStyle w:val="Tabletext1"/>
                    <w:rPr>
                      <w:rFonts w:asciiTheme="minorHAnsi" w:hAnsiTheme="minorHAnsi"/>
                      <w:sz w:val="24"/>
                    </w:rPr>
                  </w:pPr>
                  <w:r w:rsidRPr="00E035FB">
                    <w:rPr>
                      <w:rFonts w:asciiTheme="minorHAnsi" w:hAnsiTheme="minorHAnsi"/>
                      <w:sz w:val="24"/>
                    </w:rPr>
                    <w:t xml:space="preserve">Fourth </w:t>
                  </w:r>
                  <w:r w:rsidRPr="00EF14A3">
                    <w:rPr>
                      <w:rFonts w:asciiTheme="minorHAnsi" w:hAnsiTheme="minorHAnsi"/>
                      <w:b/>
                      <w:sz w:val="24"/>
                    </w:rPr>
                    <w:t>assessment period</w:t>
                  </w:r>
                  <w:r>
                    <w:rPr>
                      <w:rFonts w:asciiTheme="minorHAnsi" w:hAnsiTheme="minorHAnsi"/>
                      <w:sz w:val="24"/>
                    </w:rPr>
                    <w:t xml:space="preserve">: </w:t>
                  </w:r>
                  <w:r w:rsidRPr="00E035FB">
                    <w:rPr>
                      <w:rFonts w:asciiTheme="minorHAnsi" w:hAnsiTheme="minorHAnsi"/>
                      <w:sz w:val="24"/>
                    </w:rPr>
                    <w:t>1 Oct 2016 – 30 Sep 2017</w:t>
                  </w:r>
                </w:p>
              </w:tc>
              <w:tc>
                <w:tcPr>
                  <w:tcW w:w="3289" w:type="dxa"/>
                </w:tcPr>
                <w:p w:rsidR="00EF14A3" w:rsidRPr="00E035FB" w:rsidRDefault="00EF14A3" w:rsidP="004B3E19">
                  <w:pPr>
                    <w:pStyle w:val="Tabletext1"/>
                    <w:rPr>
                      <w:rFonts w:asciiTheme="minorHAnsi" w:hAnsiTheme="minorHAnsi"/>
                      <w:sz w:val="24"/>
                    </w:rPr>
                  </w:pPr>
                  <w:r w:rsidRPr="00E035FB">
                    <w:rPr>
                      <w:rFonts w:asciiTheme="minorHAnsi" w:hAnsiTheme="minorHAnsi"/>
                      <w:sz w:val="24"/>
                    </w:rPr>
                    <w:t>((</w:t>
                  </w:r>
                  <w:proofErr w:type="spellStart"/>
                  <w:r w:rsidRPr="00E035FB">
                    <w:rPr>
                      <w:rFonts w:asciiTheme="minorHAnsi" w:hAnsiTheme="minorHAnsi"/>
                      <w:sz w:val="24"/>
                    </w:rPr>
                    <w:t>TCR</w:t>
                  </w:r>
                  <w:proofErr w:type="spellEnd"/>
                  <w:r w:rsidRPr="00E035FB">
                    <w:rPr>
                      <w:rFonts w:asciiTheme="minorHAnsi" w:hAnsiTheme="minorHAnsi"/>
                      <w:sz w:val="24"/>
                    </w:rPr>
                    <w:t>/4.25) + (</w:t>
                  </w:r>
                  <w:proofErr w:type="spellStart"/>
                  <w:r w:rsidRPr="00E035FB">
                    <w:rPr>
                      <w:rFonts w:asciiTheme="minorHAnsi" w:hAnsiTheme="minorHAnsi"/>
                      <w:sz w:val="24"/>
                    </w:rPr>
                    <w:t>CR</w:t>
                  </w:r>
                  <w:r w:rsidRPr="00E035FB">
                    <w:rPr>
                      <w:rFonts w:asciiTheme="minorHAnsi" w:hAnsiTheme="minorHAnsi"/>
                      <w:sz w:val="24"/>
                      <w:vertAlign w:val="subscript"/>
                    </w:rPr>
                    <w:t>2013</w:t>
                  </w:r>
                  <w:proofErr w:type="spellEnd"/>
                  <w:r w:rsidRPr="00E035FB">
                    <w:rPr>
                      <w:rFonts w:asciiTheme="minorHAnsi" w:hAnsiTheme="minorHAnsi"/>
                      <w:sz w:val="24"/>
                    </w:rPr>
                    <w:t>/3))*(</w:t>
                  </w:r>
                  <w:proofErr w:type="spellStart"/>
                  <w:r w:rsidRPr="00E035FB">
                    <w:rPr>
                      <w:rFonts w:asciiTheme="minorHAnsi" w:hAnsiTheme="minorHAnsi"/>
                      <w:sz w:val="24"/>
                    </w:rPr>
                    <w:t>1+r</w:t>
                  </w:r>
                  <w:proofErr w:type="spellEnd"/>
                  <w:r w:rsidRPr="00E035FB">
                    <w:rPr>
                      <w:rFonts w:asciiTheme="minorHAnsi" w:hAnsiTheme="minorHAnsi"/>
                      <w:sz w:val="24"/>
                    </w:rPr>
                    <w:t>)</w:t>
                  </w:r>
                  <w:r w:rsidRPr="00E035FB">
                    <w:rPr>
                      <w:rFonts w:asciiTheme="minorHAnsi" w:hAnsiTheme="minorHAnsi"/>
                      <w:sz w:val="24"/>
                      <w:vertAlign w:val="superscript"/>
                    </w:rPr>
                    <w:t>3</w:t>
                  </w:r>
                </w:p>
              </w:tc>
            </w:tr>
          </w:tbl>
          <w:p w:rsidR="00E035FB" w:rsidRPr="00E035FB" w:rsidRDefault="00E035FB" w:rsidP="004B3E19">
            <w:pPr>
              <w:pStyle w:val="Tabletext1"/>
              <w:rPr>
                <w:rFonts w:asciiTheme="minorHAnsi" w:hAnsiTheme="minorHAnsi"/>
                <w:sz w:val="24"/>
              </w:rPr>
            </w:pPr>
          </w:p>
        </w:tc>
      </w:tr>
    </w:tbl>
    <w:p w:rsidR="00E035FB" w:rsidRPr="00E035FB" w:rsidRDefault="00E035FB">
      <w:pPr>
        <w:rPr>
          <w:rFonts w:asciiTheme="minorHAnsi" w:hAnsiTheme="minorHAnsi"/>
          <w:szCs w:val="24"/>
        </w:rPr>
      </w:pPr>
    </w:p>
    <w:p w:rsidR="00D42BDA" w:rsidRDefault="00D42BDA">
      <w:pPr>
        <w:rPr>
          <w:b/>
        </w:rPr>
      </w:pPr>
      <w:r>
        <w:br w:type="page"/>
      </w:r>
    </w:p>
    <w:p w:rsidR="00E83B4C" w:rsidRPr="000F5804" w:rsidRDefault="00CF7718" w:rsidP="00F153F9">
      <w:pPr>
        <w:pStyle w:val="Heading2"/>
      </w:pPr>
      <w:bookmarkStart w:id="27" w:name="_Toc348091318"/>
      <w:r w:rsidRPr="00CF7718">
        <w:t xml:space="preserve">Schedule </w:t>
      </w:r>
      <w:r w:rsidR="00EF14A3">
        <w:t>7</w:t>
      </w:r>
      <w:r w:rsidR="00D42BDA">
        <w:t xml:space="preserve">: </w:t>
      </w:r>
      <w:r w:rsidR="00E83B4C" w:rsidRPr="000F5804">
        <w:t>Adjustments to allowable notional revenue and notional revenue resulting from a transaction</w:t>
      </w:r>
      <w:bookmarkEnd w:id="27"/>
    </w:p>
    <w:p w:rsidR="006652C9" w:rsidRDefault="00D35193">
      <w:pPr>
        <w:pStyle w:val="BodyText"/>
        <w:rPr>
          <w:szCs w:val="24"/>
        </w:rPr>
      </w:pPr>
      <w:r>
        <w:rPr>
          <w:szCs w:val="24"/>
        </w:rPr>
        <w:t xml:space="preserve">Where a </w:t>
      </w:r>
      <w:proofErr w:type="spellStart"/>
      <w:r>
        <w:rPr>
          <w:b/>
          <w:bCs/>
          <w:szCs w:val="24"/>
        </w:rPr>
        <w:t>GDB</w:t>
      </w:r>
      <w:proofErr w:type="spellEnd"/>
      <w:r>
        <w:rPr>
          <w:szCs w:val="24"/>
        </w:rPr>
        <w:t xml:space="preserve"> completes a transaction referred to in clause 10.3, the adjustment for the </w:t>
      </w:r>
      <w:r>
        <w:rPr>
          <w:b/>
          <w:bCs/>
          <w:szCs w:val="24"/>
        </w:rPr>
        <w:t>assessment period</w:t>
      </w:r>
      <w:r>
        <w:rPr>
          <w:szCs w:val="24"/>
        </w:rPr>
        <w:t xml:space="preserve"> is to:</w:t>
      </w:r>
    </w:p>
    <w:p w:rsidR="008605D2" w:rsidRDefault="00E83B4C" w:rsidP="004308B5">
      <w:pPr>
        <w:pStyle w:val="Para4"/>
        <w:numPr>
          <w:ilvl w:val="3"/>
          <w:numId w:val="104"/>
        </w:numPr>
        <w:tabs>
          <w:tab w:val="clear" w:pos="2835"/>
          <w:tab w:val="num" w:pos="1276"/>
        </w:tabs>
        <w:ind w:left="1276"/>
        <w:rPr>
          <w:rStyle w:val="Emphasis-Remove"/>
        </w:rPr>
      </w:pPr>
      <w:r w:rsidRPr="000F5804">
        <w:t xml:space="preserve">include allowable notional revenue and notional revenue amounts that are associated with the provision of </w:t>
      </w:r>
      <w:r w:rsidRPr="000F5804">
        <w:rPr>
          <w:rStyle w:val="Emphasis-Remove"/>
        </w:rPr>
        <w:t xml:space="preserve">any additional </w:t>
      </w:r>
      <w:r w:rsidR="00E91026" w:rsidRPr="004308B5">
        <w:rPr>
          <w:rStyle w:val="Emphasis-Remove"/>
          <w:b/>
        </w:rPr>
        <w:t>gas distribution services</w:t>
      </w:r>
      <w:r w:rsidRPr="000F5804">
        <w:rPr>
          <w:rStyle w:val="Emphasis-Remove"/>
        </w:rPr>
        <w:t xml:space="preserve"> the </w:t>
      </w:r>
      <w:proofErr w:type="spellStart"/>
      <w:r w:rsidR="00E91026" w:rsidRPr="004308B5">
        <w:rPr>
          <w:rStyle w:val="Emphasis-Remove"/>
          <w:b/>
        </w:rPr>
        <w:t>GDB</w:t>
      </w:r>
      <w:proofErr w:type="spellEnd"/>
      <w:r w:rsidRPr="000F5804">
        <w:rPr>
          <w:rStyle w:val="Emphasis-Remove"/>
        </w:rPr>
        <w:t xml:space="preserve"> supplies as a result of the transaction; or</w:t>
      </w:r>
    </w:p>
    <w:p w:rsidR="008605D2" w:rsidRDefault="00E83B4C" w:rsidP="004308B5">
      <w:pPr>
        <w:pStyle w:val="Para4"/>
        <w:tabs>
          <w:tab w:val="clear" w:pos="2835"/>
          <w:tab w:val="num" w:pos="1276"/>
        </w:tabs>
        <w:ind w:left="1276"/>
      </w:pPr>
      <w:r w:rsidRPr="000F5804">
        <w:rPr>
          <w:rStyle w:val="Emphasis-Remove"/>
        </w:rPr>
        <w:t xml:space="preserve">remove allowable notional revenue and notional revenue amounts that are associated with the </w:t>
      </w:r>
      <w:r w:rsidRPr="00E83B4C">
        <w:rPr>
          <w:rStyle w:val="Emphasis-Remove"/>
          <w:b/>
        </w:rPr>
        <w:t>gas distribution services</w:t>
      </w:r>
      <w:r w:rsidRPr="000F5804">
        <w:rPr>
          <w:rStyle w:val="Emphasis-Remove"/>
        </w:rPr>
        <w:t xml:space="preserve"> the </w:t>
      </w:r>
      <w:proofErr w:type="spellStart"/>
      <w:r w:rsidRPr="00E83B4C">
        <w:rPr>
          <w:rStyle w:val="Emphasis-Remove"/>
          <w:b/>
        </w:rPr>
        <w:t>GDB</w:t>
      </w:r>
      <w:proofErr w:type="spellEnd"/>
      <w:r w:rsidRPr="000F5804">
        <w:rPr>
          <w:rStyle w:val="Emphasis-Remove"/>
        </w:rPr>
        <w:t xml:space="preserve"> </w:t>
      </w:r>
      <w:r w:rsidRPr="000F5804">
        <w:t>no longer supplies as a result of the transaction,</w:t>
      </w:r>
    </w:p>
    <w:p w:rsidR="00E83B4C" w:rsidRDefault="00E83B4C" w:rsidP="00EF14A3">
      <w:pPr>
        <w:pStyle w:val="BodyText"/>
      </w:pPr>
      <w:proofErr w:type="gramStart"/>
      <w:r w:rsidRPr="000F5804">
        <w:t>such</w:t>
      </w:r>
      <w:proofErr w:type="gramEnd"/>
      <w:r w:rsidRPr="000F5804">
        <w:t xml:space="preserve"> that allowable notional revenue</w:t>
      </w:r>
      <w:r w:rsidRPr="00984459">
        <w:t xml:space="preserve"> </w:t>
      </w:r>
      <w:r>
        <w:t>is adjusted by the amount calculated using</w:t>
      </w:r>
      <w:r w:rsidRPr="000F5804">
        <w:t xml:space="preserve"> Equation </w:t>
      </w:r>
      <w:r w:rsidR="006F33A6">
        <w:t>12</w:t>
      </w:r>
      <w:r>
        <w:t xml:space="preserve">, and the corresponding adjustment to </w:t>
      </w:r>
      <w:r w:rsidRPr="00E56108">
        <w:t>notional revenue</w:t>
      </w:r>
      <w:r>
        <w:t xml:space="preserve"> uses the </w:t>
      </w:r>
      <w:r w:rsidR="00E91026" w:rsidRPr="00EC63FD">
        <w:rPr>
          <w:b/>
        </w:rPr>
        <w:t>quantities</w:t>
      </w:r>
      <w:r>
        <w:t xml:space="preserve"> as used in Equation </w:t>
      </w:r>
      <w:r w:rsidR="006F33A6">
        <w:t>12</w:t>
      </w:r>
      <w:r>
        <w:t>.</w:t>
      </w:r>
    </w:p>
    <w:p w:rsidR="00E83B4C" w:rsidRPr="000F5804" w:rsidRDefault="00E83B4C" w:rsidP="00E83B4C">
      <w:pPr>
        <w:pStyle w:val="UnnumberedL2"/>
        <w:rPr>
          <w:rStyle w:val="Emphasis-Bold"/>
        </w:rPr>
      </w:pPr>
      <w:r w:rsidRPr="000F5804">
        <w:rPr>
          <w:rStyle w:val="Emphasis-Bold"/>
        </w:rPr>
        <w:t xml:space="preserve">Equation </w:t>
      </w:r>
      <w:r w:rsidR="00354B7B">
        <w:rPr>
          <w:rStyle w:val="Emphasis-Bold"/>
        </w:rPr>
        <w:t>12</w:t>
      </w:r>
    </w:p>
    <w:p w:rsidR="00E83B4C" w:rsidRPr="000F5804" w:rsidRDefault="004308B5" w:rsidP="00E83B4C">
      <w:pPr>
        <w:pStyle w:val="UnnumberedL2"/>
      </w:pPr>
      <w:r w:rsidRPr="000F5804">
        <w:rPr>
          <w:position w:val="-28"/>
        </w:rPr>
        <w:object w:dxaOrig="3280" w:dyaOrig="540">
          <v:shape id="_x0000_i1061" type="#_x0000_t75" style="width:164.05pt;height:26.9pt" o:ole="">
            <v:imagedata r:id="rId77" o:title=""/>
          </v:shape>
          <o:OLEObject Type="Embed" ProgID="Equation.3" ShapeID="_x0000_i1061" DrawAspect="Content" ObjectID="_1421845016" r:id="rId78"/>
        </w:object>
      </w:r>
    </w:p>
    <w:tbl>
      <w:tblPr>
        <w:tblW w:w="9322" w:type="dxa"/>
        <w:tblLook w:val="04A0"/>
      </w:tblPr>
      <w:tblGrid>
        <w:gridCol w:w="1991"/>
        <w:gridCol w:w="7251"/>
        <w:gridCol w:w="80"/>
      </w:tblGrid>
      <w:tr w:rsidR="00E83B4C" w:rsidRPr="000F5804" w:rsidTr="00AD0694">
        <w:trPr>
          <w:gridAfter w:val="1"/>
          <w:wAfter w:w="80" w:type="dxa"/>
        </w:trPr>
        <w:tc>
          <w:tcPr>
            <w:tcW w:w="1991" w:type="dxa"/>
          </w:tcPr>
          <w:p w:rsidR="00E83B4C" w:rsidRPr="000F5804" w:rsidRDefault="00E91026" w:rsidP="002B75A3">
            <w:pPr>
              <w:pStyle w:val="UnnumberedL2"/>
            </w:pPr>
            <w:r w:rsidRPr="00EC63FD">
              <w:rPr>
                <w:rFonts w:asciiTheme="minorHAnsi" w:hAnsiTheme="minorHAnsi"/>
              </w:rPr>
              <w:t>where</w:t>
            </w:r>
            <w:r w:rsidR="00E83B4C" w:rsidRPr="000F5804">
              <w:t>:</w:t>
            </w:r>
          </w:p>
        </w:tc>
        <w:tc>
          <w:tcPr>
            <w:tcW w:w="7251" w:type="dxa"/>
          </w:tcPr>
          <w:p w:rsidR="00E83B4C" w:rsidRPr="000F5804" w:rsidRDefault="00E83B4C" w:rsidP="002B75A3">
            <w:pPr>
              <w:pStyle w:val="UnnumberedL2"/>
            </w:pPr>
          </w:p>
        </w:tc>
      </w:tr>
      <w:tr w:rsidR="00AD0694" w:rsidRPr="00D53361" w:rsidTr="004308B5">
        <w:tblPrEx>
          <w:tblLook w:val="01E0"/>
        </w:tblPrEx>
        <w:trPr>
          <w:trHeight w:val="245"/>
        </w:trPr>
        <w:tc>
          <w:tcPr>
            <w:tcW w:w="1991" w:type="dxa"/>
          </w:tcPr>
          <w:p w:rsidR="00AD0694" w:rsidRPr="00413932" w:rsidRDefault="00AD0694" w:rsidP="00EC63FD">
            <w:pPr>
              <w:pStyle w:val="Tablebodytext"/>
              <w:jc w:val="center"/>
              <w:rPr>
                <w:position w:val="-12"/>
              </w:rPr>
            </w:pPr>
            <w:r w:rsidRPr="00D53361">
              <w:rPr>
                <w:i/>
              </w:rPr>
              <w:t>t</w:t>
            </w:r>
          </w:p>
        </w:tc>
        <w:tc>
          <w:tcPr>
            <w:tcW w:w="7331" w:type="dxa"/>
            <w:gridSpan w:val="2"/>
          </w:tcPr>
          <w:p w:rsidR="00AD0694" w:rsidRDefault="004308B5" w:rsidP="00EC63FD">
            <w:pPr>
              <w:pStyle w:val="Tablebodytext"/>
            </w:pPr>
            <w:r w:rsidRPr="004308B5">
              <w:t xml:space="preserve">is the year in which the </w:t>
            </w:r>
            <w:r w:rsidRPr="004308B5">
              <w:rPr>
                <w:b/>
              </w:rPr>
              <w:t>pricing period</w:t>
            </w:r>
            <w:r w:rsidR="00514EA1">
              <w:t xml:space="preserve"> ends</w:t>
            </w:r>
            <w:r w:rsidR="00AD0694">
              <w:t>;</w:t>
            </w:r>
          </w:p>
        </w:tc>
      </w:tr>
      <w:tr w:rsidR="00E83B4C" w:rsidRPr="000F5804" w:rsidTr="00AD0694">
        <w:trPr>
          <w:gridAfter w:val="1"/>
          <w:wAfter w:w="80" w:type="dxa"/>
        </w:trPr>
        <w:tc>
          <w:tcPr>
            <w:tcW w:w="1991" w:type="dxa"/>
          </w:tcPr>
          <w:p w:rsidR="00E83B4C" w:rsidRPr="000F5804" w:rsidRDefault="004308B5" w:rsidP="002B75A3">
            <w:pPr>
              <w:pStyle w:val="UnnumberedL2"/>
            </w:pPr>
            <w:r w:rsidRPr="005A7E24">
              <w:rPr>
                <w:position w:val="-12"/>
              </w:rPr>
              <w:object w:dxaOrig="720" w:dyaOrig="380">
                <v:shape id="_x0000_i1062" type="#_x0000_t75" style="width:36.3pt;height:18.15pt" o:ole="">
                  <v:imagedata r:id="rId79" o:title=""/>
                </v:shape>
                <o:OLEObject Type="Embed" ProgID="Equation.3" ShapeID="_x0000_i1062" DrawAspect="Content" ObjectID="_1421845017" r:id="rId80"/>
              </w:object>
            </w:r>
          </w:p>
        </w:tc>
        <w:tc>
          <w:tcPr>
            <w:tcW w:w="7251" w:type="dxa"/>
          </w:tcPr>
          <w:p w:rsidR="002B75A3" w:rsidRDefault="00E83B4C" w:rsidP="00602613">
            <w:pPr>
              <w:pStyle w:val="UnnumberedL1"/>
              <w:ind w:left="0" w:hanging="6"/>
              <w:rPr>
                <w:i/>
                <w:iCs/>
              </w:rPr>
            </w:pPr>
            <w:r w:rsidRPr="000F5804">
              <w:t xml:space="preserve">is the </w:t>
            </w:r>
            <w:r>
              <w:t xml:space="preserve">amount that </w:t>
            </w:r>
            <w:r w:rsidRPr="000F5804">
              <w:t xml:space="preserve">allowable notional revenue for </w:t>
            </w:r>
            <w:r w:rsidR="004308B5">
              <w:t xml:space="preserve">the </w:t>
            </w:r>
            <w:r w:rsidR="004308B5" w:rsidRPr="004308B5">
              <w:rPr>
                <w:b/>
              </w:rPr>
              <w:t>pricing period</w:t>
            </w:r>
            <w:r w:rsidRPr="000F5804">
              <w:t xml:space="preserve"> </w:t>
            </w:r>
            <w:r>
              <w:t xml:space="preserve">is adjusted for as a result of </w:t>
            </w:r>
            <w:r w:rsidRPr="000F5804">
              <w:t>the additional or excluded services</w:t>
            </w:r>
            <w:r w:rsidR="00514EA1">
              <w:t>;</w:t>
            </w:r>
            <w:r w:rsidRPr="000F5804">
              <w:t xml:space="preserve"> </w:t>
            </w:r>
          </w:p>
        </w:tc>
      </w:tr>
      <w:tr w:rsidR="00E83B4C" w:rsidRPr="000F5804" w:rsidTr="00AD0694">
        <w:trPr>
          <w:gridAfter w:val="1"/>
          <w:wAfter w:w="80" w:type="dxa"/>
        </w:trPr>
        <w:tc>
          <w:tcPr>
            <w:tcW w:w="1991" w:type="dxa"/>
          </w:tcPr>
          <w:p w:rsidR="00E83B4C" w:rsidRPr="00EC63FD" w:rsidRDefault="00E91026" w:rsidP="002B75A3">
            <w:pPr>
              <w:pStyle w:val="UnnumberedL2"/>
              <w:rPr>
                <w:rFonts w:asciiTheme="minorHAnsi" w:hAnsiTheme="minorHAnsi"/>
                <w:i/>
              </w:rPr>
            </w:pPr>
            <w:proofErr w:type="spellStart"/>
            <w:r w:rsidRPr="00EC63FD">
              <w:rPr>
                <w:rFonts w:asciiTheme="minorHAnsi" w:hAnsiTheme="minorHAnsi"/>
                <w:i/>
              </w:rPr>
              <w:t>i</w:t>
            </w:r>
            <w:proofErr w:type="spellEnd"/>
          </w:p>
        </w:tc>
        <w:tc>
          <w:tcPr>
            <w:tcW w:w="7251" w:type="dxa"/>
          </w:tcPr>
          <w:p w:rsidR="00E83B4C" w:rsidRDefault="004308B5" w:rsidP="004308B5">
            <w:pPr>
              <w:pStyle w:val="UnnumberedL1"/>
              <w:ind w:left="0" w:hanging="6"/>
            </w:pPr>
            <w:r>
              <w:t>is</w:t>
            </w:r>
            <w:r w:rsidRPr="000F5804">
              <w:t xml:space="preserve"> </w:t>
            </w:r>
            <w:r w:rsidR="00E83B4C" w:rsidRPr="000F5804">
              <w:t xml:space="preserve">each </w:t>
            </w:r>
            <w:r w:rsidR="00E91026" w:rsidRPr="00EC63FD">
              <w:rPr>
                <w:b/>
              </w:rPr>
              <w:t>price</w:t>
            </w:r>
            <w:r w:rsidR="00E83B4C" w:rsidRPr="000F5804">
              <w:t xml:space="preserve"> relating to </w:t>
            </w:r>
            <w:r w:rsidR="00E83B4C">
              <w:t>the additional or excluded services</w:t>
            </w:r>
            <w:r w:rsidR="00514EA1">
              <w:t>;</w:t>
            </w:r>
          </w:p>
        </w:tc>
      </w:tr>
      <w:tr w:rsidR="00E83B4C" w:rsidRPr="000F5804" w:rsidTr="00AD0694">
        <w:trPr>
          <w:gridAfter w:val="1"/>
          <w:wAfter w:w="80" w:type="dxa"/>
        </w:trPr>
        <w:tc>
          <w:tcPr>
            <w:tcW w:w="1991" w:type="dxa"/>
          </w:tcPr>
          <w:p w:rsidR="00E83B4C" w:rsidRPr="000F5804" w:rsidRDefault="00E83B4C" w:rsidP="002B75A3">
            <w:pPr>
              <w:pStyle w:val="UnnumberedL2"/>
            </w:pPr>
            <w:r w:rsidRPr="00DE0DAB">
              <w:object w:dxaOrig="460" w:dyaOrig="340">
                <v:shape id="_x0000_i1063" type="#_x0000_t75" style="width:23.8pt;height:17.55pt" o:ole="">
                  <v:imagedata r:id="rId81" o:title=""/>
                </v:shape>
                <o:OLEObject Type="Embed" ProgID="Equation.3" ShapeID="_x0000_i1063" DrawAspect="Content" ObjectID="_1421845018" r:id="rId82"/>
              </w:object>
            </w:r>
          </w:p>
        </w:tc>
        <w:tc>
          <w:tcPr>
            <w:tcW w:w="7251" w:type="dxa"/>
          </w:tcPr>
          <w:p w:rsidR="002B75A3" w:rsidRDefault="00E83B4C" w:rsidP="00514EA1">
            <w:pPr>
              <w:pStyle w:val="UnnumberedL1"/>
              <w:ind w:left="0" w:hanging="6"/>
            </w:pPr>
            <w:r w:rsidRPr="000F5804">
              <w:t>is the</w:t>
            </w:r>
            <w:r w:rsidRPr="00EC63FD">
              <w:rPr>
                <w:b/>
              </w:rPr>
              <w:t xml:space="preserve"> </w:t>
            </w:r>
            <w:proofErr w:type="spellStart"/>
            <w:r w:rsidRPr="00EC63FD">
              <w:rPr>
                <w:b/>
              </w:rPr>
              <w:t>i</w:t>
            </w:r>
            <w:r w:rsidRPr="00882572">
              <w:rPr>
                <w:rStyle w:val="Emphasis-Superscript"/>
              </w:rPr>
              <w:t>th</w:t>
            </w:r>
            <w:proofErr w:type="spellEnd"/>
            <w:r w:rsidRPr="00DE0DAB">
              <w:t xml:space="preserve"> </w:t>
            </w:r>
            <w:r w:rsidR="00E91026" w:rsidRPr="00EC63FD">
              <w:rPr>
                <w:b/>
              </w:rPr>
              <w:t>price</w:t>
            </w:r>
            <w:r w:rsidRPr="000F5804">
              <w:t xml:space="preserve"> </w:t>
            </w:r>
            <w:r>
              <w:t xml:space="preserve">charged by the supplier of the services in the </w:t>
            </w:r>
            <w:r w:rsidR="004308B5" w:rsidRPr="004308B5">
              <w:rPr>
                <w:b/>
              </w:rPr>
              <w:t>pricing period</w:t>
            </w:r>
            <w:r w:rsidR="004308B5">
              <w:t xml:space="preserve"> </w:t>
            </w:r>
            <w:r w:rsidR="00F80B8A">
              <w:t xml:space="preserve">ending in year </w:t>
            </w:r>
            <w:r w:rsidRPr="000F5804">
              <w:t>t-1</w:t>
            </w:r>
            <w:r w:rsidR="00514EA1">
              <w:t>;</w:t>
            </w:r>
          </w:p>
        </w:tc>
      </w:tr>
      <w:tr w:rsidR="00E83B4C" w:rsidRPr="000F5804" w:rsidTr="00AD0694">
        <w:trPr>
          <w:gridAfter w:val="1"/>
          <w:wAfter w:w="80" w:type="dxa"/>
        </w:trPr>
        <w:tc>
          <w:tcPr>
            <w:tcW w:w="1991" w:type="dxa"/>
          </w:tcPr>
          <w:p w:rsidR="00E83B4C" w:rsidRPr="000F5804" w:rsidRDefault="00E83B4C" w:rsidP="002B75A3">
            <w:pPr>
              <w:pStyle w:val="UnnumberedL2"/>
            </w:pPr>
            <w:r w:rsidRPr="00DE0DAB">
              <w:object w:dxaOrig="520" w:dyaOrig="340">
                <v:shape id="_x0000_i1064" type="#_x0000_t75" style="width:25.65pt;height:17.55pt" o:ole="">
                  <v:imagedata r:id="rId83" o:title=""/>
                </v:shape>
                <o:OLEObject Type="Embed" ProgID="Equation.3" ShapeID="_x0000_i1064" DrawAspect="Content" ObjectID="_1421845019" r:id="rId84"/>
              </w:object>
            </w:r>
          </w:p>
        </w:tc>
        <w:tc>
          <w:tcPr>
            <w:tcW w:w="7251" w:type="dxa"/>
          </w:tcPr>
          <w:p w:rsidR="002B75A3" w:rsidRDefault="00E83B4C" w:rsidP="00EF14A3">
            <w:pPr>
              <w:pStyle w:val="UnnumberedL1"/>
              <w:ind w:left="0" w:hanging="6"/>
            </w:pPr>
            <w:r w:rsidRPr="000F5804">
              <w:t xml:space="preserve">is the </w:t>
            </w:r>
            <w:r w:rsidR="00E91026" w:rsidRPr="00EC63FD">
              <w:rPr>
                <w:b/>
              </w:rPr>
              <w:t>quantity</w:t>
            </w:r>
            <w:r w:rsidRPr="000F5804">
              <w:t xml:space="preserve"> corresponding to the </w:t>
            </w:r>
            <w:proofErr w:type="spellStart"/>
            <w:r w:rsidRPr="00EC63FD">
              <w:rPr>
                <w:b/>
              </w:rPr>
              <w:t>i</w:t>
            </w:r>
            <w:r w:rsidRPr="00882572">
              <w:rPr>
                <w:rStyle w:val="Emphasis-Superscript"/>
              </w:rPr>
              <w:t>th</w:t>
            </w:r>
            <w:proofErr w:type="spellEnd"/>
            <w:r w:rsidRPr="000F5804">
              <w:t xml:space="preserve"> </w:t>
            </w:r>
            <w:r w:rsidR="00E91026" w:rsidRPr="00EC63FD">
              <w:rPr>
                <w:b/>
              </w:rPr>
              <w:t>price</w:t>
            </w:r>
            <w:r w:rsidRPr="000F5804">
              <w:t xml:space="preserve"> </w:t>
            </w:r>
            <w:r>
              <w:t xml:space="preserve">in the </w:t>
            </w:r>
            <w:r w:rsidR="00EF14A3" w:rsidRPr="00EF14A3">
              <w:rPr>
                <w:b/>
              </w:rPr>
              <w:t>pricing period</w:t>
            </w:r>
            <w:r w:rsidR="00EF14A3">
              <w:t xml:space="preserve"> </w:t>
            </w:r>
            <w:r w:rsidR="00F80B8A">
              <w:t xml:space="preserve">ending in year </w:t>
            </w:r>
            <w:r w:rsidRPr="000F5804">
              <w:t>t-2</w:t>
            </w:r>
            <w:r w:rsidR="00514EA1">
              <w:t>;</w:t>
            </w:r>
          </w:p>
        </w:tc>
      </w:tr>
      <w:tr w:rsidR="00E83B4C" w:rsidRPr="000F5804" w:rsidTr="00AD0694">
        <w:trPr>
          <w:gridAfter w:val="1"/>
          <w:wAfter w:w="80" w:type="dxa"/>
        </w:trPr>
        <w:tc>
          <w:tcPr>
            <w:tcW w:w="1991" w:type="dxa"/>
          </w:tcPr>
          <w:p w:rsidR="00E83B4C" w:rsidRPr="000F5804" w:rsidRDefault="00E83B4C" w:rsidP="002B75A3">
            <w:pPr>
              <w:pStyle w:val="UnnumberedL2"/>
            </w:pPr>
            <w:r w:rsidRPr="00DE0DAB">
              <w:object w:dxaOrig="600" w:dyaOrig="340">
                <v:shape id="_x0000_i1065" type="#_x0000_t75" style="width:30.05pt;height:17.55pt" o:ole="">
                  <v:imagedata r:id="rId85" o:title=""/>
                </v:shape>
                <o:OLEObject Type="Embed" ProgID="Equation.3" ShapeID="_x0000_i1065" DrawAspect="Content" ObjectID="_1421845020" r:id="rId86"/>
              </w:object>
            </w:r>
          </w:p>
        </w:tc>
        <w:tc>
          <w:tcPr>
            <w:tcW w:w="7251" w:type="dxa"/>
          </w:tcPr>
          <w:p w:rsidR="00E83B4C" w:rsidRDefault="00E83B4C" w:rsidP="004308B5">
            <w:pPr>
              <w:pStyle w:val="UnnumberedL1"/>
              <w:ind w:left="0" w:hanging="6"/>
              <w:rPr>
                <w:b/>
              </w:rPr>
            </w:pPr>
            <w:r w:rsidRPr="000F5804">
              <w:t xml:space="preserve">is the derived change in the </w:t>
            </w:r>
            <w:r w:rsidR="00E91026" w:rsidRPr="00EC63FD">
              <w:rPr>
                <w:b/>
              </w:rPr>
              <w:t>CPI</w:t>
            </w:r>
            <w:r w:rsidRPr="000F5804">
              <w:t xml:space="preserve"> to be applied </w:t>
            </w:r>
            <w:r w:rsidR="00EF14A3">
              <w:t xml:space="preserve">for the </w:t>
            </w:r>
            <w:r w:rsidR="00EF14A3" w:rsidRPr="00EF14A3">
              <w:rPr>
                <w:b/>
              </w:rPr>
              <w:t>pricing period</w:t>
            </w:r>
            <w:r w:rsidRPr="00EF14A3">
              <w:t>,</w:t>
            </w:r>
            <w:r w:rsidRPr="000F5804">
              <w:t xml:space="preserve"> being equal to:</w:t>
            </w:r>
          </w:p>
          <w:p w:rsidR="00E83B4C" w:rsidRDefault="00E83B4C" w:rsidP="004308B5">
            <w:pPr>
              <w:pStyle w:val="UnnumberedL1"/>
              <w:ind w:left="0" w:hanging="6"/>
              <w:rPr>
                <w:b/>
              </w:rPr>
            </w:pPr>
            <w:r w:rsidRPr="00CF7718">
              <w:rPr>
                <w:position w:val="-32"/>
              </w:rPr>
              <w:object w:dxaOrig="5160" w:dyaOrig="720">
                <v:shape id="_x0000_i1066" type="#_x0000_t75" style="width:257.95pt;height:36.3pt" o:ole="">
                  <v:imagedata r:id="rId66" o:title=""/>
                </v:shape>
                <o:OLEObject Type="Embed" ProgID="Equation.3" ShapeID="_x0000_i1066" DrawAspect="Content" ObjectID="_1421845021" r:id="rId87"/>
              </w:object>
            </w:r>
          </w:p>
          <w:p w:rsidR="00E83B4C" w:rsidRDefault="00E83B4C" w:rsidP="004308B5">
            <w:pPr>
              <w:pStyle w:val="UnnumberedL1"/>
              <w:ind w:left="0" w:hanging="6"/>
              <w:rPr>
                <w:rFonts w:ascii="Calibri Bold" w:hAnsi="Calibri Bold"/>
                <w:b/>
              </w:rPr>
            </w:pPr>
            <w:r w:rsidRPr="000F5804">
              <w:t>where:</w:t>
            </w:r>
          </w:p>
          <w:p w:rsidR="00E83B4C" w:rsidRDefault="00E83B4C" w:rsidP="004308B5">
            <w:pPr>
              <w:pStyle w:val="UnnumberedL1"/>
              <w:ind w:left="0" w:hanging="6"/>
              <w:rPr>
                <w:rFonts w:ascii="Calibri Bold" w:hAnsi="Calibri Bold"/>
                <w:b/>
              </w:rPr>
            </w:pPr>
            <w:proofErr w:type="spellStart"/>
            <w:r w:rsidRPr="000F5804">
              <w:t>CPI</w:t>
            </w:r>
            <w:r w:rsidRPr="000F5804">
              <w:rPr>
                <w:rStyle w:val="Emphasis-Subscript"/>
              </w:rPr>
              <w:t>q</w:t>
            </w:r>
            <w:proofErr w:type="spellEnd"/>
            <w:r w:rsidRPr="000F5804">
              <w:rPr>
                <w:rStyle w:val="Emphasis-Subscript"/>
              </w:rPr>
              <w:t>, t</w:t>
            </w:r>
            <w:r w:rsidRPr="000F5804">
              <w:tab/>
              <w:t xml:space="preserve">is the </w:t>
            </w:r>
            <w:r w:rsidR="00E91026" w:rsidRPr="00EC63FD">
              <w:rPr>
                <w:b/>
              </w:rPr>
              <w:t>CPI</w:t>
            </w:r>
            <w:r w:rsidRPr="000F5804">
              <w:t xml:space="preserve"> for the quarter </w:t>
            </w:r>
            <w:r w:rsidR="00EF14A3">
              <w:t xml:space="preserve">ending </w:t>
            </w:r>
            <w:r w:rsidR="00E91026" w:rsidRPr="00EC63FD">
              <w:rPr>
                <w:i/>
              </w:rPr>
              <w:t>q</w:t>
            </w:r>
            <w:r w:rsidRPr="000F5804">
              <w:t xml:space="preserve"> of year </w:t>
            </w:r>
            <w:r w:rsidR="00E91026" w:rsidRPr="00EC63FD">
              <w:rPr>
                <w:i/>
              </w:rPr>
              <w:t>t</w:t>
            </w:r>
          </w:p>
        </w:tc>
      </w:tr>
    </w:tbl>
    <w:p w:rsidR="008605D2" w:rsidRDefault="00E83B4C" w:rsidP="00EC63FD">
      <w:pPr>
        <w:pStyle w:val="BodyText"/>
      </w:pPr>
      <w:r>
        <w:br w:type="page"/>
      </w:r>
    </w:p>
    <w:p w:rsidR="00D42BDA" w:rsidRPr="00D53361" w:rsidRDefault="00E83B4C" w:rsidP="00D42BDA">
      <w:pPr>
        <w:pStyle w:val="Heading2"/>
      </w:pPr>
      <w:bookmarkStart w:id="28" w:name="_Toc348091319"/>
      <w:r>
        <w:t xml:space="preserve">Schedule </w:t>
      </w:r>
      <w:r w:rsidR="00EF14A3">
        <w:t>8</w:t>
      </w:r>
      <w:r>
        <w:t xml:space="preserve">: </w:t>
      </w:r>
      <w:r w:rsidR="00D42BDA" w:rsidRPr="00D53361">
        <w:t xml:space="preserve">Form of </w:t>
      </w:r>
      <w:r w:rsidR="00D42BDA">
        <w:t>d</w:t>
      </w:r>
      <w:r w:rsidR="00D42BDA" w:rsidRPr="00D53361">
        <w:t xml:space="preserve">irectors’ certificate on </w:t>
      </w:r>
      <w:r w:rsidR="004D6232">
        <w:t>compliance</w:t>
      </w:r>
      <w:r w:rsidR="00D42BDA" w:rsidRPr="00D53361">
        <w:t xml:space="preserve"> statement</w:t>
      </w:r>
      <w:bookmarkEnd w:id="28"/>
    </w:p>
    <w:p w:rsidR="00D53361" w:rsidRPr="00CF7718" w:rsidRDefault="00D53361" w:rsidP="00CF7718">
      <w:pPr>
        <w:pStyle w:val="zFileRef"/>
      </w:pPr>
    </w:p>
    <w:p w:rsidR="00D53361" w:rsidRPr="00D53361" w:rsidRDefault="00D53361" w:rsidP="00D53361">
      <w:pPr>
        <w:pStyle w:val="BodyText"/>
      </w:pPr>
      <w:r w:rsidRPr="00D53361">
        <w:t>I/We, [</w:t>
      </w:r>
      <w:r w:rsidRPr="00D53361">
        <w:rPr>
          <w:i/>
        </w:rPr>
        <w:t>insert full name/s</w:t>
      </w:r>
      <w:r w:rsidRPr="00D53361">
        <w:t>], being director/s of [</w:t>
      </w:r>
      <w:r w:rsidRPr="00D53361">
        <w:rPr>
          <w:i/>
        </w:rPr>
        <w:t xml:space="preserve">insert name of </w:t>
      </w:r>
      <w:proofErr w:type="spellStart"/>
      <w:r w:rsidRPr="00D53361">
        <w:rPr>
          <w:i/>
        </w:rPr>
        <w:t>GDB</w:t>
      </w:r>
      <w:proofErr w:type="spellEnd"/>
      <w:r w:rsidRPr="00D53361">
        <w:t xml:space="preserve">] certify that, having made all reasonable enquiry, to the best of my/our knowledge and belief, the attached </w:t>
      </w:r>
      <w:r w:rsidR="004D6232">
        <w:t>compliance</w:t>
      </w:r>
      <w:r w:rsidR="0048622D" w:rsidRPr="0048622D">
        <w:t xml:space="preserve"> statement</w:t>
      </w:r>
      <w:r w:rsidRPr="00D53361">
        <w:rPr>
          <w:b/>
        </w:rPr>
        <w:t xml:space="preserve"> </w:t>
      </w:r>
      <w:r w:rsidRPr="00D53361">
        <w:t>of [</w:t>
      </w:r>
      <w:r w:rsidRPr="00D53361">
        <w:rPr>
          <w:i/>
        </w:rPr>
        <w:t xml:space="preserve">name of </w:t>
      </w:r>
      <w:proofErr w:type="spellStart"/>
      <w:r w:rsidRPr="00D53361">
        <w:rPr>
          <w:i/>
        </w:rPr>
        <w:t>GDB</w:t>
      </w:r>
      <w:proofErr w:type="spellEnd"/>
      <w:r w:rsidRPr="00D53361">
        <w:t xml:space="preserve">], and related information, prepared for the purposes of the </w:t>
      </w:r>
      <w:r w:rsidR="008A4488">
        <w:rPr>
          <w:i/>
        </w:rPr>
        <w:t xml:space="preserve">Gas Distribution Services Default </w:t>
      </w:r>
      <w:r w:rsidRPr="00D53361">
        <w:rPr>
          <w:i/>
        </w:rPr>
        <w:t xml:space="preserve">Price-Quality Path Determination </w:t>
      </w:r>
      <w:r w:rsidR="00D056C3" w:rsidRPr="00D53361">
        <w:rPr>
          <w:i/>
        </w:rPr>
        <w:t>201</w:t>
      </w:r>
      <w:r w:rsidR="00D056C3">
        <w:rPr>
          <w:i/>
        </w:rPr>
        <w:t>3</w:t>
      </w:r>
      <w:r w:rsidR="00D056C3" w:rsidRPr="00D53361">
        <w:t xml:space="preserve"> </w:t>
      </w:r>
      <w:r w:rsidR="008A4488">
        <w:t>has been prepared in accordance with all the relevant requirements</w:t>
      </w:r>
      <w:r w:rsidRPr="00D53361">
        <w:t>*[</w:t>
      </w:r>
      <w:r w:rsidRPr="00D53361">
        <w:rPr>
          <w:i/>
        </w:rPr>
        <w:t>except in the following respects</w:t>
      </w:r>
      <w:r w:rsidRPr="00D53361">
        <w:t xml:space="preserve">]. </w:t>
      </w:r>
    </w:p>
    <w:p w:rsidR="00D53361" w:rsidRPr="00D53361" w:rsidRDefault="00D53361" w:rsidP="00D53361">
      <w:pPr>
        <w:pStyle w:val="BodyText"/>
      </w:pPr>
      <w:r w:rsidRPr="00D53361">
        <w:t>*[</w:t>
      </w:r>
      <w:r w:rsidRPr="00D53361">
        <w:rPr>
          <w:i/>
        </w:rPr>
        <w:t>insert description of non-compliance</w:t>
      </w:r>
      <w:r w:rsidRPr="00D53361">
        <w:t>]</w:t>
      </w:r>
    </w:p>
    <w:p w:rsidR="00D53361" w:rsidRPr="00D53361" w:rsidRDefault="00D53361" w:rsidP="00D53361">
      <w:pPr>
        <w:pStyle w:val="BodyText"/>
      </w:pPr>
      <w:r w:rsidRPr="00D53361">
        <w:t>[</w:t>
      </w:r>
      <w:r w:rsidRPr="00D53361">
        <w:rPr>
          <w:i/>
        </w:rPr>
        <w:t xml:space="preserve">Signatures of </w:t>
      </w:r>
      <w:r w:rsidR="002B207C">
        <w:rPr>
          <w:i/>
        </w:rPr>
        <w:t>d</w:t>
      </w:r>
      <w:r w:rsidRPr="00D53361">
        <w:rPr>
          <w:i/>
        </w:rPr>
        <w:t>irectors</w:t>
      </w:r>
      <w:r w:rsidRPr="00D53361">
        <w:t xml:space="preserve">] </w:t>
      </w:r>
    </w:p>
    <w:p w:rsidR="00D53361" w:rsidRPr="00D53361" w:rsidRDefault="00D53361" w:rsidP="00D53361">
      <w:pPr>
        <w:pStyle w:val="BodyText"/>
      </w:pPr>
      <w:r w:rsidRPr="00D53361">
        <w:t>[</w:t>
      </w:r>
      <w:r w:rsidRPr="00D53361">
        <w:rPr>
          <w:i/>
        </w:rPr>
        <w:t>Date</w:t>
      </w:r>
      <w:r w:rsidRPr="00D53361">
        <w:t xml:space="preserve">] </w:t>
      </w:r>
    </w:p>
    <w:p w:rsidR="00D53361" w:rsidRPr="00D53361" w:rsidRDefault="00D53361" w:rsidP="00D53361">
      <w:pPr>
        <w:pStyle w:val="BodyText"/>
      </w:pPr>
      <w:r w:rsidRPr="00D53361">
        <w:t>*Delete if inapplicable.</w:t>
      </w:r>
    </w:p>
    <w:p w:rsidR="00D53361" w:rsidRPr="00D53361" w:rsidRDefault="00D53361" w:rsidP="00D53361">
      <w:pPr>
        <w:pStyle w:val="BodyText"/>
      </w:pPr>
      <w:r w:rsidRPr="00D53361">
        <w:t>Note: Section 103(2) of the Commerce Act 1986 provides that no person shall attempt to deceive or knowingly mislead the Commission in relation to any matter before it. It is an offence to contravene section 103(2) and any person who does so is liable on summary conviction to a fine not exceeding $10,000 in the case of an individual or $30,000 in the case of a body corporate.</w:t>
      </w:r>
    </w:p>
    <w:p w:rsidR="0048622D" w:rsidRDefault="00D53361" w:rsidP="0048622D">
      <w:pPr>
        <w:pStyle w:val="Heading2"/>
      </w:pPr>
      <w:r w:rsidRPr="00D53361">
        <w:br w:type="page"/>
      </w:r>
      <w:bookmarkStart w:id="29" w:name="_Toc348091320"/>
      <w:r w:rsidR="00CF7718" w:rsidRPr="00CF7718">
        <w:t xml:space="preserve">Schedule </w:t>
      </w:r>
      <w:r w:rsidR="00EF14A3">
        <w:t>9</w:t>
      </w:r>
      <w:r w:rsidR="00D42BDA">
        <w:t xml:space="preserve">: </w:t>
      </w:r>
      <w:r w:rsidR="00D42BDA" w:rsidRPr="00CF7718">
        <w:t xml:space="preserve">Form of </w:t>
      </w:r>
      <w:r w:rsidR="00D42BDA">
        <w:t>a</w:t>
      </w:r>
      <w:r w:rsidR="00D42BDA" w:rsidRPr="00CF7718">
        <w:t xml:space="preserve">uditor’s report on </w:t>
      </w:r>
      <w:r w:rsidR="004D6232">
        <w:t>compliance</w:t>
      </w:r>
      <w:r w:rsidR="00D42BDA" w:rsidRPr="00CF7718">
        <w:t xml:space="preserve"> statement</w:t>
      </w:r>
      <w:bookmarkEnd w:id="29"/>
    </w:p>
    <w:p w:rsidR="00D53361" w:rsidRPr="00CF7718" w:rsidRDefault="00D53361" w:rsidP="00CF7718">
      <w:pPr>
        <w:pStyle w:val="zFileRef"/>
      </w:pPr>
    </w:p>
    <w:p w:rsidR="00D53361" w:rsidRPr="00EC752E" w:rsidRDefault="00D53361" w:rsidP="00D53361">
      <w:pPr>
        <w:pStyle w:val="BodyText"/>
      </w:pPr>
      <w:r w:rsidRPr="00EC752E">
        <w:t xml:space="preserve">To the readers of the </w:t>
      </w:r>
      <w:r w:rsidR="004D6232">
        <w:t>compliance</w:t>
      </w:r>
      <w:r w:rsidR="0048622D" w:rsidRPr="0048622D">
        <w:t xml:space="preserve"> statement</w:t>
      </w:r>
      <w:r w:rsidRPr="00EC752E">
        <w:t xml:space="preserve"> of [</w:t>
      </w:r>
      <w:r w:rsidRPr="00EC752E">
        <w:rPr>
          <w:i/>
        </w:rPr>
        <w:t xml:space="preserve">insert name of </w:t>
      </w:r>
      <w:proofErr w:type="spellStart"/>
      <w:r w:rsidR="0048622D" w:rsidRPr="0048622D">
        <w:rPr>
          <w:i/>
        </w:rPr>
        <w:t>GDB</w:t>
      </w:r>
      <w:proofErr w:type="spellEnd"/>
      <w:r w:rsidRPr="00EC752E">
        <w:t xml:space="preserve">] for the </w:t>
      </w:r>
      <w:r w:rsidR="009C11AB">
        <w:t xml:space="preserve">assessment period </w:t>
      </w:r>
      <w:r w:rsidR="0048622D" w:rsidRPr="0048622D">
        <w:t>ended on</w:t>
      </w:r>
      <w:r w:rsidRPr="00EC752E">
        <w:t xml:space="preserve"> [</w:t>
      </w:r>
      <w:r w:rsidRPr="00EC752E">
        <w:rPr>
          <w:i/>
        </w:rPr>
        <w:t xml:space="preserve">insert </w:t>
      </w:r>
      <w:r w:rsidR="0048622D" w:rsidRPr="0048622D">
        <w:rPr>
          <w:i/>
        </w:rPr>
        <w:t>date</w:t>
      </w:r>
      <w:r w:rsidRPr="00EC752E">
        <w:t>]:</w:t>
      </w:r>
    </w:p>
    <w:p w:rsidR="00D53361" w:rsidRPr="00DA21EA" w:rsidRDefault="00D53361" w:rsidP="00D53361">
      <w:pPr>
        <w:pStyle w:val="BodyText"/>
      </w:pPr>
      <w:r w:rsidRPr="00EC752E">
        <w:t xml:space="preserve">I/We have audited the attached statement, which is a </w:t>
      </w:r>
      <w:r w:rsidR="004D6232">
        <w:t>compliance</w:t>
      </w:r>
      <w:r w:rsidR="0048622D" w:rsidRPr="0048622D">
        <w:t xml:space="preserve"> statement</w:t>
      </w:r>
      <w:r w:rsidRPr="00EC752E">
        <w:t xml:space="preserve"> in respect of the default price-quality path prepared by [</w:t>
      </w:r>
      <w:r w:rsidRPr="00EC752E">
        <w:rPr>
          <w:i/>
        </w:rPr>
        <w:t xml:space="preserve">insert name of </w:t>
      </w:r>
      <w:proofErr w:type="spellStart"/>
      <w:r w:rsidRPr="00EC752E">
        <w:rPr>
          <w:i/>
        </w:rPr>
        <w:t>GDB</w:t>
      </w:r>
      <w:proofErr w:type="spellEnd"/>
      <w:r w:rsidRPr="00EC752E">
        <w:t xml:space="preserve">] </w:t>
      </w:r>
      <w:r w:rsidR="009C11AB" w:rsidRPr="00EC752E">
        <w:t xml:space="preserve">for the </w:t>
      </w:r>
      <w:r w:rsidR="009C11AB" w:rsidRPr="0048622D">
        <w:t>assessment period ended on</w:t>
      </w:r>
      <w:r w:rsidR="009C11AB" w:rsidRPr="00EC752E">
        <w:t xml:space="preserve"> [</w:t>
      </w:r>
      <w:r w:rsidR="009C11AB" w:rsidRPr="00EC752E">
        <w:rPr>
          <w:i/>
        </w:rPr>
        <w:t xml:space="preserve">insert </w:t>
      </w:r>
      <w:r w:rsidR="009C11AB" w:rsidRPr="0048622D">
        <w:rPr>
          <w:i/>
        </w:rPr>
        <w:t>date</w:t>
      </w:r>
      <w:r w:rsidR="009C11AB" w:rsidRPr="00EC752E">
        <w:t>]</w:t>
      </w:r>
      <w:r w:rsidRPr="00EC752E">
        <w:t xml:space="preserve"> and dated [</w:t>
      </w:r>
      <w:r w:rsidRPr="00EC752E">
        <w:rPr>
          <w:i/>
        </w:rPr>
        <w:t>insert date</w:t>
      </w:r>
      <w:r w:rsidRPr="00EC752E">
        <w:t xml:space="preserve">] for the purposes of clause 11 of the </w:t>
      </w:r>
      <w:r w:rsidR="008A4488">
        <w:rPr>
          <w:i/>
        </w:rPr>
        <w:t xml:space="preserve">Gas Distribution Services Default </w:t>
      </w:r>
      <w:r w:rsidRPr="00EC752E">
        <w:rPr>
          <w:i/>
        </w:rPr>
        <w:t xml:space="preserve">Price-Quality Path Determination </w:t>
      </w:r>
      <w:r w:rsidR="00D056C3" w:rsidRPr="00EC752E">
        <w:rPr>
          <w:i/>
        </w:rPr>
        <w:t>201</w:t>
      </w:r>
      <w:r w:rsidR="00D056C3">
        <w:rPr>
          <w:i/>
        </w:rPr>
        <w:t>3</w:t>
      </w:r>
      <w:r w:rsidR="00D056C3" w:rsidRPr="00DA21EA">
        <w:t xml:space="preserve"> </w:t>
      </w:r>
      <w:r w:rsidRPr="00DA21EA">
        <w:t xml:space="preserve">(“the Determination”). </w:t>
      </w:r>
    </w:p>
    <w:p w:rsidR="0048622D" w:rsidRDefault="0048622D" w:rsidP="0048622D">
      <w:pPr>
        <w:pStyle w:val="BodyTextIndent"/>
        <w:ind w:left="0"/>
      </w:pPr>
      <w:r w:rsidRPr="0048622D">
        <w:rPr>
          <w:b/>
        </w:rPr>
        <w:t>Directors’ responsibilities</w:t>
      </w:r>
    </w:p>
    <w:p w:rsidR="00D53361" w:rsidRPr="00EC752E" w:rsidRDefault="00D53361" w:rsidP="00D53361">
      <w:pPr>
        <w:pStyle w:val="BodyText"/>
      </w:pPr>
      <w:r w:rsidRPr="00EC752E">
        <w:t xml:space="preserve">The </w:t>
      </w:r>
      <w:r w:rsidR="0048622D" w:rsidRPr="0048622D">
        <w:t>directors</w:t>
      </w:r>
      <w:r w:rsidRPr="00EC752E">
        <w:t xml:space="preserve"> of </w:t>
      </w:r>
      <w:r w:rsidRPr="00EC752E">
        <w:rPr>
          <w:i/>
        </w:rPr>
        <w:t xml:space="preserve">[insert name of </w:t>
      </w:r>
      <w:proofErr w:type="spellStart"/>
      <w:r w:rsidR="0048622D" w:rsidRPr="0048622D">
        <w:rPr>
          <w:i/>
        </w:rPr>
        <w:t>GDB</w:t>
      </w:r>
      <w:proofErr w:type="spellEnd"/>
      <w:r w:rsidRPr="00EC752E">
        <w:rPr>
          <w:i/>
        </w:rPr>
        <w:t>]</w:t>
      </w:r>
      <w:r w:rsidRPr="00EC752E">
        <w:t xml:space="preserve"> are responsible for the preparation of the </w:t>
      </w:r>
      <w:r w:rsidR="004D6232">
        <w:t>compliance</w:t>
      </w:r>
      <w:r w:rsidR="0048622D" w:rsidRPr="0048622D">
        <w:t xml:space="preserve"> statement</w:t>
      </w:r>
      <w:r w:rsidRPr="00EC752E">
        <w:t xml:space="preserve"> in accordance with the Determination and for such internal control as the </w:t>
      </w:r>
      <w:r w:rsidR="0048622D" w:rsidRPr="0048622D">
        <w:t>directors</w:t>
      </w:r>
      <w:r w:rsidRPr="00EC752E">
        <w:t xml:space="preserve"> determine is necessary to enable the preparation of a </w:t>
      </w:r>
      <w:r w:rsidR="004D6232">
        <w:t>compliance</w:t>
      </w:r>
      <w:r w:rsidR="0048622D" w:rsidRPr="0048622D">
        <w:t xml:space="preserve"> statement</w:t>
      </w:r>
      <w:r w:rsidRPr="00EC752E">
        <w:t xml:space="preserve"> that is free from material misstatement, whether due to fraud or error.</w:t>
      </w:r>
    </w:p>
    <w:p w:rsidR="00752B46" w:rsidRDefault="00752B46" w:rsidP="00752B46">
      <w:pPr>
        <w:pStyle w:val="BodyText"/>
        <w:rPr>
          <w:b/>
        </w:rPr>
      </w:pPr>
      <w:r>
        <w:rPr>
          <w:b/>
        </w:rPr>
        <w:t>Auditor’s qualifications</w:t>
      </w:r>
    </w:p>
    <w:p w:rsidR="00752B46" w:rsidRDefault="00752B46" w:rsidP="00752B46">
      <w:pPr>
        <w:pStyle w:val="BodyText"/>
        <w:rPr>
          <w:b/>
        </w:rPr>
      </w:pPr>
      <w:r w:rsidRPr="002B1BB3">
        <w:rPr>
          <w:rFonts w:asciiTheme="minorHAnsi" w:hAnsiTheme="minorHAnsi"/>
          <w:szCs w:val="24"/>
        </w:rPr>
        <w:t>We are qualified as an auditor as defined in the</w:t>
      </w:r>
      <w:r>
        <w:rPr>
          <w:b/>
        </w:rPr>
        <w:t xml:space="preserve"> </w:t>
      </w:r>
      <w:r w:rsidRPr="003107B1">
        <w:rPr>
          <w:rFonts w:asciiTheme="minorHAnsi" w:hAnsiTheme="minorHAnsi"/>
          <w:szCs w:val="24"/>
        </w:rPr>
        <w:t>Determination.</w:t>
      </w:r>
    </w:p>
    <w:p w:rsidR="0048622D" w:rsidRDefault="0048622D" w:rsidP="0048622D">
      <w:pPr>
        <w:pStyle w:val="BodyTextIndent"/>
        <w:ind w:left="0"/>
      </w:pPr>
      <w:r w:rsidRPr="0048622D">
        <w:rPr>
          <w:b/>
        </w:rPr>
        <w:t>Auditor’s responsibilities</w:t>
      </w:r>
    </w:p>
    <w:p w:rsidR="00D2022C" w:rsidRPr="00EC752E" w:rsidRDefault="0048622D" w:rsidP="00D2022C">
      <w:pPr>
        <w:pStyle w:val="Default"/>
        <w:rPr>
          <w:rFonts w:ascii="Calibri" w:hAnsi="Calibri" w:cs="Calibri"/>
          <w:lang w:val="en-NZ" w:eastAsia="en-NZ"/>
        </w:rPr>
      </w:pPr>
      <w:r w:rsidRPr="0048622D">
        <w:rPr>
          <w:rFonts w:ascii="Calibri" w:hAnsi="Calibri" w:cs="Calibri"/>
          <w:lang w:val="en-NZ" w:eastAsia="en-NZ"/>
        </w:rPr>
        <w:t xml:space="preserve">My/Our responsibility is to express an opinion on the </w:t>
      </w:r>
      <w:r w:rsidR="004D6232">
        <w:rPr>
          <w:rFonts w:ascii="Calibri" w:hAnsi="Calibri" w:cs="Calibri"/>
          <w:lang w:val="en-NZ" w:eastAsia="en-NZ"/>
        </w:rPr>
        <w:t>compliance</w:t>
      </w:r>
      <w:r w:rsidRPr="0048622D">
        <w:rPr>
          <w:rFonts w:ascii="Calibri" w:hAnsi="Calibri" w:cs="Calibri"/>
          <w:lang w:val="en-NZ" w:eastAsia="en-NZ"/>
        </w:rPr>
        <w:t xml:space="preserve"> statement based on my/our audit. I/We conducted my/our audit in accordance with </w:t>
      </w:r>
      <w:r w:rsidR="00D2022C" w:rsidRPr="00EC752E">
        <w:rPr>
          <w:rFonts w:ascii="Calibri" w:hAnsi="Calibri" w:cs="Calibri"/>
          <w:lang w:val="en-NZ" w:eastAsia="en-NZ"/>
        </w:rPr>
        <w:t>Standard on Assurance Engagements 3100 – Compliance Engagements (SAE 3100) and International Standard on Assurance Engagements 3000 (</w:t>
      </w:r>
      <w:proofErr w:type="spellStart"/>
      <w:r w:rsidR="00D2022C" w:rsidRPr="00EC752E">
        <w:rPr>
          <w:rFonts w:ascii="Calibri" w:hAnsi="Calibri" w:cs="Calibri"/>
          <w:lang w:val="en-NZ" w:eastAsia="en-NZ"/>
        </w:rPr>
        <w:t>ISAE</w:t>
      </w:r>
      <w:proofErr w:type="spellEnd"/>
      <w:r w:rsidR="00D2022C" w:rsidRPr="00EC752E">
        <w:rPr>
          <w:rFonts w:ascii="Calibri" w:hAnsi="Calibri" w:cs="Calibri"/>
          <w:lang w:val="en-NZ" w:eastAsia="en-NZ"/>
        </w:rPr>
        <w:t xml:space="preserve"> (NZ) 3000) [</w:t>
      </w:r>
      <w:r w:rsidR="00CC3DBC" w:rsidRPr="00EC752E">
        <w:rPr>
          <w:rFonts w:ascii="Calibri" w:hAnsi="Calibri" w:cs="Calibri"/>
          <w:i/>
          <w:lang w:val="en-NZ" w:eastAsia="en-NZ"/>
        </w:rPr>
        <w:t>or their successor standards</w:t>
      </w:r>
      <w:r w:rsidR="00D2022C" w:rsidRPr="00EC752E">
        <w:rPr>
          <w:rFonts w:ascii="Calibri" w:hAnsi="Calibri" w:cs="Calibri"/>
          <w:lang w:val="en-NZ" w:eastAsia="en-NZ"/>
        </w:rPr>
        <w:t>]</w:t>
      </w:r>
      <w:r w:rsidR="00752B46">
        <w:rPr>
          <w:rFonts w:ascii="Calibri" w:hAnsi="Calibri" w:cs="Calibri"/>
          <w:lang w:val="en-NZ" w:eastAsia="en-NZ"/>
        </w:rPr>
        <w:t>.</w:t>
      </w:r>
      <w:r w:rsidR="00D2022C" w:rsidRPr="00EC752E">
        <w:rPr>
          <w:rFonts w:ascii="Calibri" w:hAnsi="Calibri" w:cs="Calibri"/>
          <w:lang w:val="en-NZ" w:eastAsia="en-NZ"/>
        </w:rPr>
        <w:t xml:space="preserve"> </w:t>
      </w:r>
    </w:p>
    <w:p w:rsidR="00D53361" w:rsidRPr="00EC752E" w:rsidRDefault="00D53361" w:rsidP="00D53361">
      <w:pPr>
        <w:pStyle w:val="BodyText"/>
      </w:pPr>
      <w:r w:rsidRPr="00EC752E">
        <w:t>Those</w:t>
      </w:r>
      <w:r w:rsidRPr="00DA21EA">
        <w:t xml:space="preserve"> standards require that I/we comply with ethical requirements and plan and perform the audit to obtain reasonable assurance about whether the </w:t>
      </w:r>
      <w:r w:rsidR="004D6232">
        <w:t>compliance</w:t>
      </w:r>
      <w:r w:rsidR="0048622D" w:rsidRPr="0048622D">
        <w:t xml:space="preserve"> statement</w:t>
      </w:r>
      <w:r w:rsidRPr="00EC752E">
        <w:t xml:space="preserve"> is free from material misstatement.</w:t>
      </w:r>
    </w:p>
    <w:p w:rsidR="00D53361" w:rsidRPr="00EC752E" w:rsidRDefault="00D53361" w:rsidP="00D53361">
      <w:pPr>
        <w:pStyle w:val="BodyText"/>
      </w:pPr>
      <w:r w:rsidRPr="00EC752E">
        <w:t xml:space="preserve">An audit involves performing procedures to obtain audit evidence about the amounts and disclosures in the </w:t>
      </w:r>
      <w:r w:rsidR="004D6232">
        <w:t>compliance</w:t>
      </w:r>
      <w:r w:rsidR="0048622D" w:rsidRPr="0048622D">
        <w:t xml:space="preserve"> statement</w:t>
      </w:r>
      <w:r w:rsidRPr="00EC752E">
        <w:t xml:space="preserve">. The procedures selected depend on the auditor’s judgement, including the assessment of the risks of material misstatement of the </w:t>
      </w:r>
      <w:r w:rsidR="004D6232">
        <w:t>compliance</w:t>
      </w:r>
      <w:r w:rsidR="0048622D" w:rsidRPr="0048622D">
        <w:t xml:space="preserve"> statement</w:t>
      </w:r>
      <w:r w:rsidRPr="00EC752E">
        <w:t xml:space="preserve">, whether due to fraud or error. In making those risk assessments, the </w:t>
      </w:r>
      <w:r w:rsidR="0048622D" w:rsidRPr="0048622D">
        <w:t>auditor</w:t>
      </w:r>
      <w:r w:rsidRPr="00EC752E">
        <w:t xml:space="preserve"> considers internal control relevant to the entity’s preparation of the </w:t>
      </w:r>
      <w:r w:rsidR="004D6232">
        <w:t>compliance</w:t>
      </w:r>
      <w:r w:rsidR="0048622D" w:rsidRPr="0048622D">
        <w:t xml:space="preserve"> statement</w:t>
      </w:r>
      <w:r w:rsidRPr="00EC752E">
        <w:t xml:space="preserve">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as well as evaluating the overall presentation of the </w:t>
      </w:r>
      <w:r w:rsidR="004D6232">
        <w:t>compliance</w:t>
      </w:r>
      <w:r w:rsidR="0048622D" w:rsidRPr="0048622D">
        <w:t xml:space="preserve"> statement</w:t>
      </w:r>
      <w:r w:rsidRPr="00EC752E">
        <w:t>.</w:t>
      </w:r>
    </w:p>
    <w:p w:rsidR="00752B46" w:rsidRPr="00EC752E" w:rsidRDefault="00752B46" w:rsidP="00752B46">
      <w:pPr>
        <w:pStyle w:val="BodyText"/>
      </w:pPr>
      <w:r w:rsidRPr="00DA21EA">
        <w:t>In relation to the price path set out in clause 8 of the Determination, my/our audit included examination, on a test basis, of evidence relevant to the amounts and disclosures contained on pages [</w:t>
      </w:r>
      <w:r w:rsidRPr="002F606A">
        <w:rPr>
          <w:i/>
        </w:rPr>
        <w:t>insert page references</w:t>
      </w:r>
      <w:r w:rsidRPr="002F606A">
        <w:t xml:space="preserve">] of the </w:t>
      </w:r>
      <w:r w:rsidR="004D6232">
        <w:t>compliance</w:t>
      </w:r>
      <w:r w:rsidRPr="000D2FC0">
        <w:t xml:space="preserve"> statement</w:t>
      </w:r>
      <w:r w:rsidRPr="00EC752E">
        <w:t>.</w:t>
      </w:r>
    </w:p>
    <w:p w:rsidR="00752B46" w:rsidRPr="00EC752E" w:rsidRDefault="00752B46" w:rsidP="00752B46">
      <w:pPr>
        <w:pStyle w:val="BodyText"/>
      </w:pPr>
      <w:r w:rsidRPr="00EC752E">
        <w:t xml:space="preserve">In relation to the quality standard set out in clause 9 of the Determination, my/our audit included </w:t>
      </w:r>
      <w:r w:rsidRPr="00DA21EA">
        <w:t>examination, on a test basis, of evidence relevant to the amounts and disclosures contained on pages [</w:t>
      </w:r>
      <w:r w:rsidRPr="00DA21EA">
        <w:rPr>
          <w:i/>
        </w:rPr>
        <w:t>insert page references</w:t>
      </w:r>
      <w:r w:rsidRPr="00DA21EA">
        <w:t xml:space="preserve">] of the </w:t>
      </w:r>
      <w:r w:rsidR="004D6232">
        <w:t>compliance</w:t>
      </w:r>
      <w:r w:rsidRPr="000D2FC0">
        <w:t xml:space="preserve"> statement</w:t>
      </w:r>
      <w:r w:rsidRPr="00EC752E">
        <w:t>.</w:t>
      </w:r>
    </w:p>
    <w:p w:rsidR="00752B46" w:rsidRPr="00EC752E" w:rsidRDefault="00752B46" w:rsidP="00752B46">
      <w:pPr>
        <w:pStyle w:val="BodyText"/>
      </w:pPr>
      <w:r w:rsidRPr="00EC752E">
        <w:t>My/Our audit also included assessment of the significant estimates and judgments, if any, made by [</w:t>
      </w:r>
      <w:r w:rsidRPr="00DA21EA">
        <w:rPr>
          <w:i/>
        </w:rPr>
        <w:t xml:space="preserve">insert name of </w:t>
      </w:r>
      <w:proofErr w:type="spellStart"/>
      <w:r w:rsidRPr="000D2FC0">
        <w:rPr>
          <w:i/>
        </w:rPr>
        <w:t>GDB</w:t>
      </w:r>
      <w:proofErr w:type="spellEnd"/>
      <w:r w:rsidRPr="00EC752E">
        <w:t xml:space="preserve">] in the preparation of the </w:t>
      </w:r>
      <w:r w:rsidR="004D6232">
        <w:t>compliance</w:t>
      </w:r>
      <w:r w:rsidRPr="000D2FC0">
        <w:t xml:space="preserve"> statement</w:t>
      </w:r>
      <w:r w:rsidRPr="00EC752E">
        <w:t xml:space="preserve"> and assessment of whether the basis of preparation has been adequately disclosed.</w:t>
      </w:r>
    </w:p>
    <w:p w:rsidR="00D53361" w:rsidRPr="00DA21EA" w:rsidRDefault="00D53361" w:rsidP="00D53361">
      <w:pPr>
        <w:pStyle w:val="BodyText"/>
      </w:pPr>
      <w:r w:rsidRPr="00EC752E">
        <w:t>I/We believe that the audit evidence I/we have obtained is sufficient and appropriate to provide a ba</w:t>
      </w:r>
      <w:r w:rsidRPr="00DA21EA">
        <w:t>sis for my/our audit opinion.</w:t>
      </w:r>
    </w:p>
    <w:p w:rsidR="00752B46" w:rsidRPr="00752B46" w:rsidRDefault="0048622D" w:rsidP="00D53361">
      <w:pPr>
        <w:pStyle w:val="BodyText"/>
        <w:rPr>
          <w:b/>
        </w:rPr>
      </w:pPr>
      <w:r w:rsidRPr="0048622D">
        <w:rPr>
          <w:b/>
        </w:rPr>
        <w:t>Independence</w:t>
      </w:r>
    </w:p>
    <w:p w:rsidR="00D53361" w:rsidRPr="00D53361" w:rsidRDefault="00D53361" w:rsidP="00D53361">
      <w:pPr>
        <w:pStyle w:val="BodyText"/>
      </w:pPr>
      <w:r w:rsidRPr="00DA21EA">
        <w:t xml:space="preserve">I/we have no relationship with, or interests in </w:t>
      </w:r>
      <w:r w:rsidRPr="00DA21EA">
        <w:rPr>
          <w:i/>
        </w:rPr>
        <w:t xml:space="preserve">[insert name of </w:t>
      </w:r>
      <w:proofErr w:type="spellStart"/>
      <w:r w:rsidR="0048622D" w:rsidRPr="0048622D">
        <w:rPr>
          <w:i/>
        </w:rPr>
        <w:t>GDB</w:t>
      </w:r>
      <w:proofErr w:type="spellEnd"/>
      <w:r w:rsidRPr="00EC752E">
        <w:rPr>
          <w:i/>
        </w:rPr>
        <w:t xml:space="preserve">] </w:t>
      </w:r>
      <w:r w:rsidRPr="00EC752E">
        <w:t xml:space="preserve">other than </w:t>
      </w:r>
      <w:r w:rsidRPr="00EC752E">
        <w:rPr>
          <w:i/>
        </w:rPr>
        <w:t>[insert relationship and/or interests including a statement verifying that no conflict of interest exists].</w:t>
      </w:r>
    </w:p>
    <w:p w:rsidR="0048622D" w:rsidRDefault="0048622D" w:rsidP="0048622D">
      <w:pPr>
        <w:pStyle w:val="BodyTextIndent"/>
        <w:ind w:left="0"/>
      </w:pPr>
      <w:r w:rsidRPr="0048622D">
        <w:rPr>
          <w:b/>
        </w:rPr>
        <w:t>Opinion</w:t>
      </w:r>
    </w:p>
    <w:p w:rsidR="00D53361" w:rsidRPr="002F606A" w:rsidRDefault="00D53361" w:rsidP="00D53361">
      <w:pPr>
        <w:pStyle w:val="BodyText"/>
      </w:pPr>
      <w:r w:rsidRPr="00EC752E">
        <w:t xml:space="preserve">In my/our opinion, the </w:t>
      </w:r>
      <w:r w:rsidR="004D6232">
        <w:t>compliance</w:t>
      </w:r>
      <w:r w:rsidR="0048622D" w:rsidRPr="0048622D">
        <w:t xml:space="preserve"> statement</w:t>
      </w:r>
      <w:r w:rsidRPr="00EC752E">
        <w:t xml:space="preserve"> of [</w:t>
      </w:r>
      <w:r w:rsidRPr="00EC752E">
        <w:rPr>
          <w:i/>
        </w:rPr>
        <w:t xml:space="preserve">insert name of </w:t>
      </w:r>
      <w:proofErr w:type="spellStart"/>
      <w:r w:rsidR="0048622D" w:rsidRPr="0048622D">
        <w:rPr>
          <w:i/>
        </w:rPr>
        <w:t>GDB</w:t>
      </w:r>
      <w:proofErr w:type="spellEnd"/>
      <w:r w:rsidRPr="00EC752E">
        <w:t xml:space="preserve">] </w:t>
      </w:r>
      <w:r w:rsidR="009C11AB" w:rsidRPr="00EC752E">
        <w:t xml:space="preserve">for </w:t>
      </w:r>
      <w:r w:rsidR="009C11AB">
        <w:t xml:space="preserve">the assessment period </w:t>
      </w:r>
      <w:r w:rsidR="009C11AB" w:rsidRPr="0048622D">
        <w:t>ended on</w:t>
      </w:r>
      <w:r w:rsidR="009C11AB" w:rsidRPr="00EC752E">
        <w:t xml:space="preserve"> [</w:t>
      </w:r>
      <w:r w:rsidR="009C11AB" w:rsidRPr="00EC752E">
        <w:rPr>
          <w:i/>
        </w:rPr>
        <w:t xml:space="preserve">insert </w:t>
      </w:r>
      <w:r w:rsidR="009C11AB" w:rsidRPr="0048622D">
        <w:rPr>
          <w:i/>
        </w:rPr>
        <w:t>date</w:t>
      </w:r>
      <w:r w:rsidR="009C11AB" w:rsidRPr="00EC752E">
        <w:t>]</w:t>
      </w:r>
      <w:r w:rsidRPr="00DA21EA">
        <w:t>, has been p</w:t>
      </w:r>
      <w:r w:rsidRPr="002F606A">
        <w:t>repared, in all material respects, in accordance with the Determination.</w:t>
      </w:r>
    </w:p>
    <w:p w:rsidR="00D53361" w:rsidRPr="00EC752E" w:rsidRDefault="00D53361" w:rsidP="00D53361">
      <w:pPr>
        <w:pStyle w:val="BodyText"/>
      </w:pPr>
      <w:r w:rsidRPr="002F606A">
        <w:t>*[</w:t>
      </w:r>
      <w:r w:rsidR="0048622D" w:rsidRPr="0048622D">
        <w:t>Qualification on opinion</w:t>
      </w:r>
      <w:r w:rsidRPr="00EC752E">
        <w:t>]</w:t>
      </w:r>
    </w:p>
    <w:p w:rsidR="00D53361" w:rsidRPr="00DA21EA" w:rsidRDefault="00D53361" w:rsidP="00D53361">
      <w:pPr>
        <w:pStyle w:val="BodyText"/>
      </w:pPr>
      <w:r w:rsidRPr="00EC752E">
        <w:t xml:space="preserve">*[My/Our opinion is qualified as follows:] </w:t>
      </w:r>
    </w:p>
    <w:p w:rsidR="00D53361" w:rsidRPr="00D53361" w:rsidRDefault="00D53361" w:rsidP="00D53361">
      <w:pPr>
        <w:pStyle w:val="BodyText"/>
      </w:pPr>
      <w:r w:rsidRPr="00DA21EA">
        <w:t>*[</w:t>
      </w:r>
      <w:r w:rsidRPr="00DA21EA">
        <w:rPr>
          <w:i/>
        </w:rPr>
        <w:t xml:space="preserve">Insert the nature of and reason(s) for the qualification together with the impact on the </w:t>
      </w:r>
      <w:r w:rsidR="004D6232">
        <w:rPr>
          <w:i/>
        </w:rPr>
        <w:t>compliance</w:t>
      </w:r>
      <w:r w:rsidR="0048622D" w:rsidRPr="0048622D">
        <w:rPr>
          <w:i/>
        </w:rPr>
        <w:t xml:space="preserve"> statement</w:t>
      </w:r>
      <w:r w:rsidRPr="00EC752E">
        <w:t xml:space="preserve">]. </w:t>
      </w:r>
    </w:p>
    <w:p w:rsidR="00D53361" w:rsidRPr="00D53361" w:rsidRDefault="00D53361" w:rsidP="00D53361">
      <w:pPr>
        <w:pStyle w:val="BodyText"/>
      </w:pPr>
      <w:r w:rsidRPr="00D53361">
        <w:t>My/Our audit was completed on [</w:t>
      </w:r>
      <w:r w:rsidRPr="00D53361">
        <w:rPr>
          <w:i/>
        </w:rPr>
        <w:t>insert date</w:t>
      </w:r>
      <w:r w:rsidRPr="00D53361">
        <w:t>] and my/our opinion is expressed as at that date.</w:t>
      </w:r>
    </w:p>
    <w:p w:rsidR="00D53361" w:rsidRPr="00D53361" w:rsidRDefault="00D53361" w:rsidP="00D53361">
      <w:pPr>
        <w:pStyle w:val="BodyText"/>
      </w:pPr>
      <w:r w:rsidRPr="00D53361">
        <w:t>[</w:t>
      </w:r>
      <w:r w:rsidRPr="00D53361">
        <w:rPr>
          <w:i/>
        </w:rPr>
        <w:t xml:space="preserve">Signature of </w:t>
      </w:r>
      <w:r w:rsidR="002B207C">
        <w:rPr>
          <w:i/>
        </w:rPr>
        <w:t>a</w:t>
      </w:r>
      <w:r w:rsidRPr="00D53361">
        <w:rPr>
          <w:i/>
        </w:rPr>
        <w:t>uditor</w:t>
      </w:r>
      <w:r w:rsidRPr="00D53361">
        <w:t xml:space="preserve">] </w:t>
      </w:r>
    </w:p>
    <w:p w:rsidR="00D53361" w:rsidRPr="00D53361" w:rsidRDefault="00D53361" w:rsidP="00D53361">
      <w:pPr>
        <w:pStyle w:val="BodyText"/>
      </w:pPr>
      <w:r w:rsidRPr="00D53361">
        <w:t>[</w:t>
      </w:r>
      <w:r w:rsidRPr="00D53361">
        <w:rPr>
          <w:i/>
        </w:rPr>
        <w:t>Name of auditing firm</w:t>
      </w:r>
      <w:r w:rsidRPr="00D53361">
        <w:t xml:space="preserve">] </w:t>
      </w:r>
    </w:p>
    <w:p w:rsidR="00D53361" w:rsidRPr="00D53361" w:rsidRDefault="00D53361" w:rsidP="00D53361">
      <w:pPr>
        <w:pStyle w:val="BodyText"/>
      </w:pPr>
      <w:r w:rsidRPr="00D53361">
        <w:t>[</w:t>
      </w:r>
      <w:r w:rsidRPr="00D53361">
        <w:rPr>
          <w:i/>
        </w:rPr>
        <w:t>Address of auditing firm</w:t>
      </w:r>
      <w:r w:rsidRPr="00D53361">
        <w:t xml:space="preserve">] </w:t>
      </w:r>
    </w:p>
    <w:p w:rsidR="00D53361" w:rsidRPr="00D53361" w:rsidRDefault="00D53361" w:rsidP="00D53361">
      <w:pPr>
        <w:pStyle w:val="BodyText"/>
      </w:pPr>
      <w:r w:rsidRPr="00D53361">
        <w:t>[</w:t>
      </w:r>
      <w:r w:rsidRPr="00D53361">
        <w:rPr>
          <w:i/>
        </w:rPr>
        <w:t>Date</w:t>
      </w:r>
      <w:r w:rsidRPr="00D53361">
        <w:t>]</w:t>
      </w:r>
    </w:p>
    <w:p w:rsidR="00D53361" w:rsidRPr="00D53361" w:rsidRDefault="00D53361" w:rsidP="00D53361">
      <w:pPr>
        <w:pStyle w:val="BodyText"/>
      </w:pPr>
      <w:r w:rsidRPr="00D53361">
        <w:t>*Delete if inapplicable.</w:t>
      </w:r>
    </w:p>
    <w:p w:rsidR="00D53361" w:rsidRPr="00D53361" w:rsidRDefault="00D53361" w:rsidP="00D53361">
      <w:pPr>
        <w:pStyle w:val="BodyText"/>
      </w:pPr>
      <w:r w:rsidRPr="00D53361">
        <w:t>Note: Section 103(2) of the Commerce Act 1986 provides that no person shall attempt to deceive or knowingly mislead the Commission in relation to any matter before it. It is an offence to contravene section 103(2) and any person who does so is liable on summary conviction to a fine not exceeding $10,000 in the case of an individual or $30,000 in the case of a body corporate.</w:t>
      </w:r>
    </w:p>
    <w:p w:rsidR="0048622D" w:rsidRDefault="00D53361" w:rsidP="0048622D">
      <w:pPr>
        <w:pStyle w:val="Heading2"/>
      </w:pPr>
      <w:r w:rsidRPr="00D53361">
        <w:br w:type="page"/>
      </w:r>
      <w:bookmarkStart w:id="30" w:name="_Toc348091321"/>
      <w:r w:rsidR="00564348" w:rsidRPr="00564348">
        <w:t>Explanatory note</w:t>
      </w:r>
      <w:bookmarkEnd w:id="30"/>
    </w:p>
    <w:p w:rsidR="00D53361" w:rsidRPr="00D53361" w:rsidRDefault="00D53361" w:rsidP="00D53361">
      <w:pPr>
        <w:pStyle w:val="BodyText"/>
      </w:pPr>
      <w:r w:rsidRPr="00D53361">
        <w:t xml:space="preserve">The purpose of the </w:t>
      </w:r>
      <w:r w:rsidR="008A4488">
        <w:rPr>
          <w:i/>
        </w:rPr>
        <w:t xml:space="preserve">Gas Distribution Services Default </w:t>
      </w:r>
      <w:r w:rsidRPr="00D53361">
        <w:rPr>
          <w:i/>
        </w:rPr>
        <w:t xml:space="preserve">Price-Quality Path Determination </w:t>
      </w:r>
      <w:r w:rsidR="00D056C3" w:rsidRPr="00D53361">
        <w:rPr>
          <w:i/>
        </w:rPr>
        <w:t>201</w:t>
      </w:r>
      <w:r w:rsidR="00D056C3">
        <w:rPr>
          <w:i/>
        </w:rPr>
        <w:t>3</w:t>
      </w:r>
      <w:r w:rsidR="00D056C3" w:rsidRPr="00D53361">
        <w:t xml:space="preserve"> </w:t>
      </w:r>
      <w:r w:rsidRPr="00D53361">
        <w:t>(“the Determination”) is to set a default price-quality path for gas distribution businesses (“</w:t>
      </w:r>
      <w:proofErr w:type="spellStart"/>
      <w:r w:rsidRPr="00D53361">
        <w:t>GDBs</w:t>
      </w:r>
      <w:proofErr w:type="spellEnd"/>
      <w:r w:rsidRPr="00D53361">
        <w:t xml:space="preserve">”) for the four years and three months beginning 1 July </w:t>
      </w:r>
      <w:r w:rsidR="00486745" w:rsidRPr="00D53361">
        <w:t>201</w:t>
      </w:r>
      <w:r w:rsidR="00486745">
        <w:t>3</w:t>
      </w:r>
      <w:r w:rsidR="00486745" w:rsidRPr="00D53361">
        <w:t xml:space="preserve"> </w:t>
      </w:r>
      <w:r w:rsidRPr="00D53361">
        <w:t xml:space="preserve">and ending 30 September </w:t>
      </w:r>
      <w:r w:rsidR="00486745" w:rsidRPr="00D53361">
        <w:t>201</w:t>
      </w:r>
      <w:r w:rsidR="00486745">
        <w:t>7</w:t>
      </w:r>
      <w:r w:rsidRPr="00D53361">
        <w:t>, pursuant to Part 4 of the Commerce Act 1986 (“the Act”).</w:t>
      </w:r>
    </w:p>
    <w:p w:rsidR="00D53361" w:rsidRPr="00D53361" w:rsidRDefault="00D53361" w:rsidP="00D53361">
      <w:pPr>
        <w:pStyle w:val="BodyText"/>
      </w:pPr>
      <w:r w:rsidRPr="00D53361">
        <w:t xml:space="preserve">Pursuant to section </w:t>
      </w:r>
      <w:proofErr w:type="spellStart"/>
      <w:r w:rsidRPr="00D53361">
        <w:t>53N</w:t>
      </w:r>
      <w:proofErr w:type="spellEnd"/>
      <w:r w:rsidRPr="00D53361">
        <w:t xml:space="preserve"> of the Act, each </w:t>
      </w:r>
      <w:proofErr w:type="spellStart"/>
      <w:r w:rsidRPr="00D53361">
        <w:t>GDB</w:t>
      </w:r>
      <w:proofErr w:type="spellEnd"/>
      <w:r w:rsidRPr="00D53361">
        <w:t xml:space="preserve"> is required to provide to the Commerce Commission (“the Commission”) a </w:t>
      </w:r>
      <w:r w:rsidR="004D6232">
        <w:t>compliance</w:t>
      </w:r>
      <w:r w:rsidRPr="00D53361">
        <w:t xml:space="preserve"> statement stating whether or not it has complied with the default price-quality path set out in the Determination together with supporting evidence. The </w:t>
      </w:r>
      <w:r w:rsidR="004D6232">
        <w:t>compliance</w:t>
      </w:r>
      <w:r w:rsidRPr="00D53361">
        <w:t xml:space="preserve"> statement is to be accompanied by both an auditor’s report and a director’s certificate. Each </w:t>
      </w:r>
      <w:proofErr w:type="spellStart"/>
      <w:r w:rsidRPr="00D53361">
        <w:t>GDB</w:t>
      </w:r>
      <w:proofErr w:type="spellEnd"/>
      <w:r w:rsidRPr="00D53361">
        <w:t xml:space="preserve"> </w:t>
      </w:r>
      <w:r w:rsidR="00F557F6">
        <w:t>must</w:t>
      </w:r>
      <w:r w:rsidR="00F557F6" w:rsidRPr="00D53361">
        <w:t xml:space="preserve"> </w:t>
      </w:r>
      <w:r w:rsidRPr="00D53361">
        <w:t xml:space="preserve">publish its compliance statement on its website within </w:t>
      </w:r>
      <w:r w:rsidR="008C19DF">
        <w:t>five working days</w:t>
      </w:r>
      <w:r w:rsidRPr="00D53361">
        <w:t xml:space="preserve"> after submitting it to the Commission.</w:t>
      </w:r>
    </w:p>
    <w:p w:rsidR="00D53361" w:rsidRPr="00D53361" w:rsidRDefault="00D53361" w:rsidP="00D53361">
      <w:pPr>
        <w:pStyle w:val="BodyText"/>
      </w:pPr>
      <w:r w:rsidRPr="00D53361">
        <w:t xml:space="preserve">The Commission conducted a comprehensive process of consultation before making the Determination. A reasons paper providing detailed background </w:t>
      </w:r>
      <w:proofErr w:type="gramStart"/>
      <w:r w:rsidRPr="00D53361">
        <w:t>to,</w:t>
      </w:r>
      <w:proofErr w:type="gramEnd"/>
      <w:r w:rsidRPr="00D53361">
        <w:t xml:space="preserve"> and analysis of, the Determination can be found at:</w:t>
      </w:r>
    </w:p>
    <w:p w:rsidR="005433D3" w:rsidRDefault="004E6FB5" w:rsidP="005433D3">
      <w:hyperlink r:id="rId88" w:history="1">
        <w:r w:rsidR="005433D3">
          <w:rPr>
            <w:rStyle w:val="Hyperlink"/>
          </w:rPr>
          <w:t>http://www.comcom.govt.nz/initial-default-price-quality-path/</w:t>
        </w:r>
      </w:hyperlink>
    </w:p>
    <w:p w:rsidR="005433D3" w:rsidRDefault="005433D3" w:rsidP="00D53361">
      <w:pPr>
        <w:pStyle w:val="BodyText"/>
      </w:pPr>
    </w:p>
    <w:p w:rsidR="00AD6B17" w:rsidRDefault="00D53361" w:rsidP="00D53361">
      <w:pPr>
        <w:pStyle w:val="BodyText"/>
      </w:pPr>
      <w:r w:rsidRPr="00D53361">
        <w:t>Copies of this determination are available for inspection free of charge at the Commission (during ordinary office hours), on the Commission’s website at the above link, or for purchase at a reasonable price at the Commission.</w:t>
      </w:r>
    </w:p>
    <w:p w:rsidR="0048622D" w:rsidRDefault="0048622D" w:rsidP="0048622D"/>
    <w:sectPr w:rsidR="0048622D" w:rsidSect="00BA2138">
      <w:headerReference w:type="even" r:id="rId89"/>
      <w:headerReference w:type="default" r:id="rId90"/>
      <w:footerReference w:type="even" r:id="rId91"/>
      <w:footerReference w:type="default" r:id="rId92"/>
      <w:headerReference w:type="first" r:id="rId93"/>
      <w:footerReference w:type="first" r:id="rId94"/>
      <w:pgSz w:w="11906" w:h="16838" w:code="9"/>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97E" w:rsidRDefault="0013797E">
      <w:r>
        <w:separator/>
      </w:r>
    </w:p>
  </w:endnote>
  <w:endnote w:type="continuationSeparator" w:id="0">
    <w:p w:rsidR="0013797E" w:rsidRDefault="001379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Bold">
    <w:panose1 w:val="020F070203040403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7E" w:rsidRDefault="0013797E" w:rsidP="00BD1DF0">
    <w:pPr>
      <w:pStyle w:val="Footer"/>
      <w:jc w:val="right"/>
      <w:rPr>
        <w:sz w:val="16"/>
      </w:rPr>
    </w:pPr>
  </w:p>
  <w:p w:rsidR="0013797E" w:rsidRPr="00A0227E" w:rsidRDefault="00A0227E" w:rsidP="00A0227E">
    <w:pPr>
      <w:pStyle w:val="Footer"/>
      <w:jc w:val="right"/>
      <w:rPr>
        <w:sz w:val="16"/>
      </w:rPr>
    </w:pPr>
    <w:r w:rsidRPr="00A0227E">
      <w:rPr>
        <w:sz w:val="16"/>
      </w:rPr>
      <w:t>1498750.1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58647"/>
      <w:docPartObj>
        <w:docPartGallery w:val="Page Numbers (Bottom of Page)"/>
        <w:docPartUnique/>
      </w:docPartObj>
    </w:sdtPr>
    <w:sdtContent>
      <w:p w:rsidR="0013797E" w:rsidRDefault="004E6FB5">
        <w:pPr>
          <w:pStyle w:val="Footer"/>
          <w:jc w:val="right"/>
        </w:pPr>
        <w:fldSimple w:instr=" PAGE   \* MERGEFORMAT ">
          <w:r w:rsidR="009446DB">
            <w:rPr>
              <w:noProof/>
            </w:rPr>
            <w:t>15</w:t>
          </w:r>
        </w:fldSimple>
      </w:p>
    </w:sdtContent>
  </w:sdt>
  <w:p w:rsidR="0013797E" w:rsidRPr="00A0227E" w:rsidRDefault="00A0227E" w:rsidP="00A0227E">
    <w:pPr>
      <w:pStyle w:val="Footer"/>
      <w:jc w:val="left"/>
      <w:rPr>
        <w:sz w:val="16"/>
      </w:rPr>
    </w:pPr>
    <w:r w:rsidRPr="00A0227E">
      <w:rPr>
        <w:sz w:val="16"/>
      </w:rPr>
      <w:t>1498750.1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7E" w:rsidRPr="00A0227E" w:rsidRDefault="00A0227E" w:rsidP="00A0227E">
    <w:pPr>
      <w:pStyle w:val="Footer"/>
      <w:jc w:val="left"/>
      <w:rPr>
        <w:sz w:val="16"/>
      </w:rPr>
    </w:pPr>
    <w:r w:rsidRPr="00A0227E">
      <w:rPr>
        <w:sz w:val="16"/>
      </w:rPr>
      <w:t>1498750.1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97E" w:rsidRDefault="0013797E">
      <w:r>
        <w:separator/>
      </w:r>
    </w:p>
  </w:footnote>
  <w:footnote w:type="continuationSeparator" w:id="0">
    <w:p w:rsidR="0013797E" w:rsidRDefault="00137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9D" w:rsidRDefault="002D2B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7E" w:rsidRDefault="0013797E" w:rsidP="008A4488">
    <w:pPr>
      <w:pStyle w:val="Header"/>
    </w:pPr>
    <w:r w:rsidRPr="006256E3">
      <w:rPr>
        <w:sz w:val="22"/>
        <w:szCs w:val="22"/>
      </w:rPr>
      <w:t>[DRAFT] GAS DISTRIBUTION SERVICES DEFAULT PRICE-QUALITY PATH DETERMINATION 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7E" w:rsidRDefault="0013797E" w:rsidP="00770504">
    <w:pPr>
      <w:pStyle w:val="Header"/>
      <w:jc w:val="left"/>
    </w:pPr>
    <w:r>
      <w:rPr>
        <w:noProof/>
        <w:lang w:eastAsia="en-NZ"/>
      </w:rPr>
      <w:drawing>
        <wp:inline distT="0" distB="0" distL="0" distR="0">
          <wp:extent cx="1982470" cy="604520"/>
          <wp:effectExtent l="19050" t="0" r="0" b="0"/>
          <wp:docPr id="2" name="Picture 1" descr="ComComNZ-Long-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ComNZ-Long-Colour.jpg"/>
                  <pic:cNvPicPr/>
                </pic:nvPicPr>
                <pic:blipFill>
                  <a:blip r:embed="rId1"/>
                  <a:stretch>
                    <a:fillRect/>
                  </a:stretch>
                </pic:blipFill>
                <pic:spPr>
                  <a:xfrm>
                    <a:off x="0" y="0"/>
                    <a:ext cx="1982470" cy="6045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E4B771"/>
    <w:multiLevelType w:val="hybridMultilevel"/>
    <w:tmpl w:val="EBDFE8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8B7810D4"/>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56CF08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010462CE"/>
    <w:lvl w:ilvl="0">
      <w:start w:val="1"/>
      <w:numFmt w:val="decimal"/>
      <w:pStyle w:val="ListNumber3"/>
      <w:lvlText w:val="%1."/>
      <w:lvlJc w:val="left"/>
      <w:pPr>
        <w:tabs>
          <w:tab w:val="num" w:pos="926"/>
        </w:tabs>
        <w:ind w:left="926" w:hanging="360"/>
      </w:pPr>
    </w:lvl>
  </w:abstractNum>
  <w:abstractNum w:abstractNumId="4">
    <w:nsid w:val="FFFFFF7F"/>
    <w:multiLevelType w:val="singleLevel"/>
    <w:tmpl w:val="D2B4E940"/>
    <w:lvl w:ilvl="0">
      <w:start w:val="1"/>
      <w:numFmt w:val="decimal"/>
      <w:pStyle w:val="ListNumber2"/>
      <w:lvlText w:val="%1."/>
      <w:lvlJc w:val="left"/>
      <w:pPr>
        <w:tabs>
          <w:tab w:val="num" w:pos="643"/>
        </w:tabs>
        <w:ind w:left="643" w:hanging="360"/>
      </w:pPr>
    </w:lvl>
  </w:abstractNum>
  <w:abstractNum w:abstractNumId="5">
    <w:nsid w:val="FFFFFF80"/>
    <w:multiLevelType w:val="singleLevel"/>
    <w:tmpl w:val="B2ECA624"/>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A6AA7026"/>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8"/>
    <w:multiLevelType w:val="singleLevel"/>
    <w:tmpl w:val="EA7C3332"/>
    <w:lvl w:ilvl="0">
      <w:start w:val="1"/>
      <w:numFmt w:val="decimal"/>
      <w:pStyle w:val="ListNumber"/>
      <w:lvlText w:val="%1."/>
      <w:lvlJc w:val="left"/>
      <w:pPr>
        <w:tabs>
          <w:tab w:val="num" w:pos="360"/>
        </w:tabs>
        <w:ind w:left="360" w:hanging="360"/>
      </w:pPr>
    </w:lvl>
  </w:abstractNum>
  <w:abstractNum w:abstractNumId="8">
    <w:nsid w:val="000614EE"/>
    <w:multiLevelType w:val="hybridMultilevel"/>
    <w:tmpl w:val="E0D84B18"/>
    <w:lvl w:ilvl="0" w:tplc="5C080E76">
      <w:start w:val="1"/>
      <w:numFmt w:val="decimal"/>
      <w:pStyle w:val="FormulaHeading"/>
      <w:lvlText w:val="Formula %1"/>
      <w:lvlJc w:val="left"/>
      <w:pPr>
        <w:tabs>
          <w:tab w:val="num" w:pos="927"/>
        </w:tabs>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3FE6D14C">
      <w:start w:val="1"/>
      <w:numFmt w:val="lowerLetter"/>
      <w:lvlText w:val="%2."/>
      <w:lvlJc w:val="left"/>
      <w:pPr>
        <w:tabs>
          <w:tab w:val="num" w:pos="1647"/>
        </w:tabs>
        <w:ind w:left="1647" w:hanging="360"/>
      </w:pPr>
    </w:lvl>
    <w:lvl w:ilvl="2" w:tplc="D9540AA4">
      <w:start w:val="1"/>
      <w:numFmt w:val="lowerRoman"/>
      <w:pStyle w:val="NumberedParagraphsnormal"/>
      <w:lvlText w:val="%3."/>
      <w:lvlJc w:val="right"/>
      <w:pPr>
        <w:tabs>
          <w:tab w:val="num" w:pos="2367"/>
        </w:tabs>
        <w:ind w:left="2367" w:hanging="180"/>
      </w:pPr>
    </w:lvl>
    <w:lvl w:ilvl="3" w:tplc="B67432FA">
      <w:start w:val="1"/>
      <w:numFmt w:val="decimal"/>
      <w:lvlText w:val="%4."/>
      <w:lvlJc w:val="left"/>
      <w:pPr>
        <w:tabs>
          <w:tab w:val="num" w:pos="3087"/>
        </w:tabs>
        <w:ind w:left="3087" w:hanging="360"/>
      </w:pPr>
    </w:lvl>
    <w:lvl w:ilvl="4" w:tplc="27E86C54" w:tentative="1">
      <w:start w:val="1"/>
      <w:numFmt w:val="lowerLetter"/>
      <w:lvlText w:val="%5."/>
      <w:lvlJc w:val="left"/>
      <w:pPr>
        <w:tabs>
          <w:tab w:val="num" w:pos="3807"/>
        </w:tabs>
        <w:ind w:left="3807" w:hanging="360"/>
      </w:pPr>
    </w:lvl>
    <w:lvl w:ilvl="5" w:tplc="49C8DAC2" w:tentative="1">
      <w:start w:val="1"/>
      <w:numFmt w:val="lowerRoman"/>
      <w:lvlText w:val="%6."/>
      <w:lvlJc w:val="right"/>
      <w:pPr>
        <w:tabs>
          <w:tab w:val="num" w:pos="4527"/>
        </w:tabs>
        <w:ind w:left="4527" w:hanging="180"/>
      </w:pPr>
    </w:lvl>
    <w:lvl w:ilvl="6" w:tplc="EA76713C" w:tentative="1">
      <w:start w:val="1"/>
      <w:numFmt w:val="decimal"/>
      <w:lvlText w:val="%7."/>
      <w:lvlJc w:val="left"/>
      <w:pPr>
        <w:tabs>
          <w:tab w:val="num" w:pos="5247"/>
        </w:tabs>
        <w:ind w:left="5247" w:hanging="360"/>
      </w:pPr>
    </w:lvl>
    <w:lvl w:ilvl="7" w:tplc="6916D0D2" w:tentative="1">
      <w:start w:val="1"/>
      <w:numFmt w:val="lowerLetter"/>
      <w:lvlText w:val="%8."/>
      <w:lvlJc w:val="left"/>
      <w:pPr>
        <w:tabs>
          <w:tab w:val="num" w:pos="5967"/>
        </w:tabs>
        <w:ind w:left="5967" w:hanging="360"/>
      </w:pPr>
    </w:lvl>
    <w:lvl w:ilvl="8" w:tplc="96F0E15C" w:tentative="1">
      <w:start w:val="1"/>
      <w:numFmt w:val="lowerRoman"/>
      <w:lvlText w:val="%9."/>
      <w:lvlJc w:val="right"/>
      <w:pPr>
        <w:tabs>
          <w:tab w:val="num" w:pos="6687"/>
        </w:tabs>
        <w:ind w:left="6687" w:hanging="180"/>
      </w:pPr>
    </w:lvl>
  </w:abstractNum>
  <w:abstractNum w:abstractNumId="9">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0EB43C7F"/>
    <w:multiLevelType w:val="hybridMultilevel"/>
    <w:tmpl w:val="118C871A"/>
    <w:lvl w:ilvl="0" w:tplc="14090001">
      <w:start w:val="1"/>
      <w:numFmt w:val="bullet"/>
      <w:lvlText w:val=""/>
      <w:lvlJc w:val="left"/>
      <w:pPr>
        <w:ind w:left="1486" w:hanging="360"/>
      </w:pPr>
      <w:rPr>
        <w:rFonts w:ascii="Symbol" w:hAnsi="Symbol" w:hint="default"/>
      </w:rPr>
    </w:lvl>
    <w:lvl w:ilvl="1" w:tplc="14090003" w:tentative="1">
      <w:start w:val="1"/>
      <w:numFmt w:val="bullet"/>
      <w:lvlText w:val="o"/>
      <w:lvlJc w:val="left"/>
      <w:pPr>
        <w:ind w:left="2206" w:hanging="360"/>
      </w:pPr>
      <w:rPr>
        <w:rFonts w:ascii="Courier New" w:hAnsi="Courier New" w:cs="Courier New" w:hint="default"/>
      </w:rPr>
    </w:lvl>
    <w:lvl w:ilvl="2" w:tplc="14090005" w:tentative="1">
      <w:start w:val="1"/>
      <w:numFmt w:val="bullet"/>
      <w:lvlText w:val=""/>
      <w:lvlJc w:val="left"/>
      <w:pPr>
        <w:ind w:left="2926" w:hanging="360"/>
      </w:pPr>
      <w:rPr>
        <w:rFonts w:ascii="Wingdings" w:hAnsi="Wingdings" w:hint="default"/>
      </w:rPr>
    </w:lvl>
    <w:lvl w:ilvl="3" w:tplc="14090001" w:tentative="1">
      <w:start w:val="1"/>
      <w:numFmt w:val="bullet"/>
      <w:lvlText w:val=""/>
      <w:lvlJc w:val="left"/>
      <w:pPr>
        <w:ind w:left="3646" w:hanging="360"/>
      </w:pPr>
      <w:rPr>
        <w:rFonts w:ascii="Symbol" w:hAnsi="Symbol" w:hint="default"/>
      </w:rPr>
    </w:lvl>
    <w:lvl w:ilvl="4" w:tplc="14090003" w:tentative="1">
      <w:start w:val="1"/>
      <w:numFmt w:val="bullet"/>
      <w:lvlText w:val="o"/>
      <w:lvlJc w:val="left"/>
      <w:pPr>
        <w:ind w:left="4366" w:hanging="360"/>
      </w:pPr>
      <w:rPr>
        <w:rFonts w:ascii="Courier New" w:hAnsi="Courier New" w:cs="Courier New" w:hint="default"/>
      </w:rPr>
    </w:lvl>
    <w:lvl w:ilvl="5" w:tplc="14090005" w:tentative="1">
      <w:start w:val="1"/>
      <w:numFmt w:val="bullet"/>
      <w:lvlText w:val=""/>
      <w:lvlJc w:val="left"/>
      <w:pPr>
        <w:ind w:left="5086" w:hanging="360"/>
      </w:pPr>
      <w:rPr>
        <w:rFonts w:ascii="Wingdings" w:hAnsi="Wingdings" w:hint="default"/>
      </w:rPr>
    </w:lvl>
    <w:lvl w:ilvl="6" w:tplc="14090001" w:tentative="1">
      <w:start w:val="1"/>
      <w:numFmt w:val="bullet"/>
      <w:lvlText w:val=""/>
      <w:lvlJc w:val="left"/>
      <w:pPr>
        <w:ind w:left="5806" w:hanging="360"/>
      </w:pPr>
      <w:rPr>
        <w:rFonts w:ascii="Symbol" w:hAnsi="Symbol" w:hint="default"/>
      </w:rPr>
    </w:lvl>
    <w:lvl w:ilvl="7" w:tplc="14090003" w:tentative="1">
      <w:start w:val="1"/>
      <w:numFmt w:val="bullet"/>
      <w:lvlText w:val="o"/>
      <w:lvlJc w:val="left"/>
      <w:pPr>
        <w:ind w:left="6526" w:hanging="360"/>
      </w:pPr>
      <w:rPr>
        <w:rFonts w:ascii="Courier New" w:hAnsi="Courier New" w:cs="Courier New" w:hint="default"/>
      </w:rPr>
    </w:lvl>
    <w:lvl w:ilvl="8" w:tplc="14090005" w:tentative="1">
      <w:start w:val="1"/>
      <w:numFmt w:val="bullet"/>
      <w:lvlText w:val=""/>
      <w:lvlJc w:val="left"/>
      <w:pPr>
        <w:ind w:left="7246" w:hanging="360"/>
      </w:pPr>
      <w:rPr>
        <w:rFonts w:ascii="Wingdings" w:hAnsi="Wingdings" w:hint="default"/>
      </w:rPr>
    </w:lvl>
  </w:abstractNum>
  <w:abstractNum w:abstractNumId="11">
    <w:nsid w:val="1693306F"/>
    <w:multiLevelType w:val="hybridMultilevel"/>
    <w:tmpl w:val="BA04CEB6"/>
    <w:lvl w:ilvl="0" w:tplc="03B8E6B0">
      <w:start w:val="1"/>
      <w:numFmt w:val="decimal"/>
      <w:pStyle w:val="FigureHeading"/>
      <w:lvlText w:val="Figure %1"/>
      <w:lvlJc w:val="left"/>
      <w:pPr>
        <w:tabs>
          <w:tab w:val="num" w:pos="927"/>
        </w:tabs>
        <w:ind w:left="927" w:hanging="36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8F589F42" w:tentative="1">
      <w:start w:val="1"/>
      <w:numFmt w:val="lowerLetter"/>
      <w:lvlText w:val="%2."/>
      <w:lvlJc w:val="left"/>
      <w:pPr>
        <w:tabs>
          <w:tab w:val="num" w:pos="1440"/>
        </w:tabs>
        <w:ind w:left="1440" w:hanging="360"/>
      </w:pPr>
    </w:lvl>
    <w:lvl w:ilvl="2" w:tplc="4C921404" w:tentative="1">
      <w:start w:val="1"/>
      <w:numFmt w:val="lowerRoman"/>
      <w:lvlText w:val="%3."/>
      <w:lvlJc w:val="right"/>
      <w:pPr>
        <w:tabs>
          <w:tab w:val="num" w:pos="2160"/>
        </w:tabs>
        <w:ind w:left="2160" w:hanging="180"/>
      </w:pPr>
    </w:lvl>
    <w:lvl w:ilvl="3" w:tplc="5704B786" w:tentative="1">
      <w:start w:val="1"/>
      <w:numFmt w:val="decimal"/>
      <w:lvlText w:val="%4."/>
      <w:lvlJc w:val="left"/>
      <w:pPr>
        <w:tabs>
          <w:tab w:val="num" w:pos="2880"/>
        </w:tabs>
        <w:ind w:left="2880" w:hanging="360"/>
      </w:pPr>
    </w:lvl>
    <w:lvl w:ilvl="4" w:tplc="02248EA6" w:tentative="1">
      <w:start w:val="1"/>
      <w:numFmt w:val="lowerLetter"/>
      <w:lvlText w:val="%5."/>
      <w:lvlJc w:val="left"/>
      <w:pPr>
        <w:tabs>
          <w:tab w:val="num" w:pos="3600"/>
        </w:tabs>
        <w:ind w:left="3600" w:hanging="360"/>
      </w:pPr>
    </w:lvl>
    <w:lvl w:ilvl="5" w:tplc="F1D88B60" w:tentative="1">
      <w:start w:val="1"/>
      <w:numFmt w:val="lowerRoman"/>
      <w:lvlText w:val="%6."/>
      <w:lvlJc w:val="right"/>
      <w:pPr>
        <w:tabs>
          <w:tab w:val="num" w:pos="4320"/>
        </w:tabs>
        <w:ind w:left="4320" w:hanging="180"/>
      </w:pPr>
    </w:lvl>
    <w:lvl w:ilvl="6" w:tplc="652839CA" w:tentative="1">
      <w:start w:val="1"/>
      <w:numFmt w:val="decimal"/>
      <w:lvlText w:val="%7."/>
      <w:lvlJc w:val="left"/>
      <w:pPr>
        <w:tabs>
          <w:tab w:val="num" w:pos="5040"/>
        </w:tabs>
        <w:ind w:left="5040" w:hanging="360"/>
      </w:pPr>
    </w:lvl>
    <w:lvl w:ilvl="7" w:tplc="85C8EAF6" w:tentative="1">
      <w:start w:val="1"/>
      <w:numFmt w:val="lowerLetter"/>
      <w:lvlText w:val="%8."/>
      <w:lvlJc w:val="left"/>
      <w:pPr>
        <w:tabs>
          <w:tab w:val="num" w:pos="5760"/>
        </w:tabs>
        <w:ind w:left="5760" w:hanging="360"/>
      </w:pPr>
    </w:lvl>
    <w:lvl w:ilvl="8" w:tplc="64D2300A" w:tentative="1">
      <w:start w:val="1"/>
      <w:numFmt w:val="lowerRoman"/>
      <w:lvlText w:val="%9."/>
      <w:lvlJc w:val="right"/>
      <w:pPr>
        <w:tabs>
          <w:tab w:val="num" w:pos="6480"/>
        </w:tabs>
        <w:ind w:left="6480" w:hanging="180"/>
      </w:pPr>
    </w:lvl>
  </w:abstractNum>
  <w:abstractNum w:abstractNumId="12">
    <w:nsid w:val="1854147C"/>
    <w:multiLevelType w:val="multilevel"/>
    <w:tmpl w:val="FE408E90"/>
    <w:lvl w:ilvl="0">
      <w:start w:val="10"/>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18A36DC9"/>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A0F6260"/>
    <w:multiLevelType w:val="multilevel"/>
    <w:tmpl w:val="C4DCE876"/>
    <w:lvl w:ilvl="0">
      <w:start w:val="1"/>
      <w:numFmt w:val="lowerLetter"/>
      <w:lvlText w:val="(%1)"/>
      <w:lvlJc w:val="left"/>
      <w:pPr>
        <w:tabs>
          <w:tab w:val="num" w:pos="2836"/>
        </w:tabs>
        <w:ind w:left="2836" w:hanging="709"/>
      </w:pPr>
      <w:rPr>
        <w:rFonts w:hint="default"/>
      </w:rPr>
    </w:lvl>
    <w:lvl w:ilvl="1">
      <w:start w:val="1"/>
      <w:numFmt w:val="bullet"/>
      <w:lvlText w:val="o"/>
      <w:lvlJc w:val="left"/>
      <w:pPr>
        <w:tabs>
          <w:tab w:val="num" w:pos="3545"/>
        </w:tabs>
        <w:ind w:left="3545" w:hanging="709"/>
      </w:pPr>
      <w:rPr>
        <w:rFonts w:ascii="Courier New" w:hAnsi="Courier New" w:hint="default"/>
        <w:b/>
        <w:i w:val="0"/>
      </w:rPr>
    </w:lvl>
    <w:lvl w:ilvl="2">
      <w:start w:val="1"/>
      <w:numFmt w:val="bullet"/>
      <w:lvlText w:val=""/>
      <w:lvlJc w:val="left"/>
      <w:pPr>
        <w:tabs>
          <w:tab w:val="num" w:pos="4253"/>
        </w:tabs>
        <w:ind w:left="4253" w:hanging="708"/>
      </w:pPr>
      <w:rPr>
        <w:rFonts w:ascii="Wingdings 2" w:hAnsi="Wingdings 2" w:hint="default"/>
        <w:color w:val="auto"/>
        <w:u w:val="none"/>
      </w:rPr>
    </w:lvl>
    <w:lvl w:ilvl="3">
      <w:start w:val="1"/>
      <w:numFmt w:val="none"/>
      <w:lvlText w:val=""/>
      <w:lvlJc w:val="left"/>
      <w:pPr>
        <w:tabs>
          <w:tab w:val="num" w:pos="2127"/>
        </w:tabs>
        <w:ind w:left="2127" w:firstLine="0"/>
      </w:pPr>
      <w:rPr>
        <w:rFonts w:hint="default"/>
      </w:rPr>
    </w:lvl>
    <w:lvl w:ilvl="4">
      <w:start w:val="1"/>
      <w:numFmt w:val="none"/>
      <w:lvlText w:val=""/>
      <w:lvlJc w:val="left"/>
      <w:pPr>
        <w:tabs>
          <w:tab w:val="num" w:pos="2127"/>
        </w:tabs>
        <w:ind w:left="2127" w:firstLine="0"/>
      </w:pPr>
      <w:rPr>
        <w:rFonts w:hint="default"/>
      </w:rPr>
    </w:lvl>
    <w:lvl w:ilvl="5">
      <w:start w:val="1"/>
      <w:numFmt w:val="none"/>
      <w:lvlText w:val=""/>
      <w:lvlJc w:val="left"/>
      <w:pPr>
        <w:tabs>
          <w:tab w:val="num" w:pos="2127"/>
        </w:tabs>
        <w:ind w:left="2127" w:firstLine="0"/>
      </w:pPr>
      <w:rPr>
        <w:rFonts w:hint="default"/>
      </w:rPr>
    </w:lvl>
    <w:lvl w:ilvl="6">
      <w:start w:val="1"/>
      <w:numFmt w:val="none"/>
      <w:lvlText w:val=""/>
      <w:lvlJc w:val="left"/>
      <w:pPr>
        <w:tabs>
          <w:tab w:val="num" w:pos="2127"/>
        </w:tabs>
        <w:ind w:left="2127" w:firstLine="0"/>
      </w:pPr>
      <w:rPr>
        <w:rFonts w:hint="default"/>
      </w:rPr>
    </w:lvl>
    <w:lvl w:ilvl="7">
      <w:start w:val="1"/>
      <w:numFmt w:val="none"/>
      <w:lvlText w:val=""/>
      <w:lvlJc w:val="left"/>
      <w:pPr>
        <w:tabs>
          <w:tab w:val="num" w:pos="2127"/>
        </w:tabs>
        <w:ind w:left="2127" w:firstLine="0"/>
      </w:pPr>
      <w:rPr>
        <w:rFonts w:hint="default"/>
      </w:rPr>
    </w:lvl>
    <w:lvl w:ilvl="8">
      <w:start w:val="1"/>
      <w:numFmt w:val="none"/>
      <w:lvlText w:val=""/>
      <w:lvlJc w:val="left"/>
      <w:pPr>
        <w:tabs>
          <w:tab w:val="num" w:pos="2127"/>
        </w:tabs>
        <w:ind w:left="2127" w:firstLine="0"/>
      </w:pPr>
      <w:rPr>
        <w:rFonts w:hint="default"/>
      </w:rPr>
    </w:lvl>
  </w:abstractNum>
  <w:abstractNum w:abstractNumId="15">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1CC444FD"/>
    <w:multiLevelType w:val="hybridMultilevel"/>
    <w:tmpl w:val="1AFC7C42"/>
    <w:lvl w:ilvl="0" w:tplc="C5CEF0A4">
      <w:numFmt w:val="bullet"/>
      <w:pStyle w:val="BulletListLevel2"/>
      <w:lvlText w:val=""/>
      <w:lvlJc w:val="left"/>
      <w:pPr>
        <w:tabs>
          <w:tab w:val="num" w:pos="1871"/>
        </w:tabs>
        <w:ind w:left="1871" w:hanging="453"/>
      </w:pPr>
      <w:rPr>
        <w:rFonts w:ascii="Symbol" w:eastAsia="Times New Roman" w:hAnsi="Symbol" w:hint="default"/>
      </w:rPr>
    </w:lvl>
    <w:lvl w:ilvl="1" w:tplc="82EE7EE8">
      <w:start w:val="1"/>
      <w:numFmt w:val="decimal"/>
      <w:lvlText w:val="%2."/>
      <w:lvlJc w:val="left"/>
      <w:pPr>
        <w:tabs>
          <w:tab w:val="num" w:pos="1440"/>
        </w:tabs>
        <w:ind w:left="1440" w:hanging="360"/>
      </w:pPr>
      <w:rPr>
        <w:rFonts w:ascii="Arial" w:hAnsi="Arial" w:hint="default"/>
        <w:sz w:val="24"/>
      </w:rPr>
    </w:lvl>
    <w:lvl w:ilvl="2" w:tplc="2F38F538">
      <w:start w:val="1"/>
      <w:numFmt w:val="lowerLetter"/>
      <w:lvlText w:val="(%3)"/>
      <w:lvlJc w:val="left"/>
      <w:pPr>
        <w:tabs>
          <w:tab w:val="num" w:pos="2160"/>
        </w:tabs>
        <w:ind w:left="2160" w:hanging="360"/>
      </w:pPr>
      <w:rPr>
        <w:rFonts w:hint="default"/>
      </w:rPr>
    </w:lvl>
    <w:lvl w:ilvl="3" w:tplc="08F87C5E" w:tentative="1">
      <w:start w:val="1"/>
      <w:numFmt w:val="bullet"/>
      <w:lvlText w:val=""/>
      <w:lvlJc w:val="left"/>
      <w:pPr>
        <w:tabs>
          <w:tab w:val="num" w:pos="2880"/>
        </w:tabs>
        <w:ind w:left="2880" w:hanging="360"/>
      </w:pPr>
      <w:rPr>
        <w:rFonts w:ascii="Symbol" w:hAnsi="Symbol" w:hint="default"/>
      </w:rPr>
    </w:lvl>
    <w:lvl w:ilvl="4" w:tplc="85302456" w:tentative="1">
      <w:start w:val="1"/>
      <w:numFmt w:val="bullet"/>
      <w:lvlText w:val="o"/>
      <w:lvlJc w:val="left"/>
      <w:pPr>
        <w:tabs>
          <w:tab w:val="num" w:pos="3600"/>
        </w:tabs>
        <w:ind w:left="3600" w:hanging="360"/>
      </w:pPr>
      <w:rPr>
        <w:rFonts w:ascii="Courier New" w:hAnsi="Courier New" w:cs="Courier New" w:hint="default"/>
      </w:rPr>
    </w:lvl>
    <w:lvl w:ilvl="5" w:tplc="7174CF3A" w:tentative="1">
      <w:start w:val="1"/>
      <w:numFmt w:val="bullet"/>
      <w:lvlText w:val=""/>
      <w:lvlJc w:val="left"/>
      <w:pPr>
        <w:tabs>
          <w:tab w:val="num" w:pos="4320"/>
        </w:tabs>
        <w:ind w:left="4320" w:hanging="360"/>
      </w:pPr>
      <w:rPr>
        <w:rFonts w:ascii="Wingdings" w:hAnsi="Wingdings" w:hint="default"/>
      </w:rPr>
    </w:lvl>
    <w:lvl w:ilvl="6" w:tplc="58C8833E" w:tentative="1">
      <w:start w:val="1"/>
      <w:numFmt w:val="bullet"/>
      <w:lvlText w:val=""/>
      <w:lvlJc w:val="left"/>
      <w:pPr>
        <w:tabs>
          <w:tab w:val="num" w:pos="5040"/>
        </w:tabs>
        <w:ind w:left="5040" w:hanging="360"/>
      </w:pPr>
      <w:rPr>
        <w:rFonts w:ascii="Symbol" w:hAnsi="Symbol" w:hint="default"/>
      </w:rPr>
    </w:lvl>
    <w:lvl w:ilvl="7" w:tplc="405A21E8" w:tentative="1">
      <w:start w:val="1"/>
      <w:numFmt w:val="bullet"/>
      <w:lvlText w:val="o"/>
      <w:lvlJc w:val="left"/>
      <w:pPr>
        <w:tabs>
          <w:tab w:val="num" w:pos="5760"/>
        </w:tabs>
        <w:ind w:left="5760" w:hanging="360"/>
      </w:pPr>
      <w:rPr>
        <w:rFonts w:ascii="Courier New" w:hAnsi="Courier New" w:cs="Courier New" w:hint="default"/>
      </w:rPr>
    </w:lvl>
    <w:lvl w:ilvl="8" w:tplc="35DEDEB0" w:tentative="1">
      <w:start w:val="1"/>
      <w:numFmt w:val="bullet"/>
      <w:lvlText w:val=""/>
      <w:lvlJc w:val="left"/>
      <w:pPr>
        <w:tabs>
          <w:tab w:val="num" w:pos="6480"/>
        </w:tabs>
        <w:ind w:left="6480" w:hanging="360"/>
      </w:pPr>
      <w:rPr>
        <w:rFonts w:ascii="Wingdings" w:hAnsi="Wingdings" w:hint="default"/>
      </w:rPr>
    </w:lvl>
  </w:abstractNum>
  <w:abstractNum w:abstractNumId="17">
    <w:nsid w:val="283BDD8F"/>
    <w:multiLevelType w:val="hybridMultilevel"/>
    <w:tmpl w:val="12BF4A5F"/>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7D1A7C"/>
    <w:multiLevelType w:val="multilevel"/>
    <w:tmpl w:val="261090BE"/>
    <w:lvl w:ilvl="0">
      <w:start w:val="1"/>
      <w:numFmt w:val="decimal"/>
      <w:lvlText w:val="%1."/>
      <w:lvlJc w:val="left"/>
    </w:lvl>
    <w:lvl w:ilvl="1">
      <w:start w:val="1"/>
      <w:numFmt w:val="decimal"/>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A06DC8"/>
    <w:multiLevelType w:val="multilevel"/>
    <w:tmpl w:val="EC7C07F4"/>
    <w:lvl w:ilvl="0">
      <w:start w:val="1"/>
      <w:numFmt w:val="decimal"/>
      <w:lvlText w:val="%1."/>
      <w:lvlJc w:val="left"/>
      <w:pPr>
        <w:tabs>
          <w:tab w:val="num" w:pos="709"/>
        </w:tabs>
        <w:ind w:left="709" w:hanging="709"/>
      </w:pPr>
      <w:rPr>
        <w:rFonts w:ascii="Calibri Bold" w:hAnsi="Calibri Bold" w:hint="default"/>
        <w:b/>
        <w:i w:val="0"/>
        <w:caps w:val="0"/>
        <w:strike w:val="0"/>
        <w:dstrike w:val="0"/>
        <w:outline w:val="0"/>
        <w:shadow w:val="0"/>
        <w:emboss w:val="0"/>
        <w:imprint w:val="0"/>
        <w:vanish w:val="0"/>
        <w:color w:val="auto"/>
        <w:sz w:val="24"/>
        <w:szCs w:val="32"/>
        <w:vertAlign w:val="baseline"/>
      </w:rPr>
    </w:lvl>
    <w:lvl w:ilvl="1">
      <w:start w:val="1"/>
      <w:numFmt w:val="decimal"/>
      <w:lvlText w:val="%1.%2"/>
      <w:lvlJc w:val="left"/>
      <w:pPr>
        <w:tabs>
          <w:tab w:val="num" w:pos="709"/>
        </w:tabs>
        <w:ind w:left="709"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lowerLetter"/>
      <w:lvlText w:val="(%3)"/>
      <w:lvlJc w:val="left"/>
      <w:pPr>
        <w:tabs>
          <w:tab w:val="num" w:pos="1559"/>
        </w:tabs>
        <w:ind w:left="1559" w:hanging="85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lvlText w:val="(%4)"/>
      <w:lvlJc w:val="left"/>
      <w:pPr>
        <w:tabs>
          <w:tab w:val="num" w:pos="2268"/>
        </w:tabs>
        <w:ind w:left="2268" w:hanging="709"/>
      </w:pPr>
      <w:rPr>
        <w:rFonts w:ascii="Calibri" w:hAnsi="Calibri" w:hint="default"/>
        <w:b w:val="0"/>
        <w:i w:val="0"/>
        <w:caps w:val="0"/>
        <w:strike w:val="0"/>
        <w:dstrike w:val="0"/>
        <w:outline w:val="0"/>
        <w:shadow w:val="0"/>
        <w:emboss w:val="0"/>
        <w:imprint w:val="0"/>
        <w:vanish w:val="0"/>
        <w:sz w:val="24"/>
        <w:vertAlign w:val="baseline"/>
      </w:rPr>
    </w:lvl>
    <w:lvl w:ilvl="4">
      <w:start w:val="1"/>
      <w:numFmt w:val="none"/>
      <w:lvlText w:val=""/>
      <w:lvlJc w:val="left"/>
      <w:pPr>
        <w:tabs>
          <w:tab w:val="num" w:pos="3686"/>
        </w:tabs>
        <w:ind w:left="3686" w:hanging="1134"/>
      </w:pPr>
      <w:rPr>
        <w:rFonts w:ascii="Calibri" w:hAnsi="Calibri" w:hint="default"/>
        <w:b w:val="0"/>
        <w:i w:val="0"/>
        <w:caps w:val="0"/>
        <w:strike w:val="0"/>
        <w:dstrike w:val="0"/>
        <w:outline w:val="0"/>
        <w:shadow w:val="0"/>
        <w:emboss w:val="0"/>
        <w:imprint w:val="0"/>
        <w:vanish w:val="0"/>
        <w:sz w:val="24"/>
        <w:vertAlign w:val="baseline"/>
      </w:rPr>
    </w:lvl>
    <w:lvl w:ilvl="5">
      <w:start w:val="1"/>
      <w:numFmt w:val="none"/>
      <w:lvlText w:val=""/>
      <w:lvlJc w:val="left"/>
      <w:pPr>
        <w:tabs>
          <w:tab w:val="num" w:pos="4961"/>
        </w:tabs>
        <w:ind w:left="4961" w:hanging="1275"/>
      </w:pPr>
      <w:rPr>
        <w:rFonts w:ascii="Calibri" w:hAnsi="Calibri" w:hint="default"/>
        <w:b w:val="0"/>
        <w:i w:val="0"/>
        <w:caps w:val="0"/>
        <w:strike w:val="0"/>
        <w:dstrike w:val="0"/>
        <w:outline w:val="0"/>
        <w:shadow w:val="0"/>
        <w:emboss w:val="0"/>
        <w:imprint w:val="0"/>
        <w:vanish w:val="0"/>
        <w:sz w:val="24"/>
        <w:vertAlign w:val="baseline"/>
      </w:rPr>
    </w:lvl>
    <w:lvl w:ilvl="6">
      <w:numFmt w:val="none"/>
      <w:lvlRestart w:val="0"/>
      <w:suff w:val="nothing"/>
      <w:lvlText w:val=""/>
      <w:lvlJc w:val="left"/>
      <w:pPr>
        <w:ind w:left="0" w:firstLine="0"/>
      </w:pPr>
      <w:rPr>
        <w:rFonts w:ascii="Calibri" w:hAnsi="Calibri" w:hint="default"/>
        <w:b w:val="0"/>
        <w:i w:val="0"/>
        <w:caps w:val="0"/>
        <w:strike w:val="0"/>
        <w:dstrike w:val="0"/>
        <w:outline w:val="0"/>
        <w:shadow w:val="0"/>
        <w:emboss w:val="0"/>
        <w:imprint w:val="0"/>
        <w:vanish w:val="0"/>
        <w:sz w:val="24"/>
        <w:vertAlign w:val="baseline"/>
      </w:rPr>
    </w:lvl>
    <w:lvl w:ilvl="7">
      <w:start w:val="1"/>
      <w:numFmt w:val="decimal"/>
      <w:lvlRestart w:val="1"/>
      <w:suff w:val="nothing"/>
      <w:lvlText w:val="Figure %1.%8"/>
      <w:lvlJc w:val="left"/>
      <w:pPr>
        <w:ind w:left="709" w:hanging="709"/>
      </w:pPr>
      <w:rPr>
        <w:rFonts w:ascii="Calibri Bold" w:hAnsi="Calibri Bold" w:hint="default"/>
        <w:b/>
        <w:i w:val="0"/>
        <w:caps w:val="0"/>
        <w:strike w:val="0"/>
        <w:dstrike w:val="0"/>
        <w:outline w:val="0"/>
        <w:shadow w:val="0"/>
        <w:emboss w:val="0"/>
        <w:imprint w:val="0"/>
        <w:vanish w:val="0"/>
        <w:sz w:val="24"/>
        <w:vertAlign w:val="baseline"/>
      </w:rPr>
    </w:lvl>
    <w:lvl w:ilvl="8">
      <w:start w:val="1"/>
      <w:numFmt w:val="decimal"/>
      <w:lvlRestart w:val="1"/>
      <w:suff w:val="nothing"/>
      <w:lvlText w:val="Table %9"/>
      <w:lvlJc w:val="left"/>
      <w:pPr>
        <w:ind w:left="709" w:hanging="709"/>
      </w:pPr>
      <w:rPr>
        <w:rFonts w:ascii="Calibri Bold" w:hAnsi="Calibri Bold" w:hint="default"/>
        <w:b/>
        <w:i w:val="0"/>
        <w:caps w:val="0"/>
        <w:strike w:val="0"/>
        <w:dstrike w:val="0"/>
        <w:outline w:val="0"/>
        <w:shadow w:val="0"/>
        <w:emboss w:val="0"/>
        <w:imprint w:val="0"/>
        <w:vanish w:val="0"/>
        <w:sz w:val="24"/>
        <w:vertAlign w:val="baseline"/>
      </w:rPr>
    </w:lvl>
  </w:abstractNum>
  <w:abstractNum w:abstractNumId="21">
    <w:nsid w:val="32F2C8BD"/>
    <w:multiLevelType w:val="multilevel"/>
    <w:tmpl w:val="5750EBA2"/>
    <w:lvl w:ilvl="0">
      <w:start w:val="1"/>
      <w:numFmt w:val="decimal"/>
      <w:lvlText w:val="%1."/>
      <w:lvlJc w:val="left"/>
    </w:lvl>
    <w:lvl w:ilvl="1">
      <w:start w:val="1"/>
      <w:numFmt w:val="decimal"/>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nsid w:val="3EE46C65"/>
    <w:multiLevelType w:val="hybridMultilevel"/>
    <w:tmpl w:val="AB186BA2"/>
    <w:lvl w:ilvl="0" w:tplc="F7AE92E4">
      <w:start w:val="1"/>
      <w:numFmt w:val="lowerRoman"/>
      <w:pStyle w:val="NumList"/>
      <w:lvlText w:val="%1)"/>
      <w:lvlJc w:val="left"/>
      <w:pPr>
        <w:tabs>
          <w:tab w:val="num" w:pos="1224"/>
        </w:tabs>
        <w:ind w:left="1224" w:hanging="360"/>
      </w:pPr>
      <w:rPr>
        <w:rFonts w:hint="default"/>
        <w:color w:val="auto"/>
      </w:rPr>
    </w:lvl>
    <w:lvl w:ilvl="1" w:tplc="9DBA6FAC" w:tentative="1">
      <w:start w:val="1"/>
      <w:numFmt w:val="bullet"/>
      <w:lvlText w:val="o"/>
      <w:lvlJc w:val="left"/>
      <w:pPr>
        <w:tabs>
          <w:tab w:val="num" w:pos="1440"/>
        </w:tabs>
        <w:ind w:left="1440" w:hanging="360"/>
      </w:pPr>
      <w:rPr>
        <w:rFonts w:ascii="Courier New" w:hAnsi="Courier New" w:cs="Courier New" w:hint="default"/>
      </w:rPr>
    </w:lvl>
    <w:lvl w:ilvl="2" w:tplc="924279E2" w:tentative="1">
      <w:start w:val="1"/>
      <w:numFmt w:val="bullet"/>
      <w:lvlText w:val=""/>
      <w:lvlJc w:val="left"/>
      <w:pPr>
        <w:tabs>
          <w:tab w:val="num" w:pos="2160"/>
        </w:tabs>
        <w:ind w:left="2160" w:hanging="360"/>
      </w:pPr>
      <w:rPr>
        <w:rFonts w:ascii="Wingdings" w:hAnsi="Wingdings" w:hint="default"/>
      </w:rPr>
    </w:lvl>
    <w:lvl w:ilvl="3" w:tplc="6C0EBDA0" w:tentative="1">
      <w:start w:val="1"/>
      <w:numFmt w:val="bullet"/>
      <w:lvlText w:val=""/>
      <w:lvlJc w:val="left"/>
      <w:pPr>
        <w:tabs>
          <w:tab w:val="num" w:pos="2880"/>
        </w:tabs>
        <w:ind w:left="2880" w:hanging="360"/>
      </w:pPr>
      <w:rPr>
        <w:rFonts w:ascii="Symbol" w:hAnsi="Symbol" w:hint="default"/>
      </w:rPr>
    </w:lvl>
    <w:lvl w:ilvl="4" w:tplc="493021BC" w:tentative="1">
      <w:start w:val="1"/>
      <w:numFmt w:val="bullet"/>
      <w:lvlText w:val="o"/>
      <w:lvlJc w:val="left"/>
      <w:pPr>
        <w:tabs>
          <w:tab w:val="num" w:pos="3600"/>
        </w:tabs>
        <w:ind w:left="3600" w:hanging="360"/>
      </w:pPr>
      <w:rPr>
        <w:rFonts w:ascii="Courier New" w:hAnsi="Courier New" w:cs="Courier New" w:hint="default"/>
      </w:rPr>
    </w:lvl>
    <w:lvl w:ilvl="5" w:tplc="A68838C8" w:tentative="1">
      <w:start w:val="1"/>
      <w:numFmt w:val="bullet"/>
      <w:lvlText w:val=""/>
      <w:lvlJc w:val="left"/>
      <w:pPr>
        <w:tabs>
          <w:tab w:val="num" w:pos="4320"/>
        </w:tabs>
        <w:ind w:left="4320" w:hanging="360"/>
      </w:pPr>
      <w:rPr>
        <w:rFonts w:ascii="Wingdings" w:hAnsi="Wingdings" w:hint="default"/>
      </w:rPr>
    </w:lvl>
    <w:lvl w:ilvl="6" w:tplc="D778C2B0" w:tentative="1">
      <w:start w:val="1"/>
      <w:numFmt w:val="bullet"/>
      <w:lvlText w:val=""/>
      <w:lvlJc w:val="left"/>
      <w:pPr>
        <w:tabs>
          <w:tab w:val="num" w:pos="5040"/>
        </w:tabs>
        <w:ind w:left="5040" w:hanging="360"/>
      </w:pPr>
      <w:rPr>
        <w:rFonts w:ascii="Symbol" w:hAnsi="Symbol" w:hint="default"/>
      </w:rPr>
    </w:lvl>
    <w:lvl w:ilvl="7" w:tplc="58FC4912" w:tentative="1">
      <w:start w:val="1"/>
      <w:numFmt w:val="bullet"/>
      <w:lvlText w:val="o"/>
      <w:lvlJc w:val="left"/>
      <w:pPr>
        <w:tabs>
          <w:tab w:val="num" w:pos="5760"/>
        </w:tabs>
        <w:ind w:left="5760" w:hanging="360"/>
      </w:pPr>
      <w:rPr>
        <w:rFonts w:ascii="Courier New" w:hAnsi="Courier New" w:cs="Courier New" w:hint="default"/>
      </w:rPr>
    </w:lvl>
    <w:lvl w:ilvl="8" w:tplc="BC7EDCCE" w:tentative="1">
      <w:start w:val="1"/>
      <w:numFmt w:val="bullet"/>
      <w:lvlText w:val=""/>
      <w:lvlJc w:val="left"/>
      <w:pPr>
        <w:tabs>
          <w:tab w:val="num" w:pos="6480"/>
        </w:tabs>
        <w:ind w:left="6480" w:hanging="360"/>
      </w:pPr>
      <w:rPr>
        <w:rFonts w:ascii="Wingdings" w:hAnsi="Wingdings" w:hint="default"/>
      </w:rPr>
    </w:lvl>
  </w:abstractNum>
  <w:abstractNum w:abstractNumId="24">
    <w:nsid w:val="400835D5"/>
    <w:multiLevelType w:val="multilevel"/>
    <w:tmpl w:val="C29ED9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35314D2"/>
    <w:multiLevelType w:val="hybridMultilevel"/>
    <w:tmpl w:val="FEC20E48"/>
    <w:lvl w:ilvl="0" w:tplc="8F1C9C40">
      <w:start w:val="1"/>
      <w:numFmt w:val="decimal"/>
      <w:pStyle w:val="Tablenumberedlist"/>
      <w:lvlText w:val="%1"/>
      <w:lvlJc w:val="left"/>
      <w:pPr>
        <w:tabs>
          <w:tab w:val="num" w:pos="284"/>
        </w:tabs>
        <w:ind w:left="284" w:hanging="284"/>
      </w:pPr>
      <w:rPr>
        <w:rFonts w:hint="default"/>
      </w:rPr>
    </w:lvl>
    <w:lvl w:ilvl="1" w:tplc="A970AAFA" w:tentative="1">
      <w:start w:val="1"/>
      <w:numFmt w:val="lowerLetter"/>
      <w:lvlText w:val="%2."/>
      <w:lvlJc w:val="left"/>
      <w:pPr>
        <w:tabs>
          <w:tab w:val="num" w:pos="1440"/>
        </w:tabs>
        <w:ind w:left="1440" w:hanging="360"/>
      </w:pPr>
    </w:lvl>
    <w:lvl w:ilvl="2" w:tplc="EC5C4370" w:tentative="1">
      <w:start w:val="1"/>
      <w:numFmt w:val="lowerRoman"/>
      <w:lvlText w:val="%3."/>
      <w:lvlJc w:val="right"/>
      <w:pPr>
        <w:tabs>
          <w:tab w:val="num" w:pos="2160"/>
        </w:tabs>
        <w:ind w:left="2160" w:hanging="180"/>
      </w:pPr>
    </w:lvl>
    <w:lvl w:ilvl="3" w:tplc="96F6DEAE" w:tentative="1">
      <w:start w:val="1"/>
      <w:numFmt w:val="decimal"/>
      <w:lvlText w:val="%4."/>
      <w:lvlJc w:val="left"/>
      <w:pPr>
        <w:tabs>
          <w:tab w:val="num" w:pos="2880"/>
        </w:tabs>
        <w:ind w:left="2880" w:hanging="360"/>
      </w:pPr>
    </w:lvl>
    <w:lvl w:ilvl="4" w:tplc="4576326E" w:tentative="1">
      <w:start w:val="1"/>
      <w:numFmt w:val="lowerLetter"/>
      <w:lvlText w:val="%5."/>
      <w:lvlJc w:val="left"/>
      <w:pPr>
        <w:tabs>
          <w:tab w:val="num" w:pos="3600"/>
        </w:tabs>
        <w:ind w:left="3600" w:hanging="360"/>
      </w:pPr>
    </w:lvl>
    <w:lvl w:ilvl="5" w:tplc="25266B64" w:tentative="1">
      <w:start w:val="1"/>
      <w:numFmt w:val="lowerRoman"/>
      <w:lvlText w:val="%6."/>
      <w:lvlJc w:val="right"/>
      <w:pPr>
        <w:tabs>
          <w:tab w:val="num" w:pos="4320"/>
        </w:tabs>
        <w:ind w:left="4320" w:hanging="180"/>
      </w:pPr>
    </w:lvl>
    <w:lvl w:ilvl="6" w:tplc="55620A28" w:tentative="1">
      <w:start w:val="1"/>
      <w:numFmt w:val="decimal"/>
      <w:lvlText w:val="%7."/>
      <w:lvlJc w:val="left"/>
      <w:pPr>
        <w:tabs>
          <w:tab w:val="num" w:pos="5040"/>
        </w:tabs>
        <w:ind w:left="5040" w:hanging="360"/>
      </w:pPr>
    </w:lvl>
    <w:lvl w:ilvl="7" w:tplc="FDFEB462" w:tentative="1">
      <w:start w:val="1"/>
      <w:numFmt w:val="lowerLetter"/>
      <w:lvlText w:val="%8."/>
      <w:lvlJc w:val="left"/>
      <w:pPr>
        <w:tabs>
          <w:tab w:val="num" w:pos="5760"/>
        </w:tabs>
        <w:ind w:left="5760" w:hanging="360"/>
      </w:pPr>
    </w:lvl>
    <w:lvl w:ilvl="8" w:tplc="9126DCAE" w:tentative="1">
      <w:start w:val="1"/>
      <w:numFmt w:val="lowerRoman"/>
      <w:lvlText w:val="%9."/>
      <w:lvlJc w:val="right"/>
      <w:pPr>
        <w:tabs>
          <w:tab w:val="num" w:pos="6480"/>
        </w:tabs>
        <w:ind w:left="6480" w:hanging="180"/>
      </w:pPr>
    </w:lvl>
  </w:abstractNum>
  <w:abstractNum w:abstractNumId="26">
    <w:nsid w:val="46352920"/>
    <w:multiLevelType w:val="hybridMultilevel"/>
    <w:tmpl w:val="6B6689A8"/>
    <w:lvl w:ilvl="0" w:tplc="4B7EA878">
      <w:start w:val="1"/>
      <w:numFmt w:val="bullet"/>
      <w:pStyle w:val="TablesBullets"/>
      <w:lvlText w:val=""/>
      <w:lvlJc w:val="left"/>
      <w:pPr>
        <w:tabs>
          <w:tab w:val="num" w:pos="1680"/>
        </w:tabs>
        <w:ind w:left="1680" w:hanging="360"/>
      </w:pPr>
      <w:rPr>
        <w:rFonts w:ascii="Wingdings 2" w:hAnsi="Wingdings 2" w:hint="default"/>
        <w:color w:val="auto"/>
        <w:sz w:val="24"/>
        <w:szCs w:val="24"/>
      </w:rPr>
    </w:lvl>
    <w:lvl w:ilvl="1" w:tplc="6F9ACB76" w:tentative="1">
      <w:start w:val="1"/>
      <w:numFmt w:val="bullet"/>
      <w:lvlText w:val="o"/>
      <w:lvlJc w:val="left"/>
      <w:pPr>
        <w:tabs>
          <w:tab w:val="num" w:pos="1680"/>
        </w:tabs>
        <w:ind w:left="1680" w:hanging="360"/>
      </w:pPr>
      <w:rPr>
        <w:rFonts w:ascii="Courier New" w:hAnsi="Courier New" w:cs="Courier New" w:hint="default"/>
      </w:rPr>
    </w:lvl>
    <w:lvl w:ilvl="2" w:tplc="09B2493C" w:tentative="1">
      <w:start w:val="1"/>
      <w:numFmt w:val="bullet"/>
      <w:lvlText w:val=""/>
      <w:lvlJc w:val="left"/>
      <w:pPr>
        <w:tabs>
          <w:tab w:val="num" w:pos="2400"/>
        </w:tabs>
        <w:ind w:left="2400" w:hanging="360"/>
      </w:pPr>
      <w:rPr>
        <w:rFonts w:ascii="Wingdings" w:hAnsi="Wingdings" w:hint="default"/>
      </w:rPr>
    </w:lvl>
    <w:lvl w:ilvl="3" w:tplc="E3141F70" w:tentative="1">
      <w:start w:val="1"/>
      <w:numFmt w:val="bullet"/>
      <w:lvlText w:val=""/>
      <w:lvlJc w:val="left"/>
      <w:pPr>
        <w:tabs>
          <w:tab w:val="num" w:pos="3120"/>
        </w:tabs>
        <w:ind w:left="3120" w:hanging="360"/>
      </w:pPr>
      <w:rPr>
        <w:rFonts w:ascii="Symbol" w:hAnsi="Symbol" w:hint="default"/>
      </w:rPr>
    </w:lvl>
    <w:lvl w:ilvl="4" w:tplc="8E8AE996" w:tentative="1">
      <w:start w:val="1"/>
      <w:numFmt w:val="bullet"/>
      <w:lvlText w:val="o"/>
      <w:lvlJc w:val="left"/>
      <w:pPr>
        <w:tabs>
          <w:tab w:val="num" w:pos="3840"/>
        </w:tabs>
        <w:ind w:left="3840" w:hanging="360"/>
      </w:pPr>
      <w:rPr>
        <w:rFonts w:ascii="Courier New" w:hAnsi="Courier New" w:cs="Courier New" w:hint="default"/>
      </w:rPr>
    </w:lvl>
    <w:lvl w:ilvl="5" w:tplc="B01C98BE" w:tentative="1">
      <w:start w:val="1"/>
      <w:numFmt w:val="bullet"/>
      <w:lvlText w:val=""/>
      <w:lvlJc w:val="left"/>
      <w:pPr>
        <w:tabs>
          <w:tab w:val="num" w:pos="4560"/>
        </w:tabs>
        <w:ind w:left="4560" w:hanging="360"/>
      </w:pPr>
      <w:rPr>
        <w:rFonts w:ascii="Wingdings" w:hAnsi="Wingdings" w:hint="default"/>
      </w:rPr>
    </w:lvl>
    <w:lvl w:ilvl="6" w:tplc="230CFAC6" w:tentative="1">
      <w:start w:val="1"/>
      <w:numFmt w:val="bullet"/>
      <w:lvlText w:val=""/>
      <w:lvlJc w:val="left"/>
      <w:pPr>
        <w:tabs>
          <w:tab w:val="num" w:pos="5280"/>
        </w:tabs>
        <w:ind w:left="5280" w:hanging="360"/>
      </w:pPr>
      <w:rPr>
        <w:rFonts w:ascii="Symbol" w:hAnsi="Symbol" w:hint="default"/>
      </w:rPr>
    </w:lvl>
    <w:lvl w:ilvl="7" w:tplc="449A1448" w:tentative="1">
      <w:start w:val="1"/>
      <w:numFmt w:val="bullet"/>
      <w:lvlText w:val="o"/>
      <w:lvlJc w:val="left"/>
      <w:pPr>
        <w:tabs>
          <w:tab w:val="num" w:pos="6000"/>
        </w:tabs>
        <w:ind w:left="6000" w:hanging="360"/>
      </w:pPr>
      <w:rPr>
        <w:rFonts w:ascii="Courier New" w:hAnsi="Courier New" w:cs="Courier New" w:hint="default"/>
      </w:rPr>
    </w:lvl>
    <w:lvl w:ilvl="8" w:tplc="6658A6F4" w:tentative="1">
      <w:start w:val="1"/>
      <w:numFmt w:val="bullet"/>
      <w:lvlText w:val=""/>
      <w:lvlJc w:val="left"/>
      <w:pPr>
        <w:tabs>
          <w:tab w:val="num" w:pos="6720"/>
        </w:tabs>
        <w:ind w:left="6720" w:hanging="360"/>
      </w:pPr>
      <w:rPr>
        <w:rFonts w:ascii="Wingdings" w:hAnsi="Wingdings" w:hint="default"/>
      </w:rPr>
    </w:lvl>
  </w:abstractNum>
  <w:abstractNum w:abstractNumId="27">
    <w:nsid w:val="48F366DC"/>
    <w:multiLevelType w:val="multilevel"/>
    <w:tmpl w:val="483238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1AF7D0A"/>
    <w:multiLevelType w:val="multilevel"/>
    <w:tmpl w:val="9D900AAE"/>
    <w:lvl w:ilvl="0">
      <w:start w:val="1"/>
      <w:numFmt w:val="decimal"/>
      <w:lvlText w:val="CHAPTER %1:"/>
      <w:lvlJc w:val="left"/>
      <w:pPr>
        <w:tabs>
          <w:tab w:val="num" w:pos="360"/>
        </w:tabs>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Table %4"/>
      <w:lvlJc w:val="left"/>
      <w:pPr>
        <w:tabs>
          <w:tab w:val="num" w:pos="360"/>
        </w:tabs>
        <w:ind w:left="360" w:hanging="360"/>
      </w:pPr>
      <w:rPr>
        <w:rFonts w:hint="default"/>
      </w:rPr>
    </w:lvl>
    <w:lvl w:ilvl="4">
      <w:start w:val="1"/>
      <w:numFmt w:val="decimal"/>
      <w:lvlText w:val="Figure %1.%5"/>
      <w:lvlJc w:val="left"/>
      <w:pPr>
        <w:tabs>
          <w:tab w:val="num" w:pos="851"/>
        </w:tabs>
        <w:ind w:left="851" w:hanging="851"/>
      </w:pPr>
      <w:rPr>
        <w:rFonts w:hint="default"/>
      </w:rPr>
    </w:lvl>
    <w:lvl w:ilvl="5">
      <w:start w:val="1"/>
      <w:numFmt w:val="upperLetter"/>
      <w:lvlText w:val="Appendix %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lowerLetter"/>
      <w:lvlText w:val="%8)"/>
      <w:lvlJc w:val="left"/>
      <w:pPr>
        <w:tabs>
          <w:tab w:val="num" w:pos="1701"/>
        </w:tabs>
        <w:ind w:left="1701" w:hanging="567"/>
      </w:pPr>
      <w:rPr>
        <w:rFonts w:hint="default"/>
      </w:rPr>
    </w:lvl>
    <w:lvl w:ilvl="8">
      <w:start w:val="1"/>
      <w:numFmt w:val="lowerRoman"/>
      <w:lvlText w:val="(%9)"/>
      <w:lvlJc w:val="left"/>
      <w:pPr>
        <w:tabs>
          <w:tab w:val="num" w:pos="2098"/>
        </w:tabs>
        <w:ind w:left="2098" w:hanging="397"/>
      </w:pPr>
      <w:rPr>
        <w:rFonts w:hint="default"/>
      </w:rPr>
    </w:lvl>
  </w:abstractNum>
  <w:abstractNum w:abstractNumId="29">
    <w:nsid w:val="57C72877"/>
    <w:multiLevelType w:val="multilevel"/>
    <w:tmpl w:val="F5AA311E"/>
    <w:lvl w:ilvl="0">
      <w:start w:val="1"/>
      <w:numFmt w:val="decimal"/>
      <w:lvlText w:val="CHAPTER %1:"/>
      <w:lvlJc w:val="left"/>
      <w:pPr>
        <w:tabs>
          <w:tab w:val="num" w:pos="360"/>
        </w:tabs>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b w:val="0"/>
      </w:rPr>
    </w:lvl>
    <w:lvl w:ilvl="3">
      <w:start w:val="1"/>
      <w:numFmt w:val="decimal"/>
      <w:lvlText w:val="Table %4"/>
      <w:lvlJc w:val="left"/>
      <w:pPr>
        <w:tabs>
          <w:tab w:val="num" w:pos="360"/>
        </w:tabs>
        <w:ind w:left="360" w:hanging="360"/>
      </w:pPr>
      <w:rPr>
        <w:rFonts w:hint="default"/>
      </w:rPr>
    </w:lvl>
    <w:lvl w:ilvl="4">
      <w:start w:val="1"/>
      <w:numFmt w:val="decimal"/>
      <w:lvlText w:val="Figure %1.%5"/>
      <w:lvlJc w:val="left"/>
      <w:pPr>
        <w:tabs>
          <w:tab w:val="num" w:pos="851"/>
        </w:tabs>
        <w:ind w:left="851" w:hanging="851"/>
      </w:pPr>
      <w:rPr>
        <w:rFonts w:hint="default"/>
      </w:rPr>
    </w:lvl>
    <w:lvl w:ilvl="5">
      <w:start w:val="1"/>
      <w:numFmt w:val="upperLetter"/>
      <w:lvlText w:val="Appendix %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lowerLetter"/>
      <w:lvlText w:val="%8)"/>
      <w:lvlJc w:val="left"/>
      <w:pPr>
        <w:tabs>
          <w:tab w:val="num" w:pos="1701"/>
        </w:tabs>
        <w:ind w:left="1701" w:hanging="567"/>
      </w:pPr>
      <w:rPr>
        <w:rFonts w:hint="default"/>
      </w:rPr>
    </w:lvl>
    <w:lvl w:ilvl="8">
      <w:start w:val="1"/>
      <w:numFmt w:val="lowerRoman"/>
      <w:lvlText w:val="(%9)"/>
      <w:lvlJc w:val="left"/>
      <w:pPr>
        <w:tabs>
          <w:tab w:val="num" w:pos="2098"/>
        </w:tabs>
        <w:ind w:left="2098" w:hanging="397"/>
      </w:pPr>
      <w:rPr>
        <w:rFonts w:hint="default"/>
      </w:rPr>
    </w:lvl>
  </w:abstractNum>
  <w:abstractNum w:abstractNumId="30">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nsid w:val="58AD24CC"/>
    <w:multiLevelType w:val="hybridMultilevel"/>
    <w:tmpl w:val="426248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nsid w:val="591E0F60"/>
    <w:multiLevelType w:val="hybridMultilevel"/>
    <w:tmpl w:val="AA062754"/>
    <w:lvl w:ilvl="0" w:tplc="7F4C290E">
      <w:start w:val="1"/>
      <w:numFmt w:val="bullet"/>
      <w:pStyle w:val="Level1bullet"/>
      <w:lvlText w:val=""/>
      <w:lvlJc w:val="left"/>
      <w:pPr>
        <w:tabs>
          <w:tab w:val="num" w:pos="567"/>
        </w:tabs>
        <w:ind w:left="567" w:hanging="567"/>
      </w:pPr>
      <w:rPr>
        <w:rFonts w:ascii="Wingdings" w:hAnsi="Wingdings" w:hint="default"/>
      </w:rPr>
    </w:lvl>
    <w:lvl w:ilvl="1" w:tplc="5CA0F09E" w:tentative="1">
      <w:start w:val="1"/>
      <w:numFmt w:val="bullet"/>
      <w:lvlText w:val="o"/>
      <w:lvlJc w:val="left"/>
      <w:pPr>
        <w:tabs>
          <w:tab w:val="num" w:pos="1440"/>
        </w:tabs>
        <w:ind w:left="1440" w:hanging="360"/>
      </w:pPr>
      <w:rPr>
        <w:rFonts w:ascii="Courier New" w:hAnsi="Courier New" w:cs="Courier New" w:hint="default"/>
      </w:rPr>
    </w:lvl>
    <w:lvl w:ilvl="2" w:tplc="66F07778" w:tentative="1">
      <w:start w:val="1"/>
      <w:numFmt w:val="bullet"/>
      <w:lvlText w:val=""/>
      <w:lvlJc w:val="left"/>
      <w:pPr>
        <w:tabs>
          <w:tab w:val="num" w:pos="2160"/>
        </w:tabs>
        <w:ind w:left="2160" w:hanging="360"/>
      </w:pPr>
      <w:rPr>
        <w:rFonts w:ascii="Wingdings" w:hAnsi="Wingdings" w:hint="default"/>
      </w:rPr>
    </w:lvl>
    <w:lvl w:ilvl="3" w:tplc="935CD202" w:tentative="1">
      <w:start w:val="1"/>
      <w:numFmt w:val="bullet"/>
      <w:lvlText w:val=""/>
      <w:lvlJc w:val="left"/>
      <w:pPr>
        <w:tabs>
          <w:tab w:val="num" w:pos="2880"/>
        </w:tabs>
        <w:ind w:left="2880" w:hanging="360"/>
      </w:pPr>
      <w:rPr>
        <w:rFonts w:ascii="Symbol" w:hAnsi="Symbol" w:hint="default"/>
      </w:rPr>
    </w:lvl>
    <w:lvl w:ilvl="4" w:tplc="0F800720" w:tentative="1">
      <w:start w:val="1"/>
      <w:numFmt w:val="bullet"/>
      <w:lvlText w:val="o"/>
      <w:lvlJc w:val="left"/>
      <w:pPr>
        <w:tabs>
          <w:tab w:val="num" w:pos="3600"/>
        </w:tabs>
        <w:ind w:left="3600" w:hanging="360"/>
      </w:pPr>
      <w:rPr>
        <w:rFonts w:ascii="Courier New" w:hAnsi="Courier New" w:cs="Courier New" w:hint="default"/>
      </w:rPr>
    </w:lvl>
    <w:lvl w:ilvl="5" w:tplc="A1CCB152" w:tentative="1">
      <w:start w:val="1"/>
      <w:numFmt w:val="bullet"/>
      <w:lvlText w:val=""/>
      <w:lvlJc w:val="left"/>
      <w:pPr>
        <w:tabs>
          <w:tab w:val="num" w:pos="4320"/>
        </w:tabs>
        <w:ind w:left="4320" w:hanging="360"/>
      </w:pPr>
      <w:rPr>
        <w:rFonts w:ascii="Wingdings" w:hAnsi="Wingdings" w:hint="default"/>
      </w:rPr>
    </w:lvl>
    <w:lvl w:ilvl="6" w:tplc="305A39FC" w:tentative="1">
      <w:start w:val="1"/>
      <w:numFmt w:val="bullet"/>
      <w:lvlText w:val=""/>
      <w:lvlJc w:val="left"/>
      <w:pPr>
        <w:tabs>
          <w:tab w:val="num" w:pos="5040"/>
        </w:tabs>
        <w:ind w:left="5040" w:hanging="360"/>
      </w:pPr>
      <w:rPr>
        <w:rFonts w:ascii="Symbol" w:hAnsi="Symbol" w:hint="default"/>
      </w:rPr>
    </w:lvl>
    <w:lvl w:ilvl="7" w:tplc="C72ECA10" w:tentative="1">
      <w:start w:val="1"/>
      <w:numFmt w:val="bullet"/>
      <w:lvlText w:val="o"/>
      <w:lvlJc w:val="left"/>
      <w:pPr>
        <w:tabs>
          <w:tab w:val="num" w:pos="5760"/>
        </w:tabs>
        <w:ind w:left="5760" w:hanging="360"/>
      </w:pPr>
      <w:rPr>
        <w:rFonts w:ascii="Courier New" w:hAnsi="Courier New" w:cs="Courier New" w:hint="default"/>
      </w:rPr>
    </w:lvl>
    <w:lvl w:ilvl="8" w:tplc="660A142E" w:tentative="1">
      <w:start w:val="1"/>
      <w:numFmt w:val="bullet"/>
      <w:lvlText w:val=""/>
      <w:lvlJc w:val="left"/>
      <w:pPr>
        <w:tabs>
          <w:tab w:val="num" w:pos="6480"/>
        </w:tabs>
        <w:ind w:left="6480" w:hanging="360"/>
      </w:pPr>
      <w:rPr>
        <w:rFonts w:ascii="Wingdings" w:hAnsi="Wingdings" w:hint="default"/>
      </w:rPr>
    </w:lvl>
  </w:abstractNum>
  <w:abstractNum w:abstractNumId="34">
    <w:nsid w:val="5E8563E1"/>
    <w:multiLevelType w:val="hybridMultilevel"/>
    <w:tmpl w:val="163671A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nsid w:val="6041688D"/>
    <w:multiLevelType w:val="hybridMultilevel"/>
    <w:tmpl w:val="DE6E9C6C"/>
    <w:lvl w:ilvl="0" w:tplc="1332A358">
      <w:numFmt w:val="bullet"/>
      <w:pStyle w:val="BulletListLevel1"/>
      <w:lvlText w:val=""/>
      <w:lvlJc w:val="left"/>
      <w:pPr>
        <w:tabs>
          <w:tab w:val="num" w:pos="1418"/>
        </w:tabs>
        <w:ind w:left="1418" w:hanging="579"/>
      </w:pPr>
      <w:rPr>
        <w:rFonts w:ascii="Wingdings" w:hAnsi="Wingdings" w:hint="default"/>
        <w:sz w:val="24"/>
        <w:szCs w:val="20"/>
      </w:rPr>
    </w:lvl>
    <w:lvl w:ilvl="1" w:tplc="076C06AE">
      <w:start w:val="1"/>
      <w:numFmt w:val="bullet"/>
      <w:lvlText w:val="o"/>
      <w:lvlJc w:val="left"/>
      <w:pPr>
        <w:tabs>
          <w:tab w:val="num" w:pos="1440"/>
        </w:tabs>
        <w:ind w:left="1440" w:hanging="360"/>
      </w:pPr>
      <w:rPr>
        <w:rFonts w:ascii="Courier New" w:hAnsi="Courier New" w:cs="Courier New" w:hint="default"/>
      </w:rPr>
    </w:lvl>
    <w:lvl w:ilvl="2" w:tplc="9E825B2E">
      <w:start w:val="1"/>
      <w:numFmt w:val="bullet"/>
      <w:lvlText w:val=""/>
      <w:lvlJc w:val="left"/>
      <w:pPr>
        <w:tabs>
          <w:tab w:val="num" w:pos="2160"/>
        </w:tabs>
        <w:ind w:left="2160" w:hanging="360"/>
      </w:pPr>
      <w:rPr>
        <w:rFonts w:ascii="Wingdings" w:hAnsi="Wingdings" w:hint="default"/>
      </w:rPr>
    </w:lvl>
    <w:lvl w:ilvl="3" w:tplc="6E5079E8" w:tentative="1">
      <w:start w:val="1"/>
      <w:numFmt w:val="bullet"/>
      <w:lvlText w:val=""/>
      <w:lvlJc w:val="left"/>
      <w:pPr>
        <w:tabs>
          <w:tab w:val="num" w:pos="2880"/>
        </w:tabs>
        <w:ind w:left="2880" w:hanging="360"/>
      </w:pPr>
      <w:rPr>
        <w:rFonts w:ascii="Symbol" w:hAnsi="Symbol" w:hint="default"/>
      </w:rPr>
    </w:lvl>
    <w:lvl w:ilvl="4" w:tplc="4730570E" w:tentative="1">
      <w:start w:val="1"/>
      <w:numFmt w:val="bullet"/>
      <w:lvlText w:val="o"/>
      <w:lvlJc w:val="left"/>
      <w:pPr>
        <w:tabs>
          <w:tab w:val="num" w:pos="3600"/>
        </w:tabs>
        <w:ind w:left="3600" w:hanging="360"/>
      </w:pPr>
      <w:rPr>
        <w:rFonts w:ascii="Courier New" w:hAnsi="Courier New" w:cs="Courier New" w:hint="default"/>
      </w:rPr>
    </w:lvl>
    <w:lvl w:ilvl="5" w:tplc="33743EE4" w:tentative="1">
      <w:start w:val="1"/>
      <w:numFmt w:val="bullet"/>
      <w:lvlText w:val=""/>
      <w:lvlJc w:val="left"/>
      <w:pPr>
        <w:tabs>
          <w:tab w:val="num" w:pos="4320"/>
        </w:tabs>
        <w:ind w:left="4320" w:hanging="360"/>
      </w:pPr>
      <w:rPr>
        <w:rFonts w:ascii="Wingdings" w:hAnsi="Wingdings" w:hint="default"/>
      </w:rPr>
    </w:lvl>
    <w:lvl w:ilvl="6" w:tplc="2B58308E" w:tentative="1">
      <w:start w:val="1"/>
      <w:numFmt w:val="bullet"/>
      <w:lvlText w:val=""/>
      <w:lvlJc w:val="left"/>
      <w:pPr>
        <w:tabs>
          <w:tab w:val="num" w:pos="5040"/>
        </w:tabs>
        <w:ind w:left="5040" w:hanging="360"/>
      </w:pPr>
      <w:rPr>
        <w:rFonts w:ascii="Symbol" w:hAnsi="Symbol" w:hint="default"/>
      </w:rPr>
    </w:lvl>
    <w:lvl w:ilvl="7" w:tplc="FE7458A8" w:tentative="1">
      <w:start w:val="1"/>
      <w:numFmt w:val="bullet"/>
      <w:lvlText w:val="o"/>
      <w:lvlJc w:val="left"/>
      <w:pPr>
        <w:tabs>
          <w:tab w:val="num" w:pos="5760"/>
        </w:tabs>
        <w:ind w:left="5760" w:hanging="360"/>
      </w:pPr>
      <w:rPr>
        <w:rFonts w:ascii="Courier New" w:hAnsi="Courier New" w:cs="Courier New" w:hint="default"/>
      </w:rPr>
    </w:lvl>
    <w:lvl w:ilvl="8" w:tplc="94864498" w:tentative="1">
      <w:start w:val="1"/>
      <w:numFmt w:val="bullet"/>
      <w:lvlText w:val=""/>
      <w:lvlJc w:val="left"/>
      <w:pPr>
        <w:tabs>
          <w:tab w:val="num" w:pos="6480"/>
        </w:tabs>
        <w:ind w:left="6480" w:hanging="360"/>
      </w:pPr>
      <w:rPr>
        <w:rFonts w:ascii="Wingdings" w:hAnsi="Wingdings" w:hint="default"/>
      </w:rPr>
    </w:lvl>
  </w:abstractNum>
  <w:abstractNum w:abstractNumId="36">
    <w:nsid w:val="607B257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1B47DD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62BE5FA9"/>
    <w:multiLevelType w:val="multilevel"/>
    <w:tmpl w:val="5AAE248E"/>
    <w:lvl w:ilvl="0">
      <w:start w:val="1"/>
      <w:numFmt w:val="decimal"/>
      <w:lvlText w:val="%1."/>
      <w:lvlJc w:val="left"/>
      <w:pPr>
        <w:tabs>
          <w:tab w:val="num" w:pos="720"/>
        </w:tabs>
        <w:ind w:left="720" w:hanging="360"/>
      </w:pPr>
      <w:rPr>
        <w:rFonts w:hint="default"/>
      </w:rPr>
    </w:lvl>
    <w:lvl w:ilvl="1">
      <w:start w:val="1"/>
      <w:numFmt w:val="lowerLetter"/>
      <w:pStyle w:val="Numberlist"/>
      <w:lvlText w:val="(%2)"/>
      <w:lvlJc w:val="left"/>
      <w:pPr>
        <w:tabs>
          <w:tab w:val="num" w:pos="1920"/>
        </w:tabs>
        <w:ind w:left="1920" w:hanging="840"/>
      </w:pPr>
      <w:rPr>
        <w:rFonts w:hint="default"/>
        <w:b w:val="0"/>
        <w:color w:val="auto"/>
      </w:rPr>
    </w:lvl>
    <w:lvl w:ilvl="2">
      <w:start w:val="1"/>
      <w:numFmt w:val="lowerRoman"/>
      <w:pStyle w:val="number2"/>
      <w:lvlText w:val="(%3)"/>
      <w:lvlJc w:val="left"/>
      <w:pPr>
        <w:tabs>
          <w:tab w:val="num" w:pos="2160"/>
        </w:tabs>
        <w:ind w:left="2160" w:hanging="180"/>
      </w:pPr>
      <w:rPr>
        <w:rFonts w:hint="default"/>
      </w:rPr>
    </w:lvl>
    <w:lvl w:ilvl="3">
      <w:start w:val="1"/>
      <w:numFmt w:val="lowerLetter"/>
      <w:pStyle w:val="number3"/>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62EB115C"/>
    <w:multiLevelType w:val="multilevel"/>
    <w:tmpl w:val="3E441BB8"/>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0">
    <w:nsid w:val="6B2712FC"/>
    <w:multiLevelType w:val="hybridMultilevel"/>
    <w:tmpl w:val="3EEAF808"/>
    <w:lvl w:ilvl="0" w:tplc="E12E3686">
      <w:start w:val="1"/>
      <w:numFmt w:val="lowerLetter"/>
      <w:lvlText w:val="(%1)"/>
      <w:lvlJc w:val="left"/>
      <w:pPr>
        <w:ind w:left="927"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41">
    <w:nsid w:val="7799788F"/>
    <w:multiLevelType w:val="multilevel"/>
    <w:tmpl w:val="102E164E"/>
    <w:numStyleLink w:val="Outlinestyle"/>
  </w:abstractNum>
  <w:abstractNum w:abstractNumId="42">
    <w:nsid w:val="79132FE2"/>
    <w:multiLevelType w:val="multilevel"/>
    <w:tmpl w:val="971C9A8E"/>
    <w:lvl w:ilvl="0">
      <w:start w:val="1"/>
      <w:numFmt w:val="lowerLetter"/>
      <w:lvlText w:val="(%1)"/>
      <w:lvlJc w:val="left"/>
      <w:pPr>
        <w:tabs>
          <w:tab w:val="num" w:pos="2836"/>
        </w:tabs>
        <w:ind w:left="2836" w:hanging="709"/>
      </w:pPr>
      <w:rPr>
        <w:rFonts w:hint="default"/>
      </w:rPr>
    </w:lvl>
    <w:lvl w:ilvl="1">
      <w:start w:val="1"/>
      <w:numFmt w:val="bullet"/>
      <w:lvlText w:val="o"/>
      <w:lvlJc w:val="left"/>
      <w:pPr>
        <w:tabs>
          <w:tab w:val="num" w:pos="3545"/>
        </w:tabs>
        <w:ind w:left="3545" w:hanging="709"/>
      </w:pPr>
      <w:rPr>
        <w:rFonts w:ascii="Courier New" w:hAnsi="Courier New" w:hint="default"/>
        <w:b/>
        <w:i w:val="0"/>
      </w:rPr>
    </w:lvl>
    <w:lvl w:ilvl="2">
      <w:start w:val="1"/>
      <w:numFmt w:val="bullet"/>
      <w:lvlText w:val=""/>
      <w:lvlJc w:val="left"/>
      <w:pPr>
        <w:tabs>
          <w:tab w:val="num" w:pos="4253"/>
        </w:tabs>
        <w:ind w:left="4253" w:hanging="708"/>
      </w:pPr>
      <w:rPr>
        <w:rFonts w:ascii="Wingdings 2" w:hAnsi="Wingdings 2" w:hint="default"/>
        <w:color w:val="auto"/>
        <w:u w:val="none"/>
      </w:rPr>
    </w:lvl>
    <w:lvl w:ilvl="3">
      <w:start w:val="1"/>
      <w:numFmt w:val="none"/>
      <w:lvlText w:val=""/>
      <w:lvlJc w:val="left"/>
      <w:pPr>
        <w:tabs>
          <w:tab w:val="num" w:pos="2127"/>
        </w:tabs>
        <w:ind w:left="2127" w:firstLine="0"/>
      </w:pPr>
      <w:rPr>
        <w:rFonts w:hint="default"/>
      </w:rPr>
    </w:lvl>
    <w:lvl w:ilvl="4">
      <w:start w:val="1"/>
      <w:numFmt w:val="none"/>
      <w:lvlText w:val=""/>
      <w:lvlJc w:val="left"/>
      <w:pPr>
        <w:tabs>
          <w:tab w:val="num" w:pos="2127"/>
        </w:tabs>
        <w:ind w:left="2127" w:firstLine="0"/>
      </w:pPr>
      <w:rPr>
        <w:rFonts w:hint="default"/>
      </w:rPr>
    </w:lvl>
    <w:lvl w:ilvl="5">
      <w:start w:val="1"/>
      <w:numFmt w:val="none"/>
      <w:lvlText w:val=""/>
      <w:lvlJc w:val="left"/>
      <w:pPr>
        <w:tabs>
          <w:tab w:val="num" w:pos="2127"/>
        </w:tabs>
        <w:ind w:left="2127" w:firstLine="0"/>
      </w:pPr>
      <w:rPr>
        <w:rFonts w:hint="default"/>
      </w:rPr>
    </w:lvl>
    <w:lvl w:ilvl="6">
      <w:start w:val="1"/>
      <w:numFmt w:val="none"/>
      <w:lvlText w:val=""/>
      <w:lvlJc w:val="left"/>
      <w:pPr>
        <w:tabs>
          <w:tab w:val="num" w:pos="2127"/>
        </w:tabs>
        <w:ind w:left="2127" w:firstLine="0"/>
      </w:pPr>
      <w:rPr>
        <w:rFonts w:hint="default"/>
      </w:rPr>
    </w:lvl>
    <w:lvl w:ilvl="7">
      <w:start w:val="1"/>
      <w:numFmt w:val="none"/>
      <w:lvlText w:val=""/>
      <w:lvlJc w:val="left"/>
      <w:pPr>
        <w:tabs>
          <w:tab w:val="num" w:pos="2127"/>
        </w:tabs>
        <w:ind w:left="2127" w:firstLine="0"/>
      </w:pPr>
      <w:rPr>
        <w:rFonts w:hint="default"/>
      </w:rPr>
    </w:lvl>
    <w:lvl w:ilvl="8">
      <w:start w:val="1"/>
      <w:numFmt w:val="none"/>
      <w:lvlText w:val=""/>
      <w:lvlJc w:val="left"/>
      <w:pPr>
        <w:tabs>
          <w:tab w:val="num" w:pos="2127"/>
        </w:tabs>
        <w:ind w:left="2127" w:firstLine="0"/>
      </w:pPr>
      <w:rPr>
        <w:rFonts w:hint="default"/>
      </w:rPr>
    </w:lvl>
  </w:abstractNum>
  <w:abstractNum w:abstractNumId="43">
    <w:nsid w:val="79AE6065"/>
    <w:multiLevelType w:val="multilevel"/>
    <w:tmpl w:val="3220733A"/>
    <w:styleLink w:val="Bulletliststyle"/>
    <w:lvl w:ilvl="0">
      <w:start w:val="1"/>
      <w:numFmt w:val="bullet"/>
      <w:pStyle w:val="Bullet"/>
      <w:lvlText w:val=""/>
      <w:lvlJc w:val="left"/>
      <w:pPr>
        <w:tabs>
          <w:tab w:val="num" w:pos="2127"/>
        </w:tabs>
        <w:ind w:left="2127" w:hanging="709"/>
      </w:pPr>
      <w:rPr>
        <w:rFonts w:ascii="Symbol" w:hAnsi="Symbol" w:hint="default"/>
      </w:rPr>
    </w:lvl>
    <w:lvl w:ilvl="1">
      <w:start w:val="1"/>
      <w:numFmt w:val="bullet"/>
      <w:lvlText w:val="o"/>
      <w:lvlJc w:val="left"/>
      <w:pPr>
        <w:tabs>
          <w:tab w:val="num" w:pos="2836"/>
        </w:tabs>
        <w:ind w:left="2836" w:hanging="709"/>
      </w:pPr>
      <w:rPr>
        <w:rFonts w:ascii="Courier New" w:hAnsi="Courier New" w:hint="default"/>
        <w:b/>
        <w:i w:val="0"/>
      </w:rPr>
    </w:lvl>
    <w:lvl w:ilvl="2">
      <w:start w:val="1"/>
      <w:numFmt w:val="bullet"/>
      <w:lvlText w:val=""/>
      <w:lvlJc w:val="left"/>
      <w:pPr>
        <w:tabs>
          <w:tab w:val="num" w:pos="3544"/>
        </w:tabs>
        <w:ind w:left="3544" w:hanging="708"/>
      </w:pPr>
      <w:rPr>
        <w:rFonts w:ascii="Wingdings 2" w:hAnsi="Wingdings 2" w:hint="default"/>
        <w:color w:val="auto"/>
        <w:u w:val="none"/>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44">
    <w:nsid w:val="7CFC1DDE"/>
    <w:multiLevelType w:val="hybridMultilevel"/>
    <w:tmpl w:val="89249394"/>
    <w:lvl w:ilvl="0" w:tplc="472EFEC8">
      <w:start w:val="1"/>
      <w:numFmt w:val="decimal"/>
      <w:pStyle w:val="ExecutiveSummaryNumberedText"/>
      <w:lvlText w:val="X%1"/>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DA06D8A6">
      <w:start w:val="1"/>
      <w:numFmt w:val="lowerLetter"/>
      <w:lvlText w:val="%2)"/>
      <w:lvlJc w:val="left"/>
      <w:pPr>
        <w:tabs>
          <w:tab w:val="num" w:pos="1620"/>
        </w:tabs>
        <w:ind w:left="1620" w:hanging="360"/>
      </w:pPr>
      <w:rPr>
        <w:rFonts w:hint="default"/>
        <w:i w:val="0"/>
        <w:sz w:val="24"/>
        <w:szCs w:val="24"/>
        <w:vertAlign w:val="baseline"/>
      </w:rPr>
    </w:lvl>
    <w:lvl w:ilvl="2" w:tplc="03506754">
      <w:start w:val="1"/>
      <w:numFmt w:val="lowerRoman"/>
      <w:lvlText w:val="%3."/>
      <w:lvlJc w:val="right"/>
      <w:pPr>
        <w:tabs>
          <w:tab w:val="num" w:pos="2340"/>
        </w:tabs>
        <w:ind w:left="2340" w:hanging="180"/>
      </w:pPr>
    </w:lvl>
    <w:lvl w:ilvl="3" w:tplc="90D82E9C" w:tentative="1">
      <w:start w:val="1"/>
      <w:numFmt w:val="decimal"/>
      <w:lvlText w:val="%4."/>
      <w:lvlJc w:val="left"/>
      <w:pPr>
        <w:tabs>
          <w:tab w:val="num" w:pos="3060"/>
        </w:tabs>
        <w:ind w:left="3060" w:hanging="360"/>
      </w:pPr>
    </w:lvl>
    <w:lvl w:ilvl="4" w:tplc="7506EAF0" w:tentative="1">
      <w:start w:val="1"/>
      <w:numFmt w:val="lowerLetter"/>
      <w:lvlText w:val="%5."/>
      <w:lvlJc w:val="left"/>
      <w:pPr>
        <w:tabs>
          <w:tab w:val="num" w:pos="3780"/>
        </w:tabs>
        <w:ind w:left="3780" w:hanging="360"/>
      </w:pPr>
    </w:lvl>
    <w:lvl w:ilvl="5" w:tplc="C20A9C86" w:tentative="1">
      <w:start w:val="1"/>
      <w:numFmt w:val="lowerRoman"/>
      <w:lvlText w:val="%6."/>
      <w:lvlJc w:val="right"/>
      <w:pPr>
        <w:tabs>
          <w:tab w:val="num" w:pos="4500"/>
        </w:tabs>
        <w:ind w:left="4500" w:hanging="180"/>
      </w:pPr>
    </w:lvl>
    <w:lvl w:ilvl="6" w:tplc="527600B8" w:tentative="1">
      <w:start w:val="1"/>
      <w:numFmt w:val="decimal"/>
      <w:lvlText w:val="%7."/>
      <w:lvlJc w:val="left"/>
      <w:pPr>
        <w:tabs>
          <w:tab w:val="num" w:pos="5220"/>
        </w:tabs>
        <w:ind w:left="5220" w:hanging="360"/>
      </w:pPr>
    </w:lvl>
    <w:lvl w:ilvl="7" w:tplc="09AE9556" w:tentative="1">
      <w:start w:val="1"/>
      <w:numFmt w:val="lowerLetter"/>
      <w:lvlText w:val="%8."/>
      <w:lvlJc w:val="left"/>
      <w:pPr>
        <w:tabs>
          <w:tab w:val="num" w:pos="5940"/>
        </w:tabs>
        <w:ind w:left="5940" w:hanging="360"/>
      </w:pPr>
    </w:lvl>
    <w:lvl w:ilvl="8" w:tplc="98E64EEA" w:tentative="1">
      <w:start w:val="1"/>
      <w:numFmt w:val="lowerRoman"/>
      <w:lvlText w:val="%9."/>
      <w:lvlJc w:val="right"/>
      <w:pPr>
        <w:tabs>
          <w:tab w:val="num" w:pos="6660"/>
        </w:tabs>
        <w:ind w:left="6660" w:hanging="180"/>
      </w:pPr>
    </w:lvl>
  </w:abstractNum>
  <w:num w:numId="1">
    <w:abstractNumId w:val="37"/>
  </w:num>
  <w:num w:numId="2">
    <w:abstractNumId w:val="36"/>
  </w:num>
  <w:num w:numId="3">
    <w:abstractNumId w:val="13"/>
  </w:num>
  <w:num w:numId="4">
    <w:abstractNumId w:val="6"/>
  </w:num>
  <w:num w:numId="5">
    <w:abstractNumId w:val="5"/>
  </w:num>
  <w:num w:numId="6">
    <w:abstractNumId w:val="7"/>
  </w:num>
  <w:num w:numId="7">
    <w:abstractNumId w:val="4"/>
  </w:num>
  <w:num w:numId="8">
    <w:abstractNumId w:val="3"/>
  </w:num>
  <w:num w:numId="9">
    <w:abstractNumId w:val="2"/>
  </w:num>
  <w:num w:numId="10">
    <w:abstractNumId w:val="1"/>
  </w:num>
  <w:num w:numId="11">
    <w:abstractNumId w:val="32"/>
  </w:num>
  <w:num w:numId="12">
    <w:abstractNumId w:val="32"/>
  </w:num>
  <w:num w:numId="13">
    <w:abstractNumId w:val="43"/>
  </w:num>
  <w:num w:numId="14">
    <w:abstractNumId w:val="43"/>
    <w:lvlOverride w:ilvl="0">
      <w:lvl w:ilvl="0">
        <w:start w:val="1"/>
        <w:numFmt w:val="bullet"/>
        <w:pStyle w:val="Bullet"/>
        <w:lvlText w:val=""/>
        <w:lvlJc w:val="left"/>
        <w:pPr>
          <w:tabs>
            <w:tab w:val="num" w:pos="2127"/>
          </w:tabs>
          <w:ind w:left="2127" w:hanging="709"/>
        </w:pPr>
        <w:rPr>
          <w:rFonts w:ascii="Symbol" w:hAnsi="Symbol" w:hint="default"/>
        </w:rPr>
      </w:lvl>
    </w:lvlOverride>
    <w:lvlOverride w:ilvl="1">
      <w:lvl w:ilvl="1">
        <w:start w:val="1"/>
        <w:numFmt w:val="bullet"/>
        <w:lvlText w:val="o"/>
        <w:lvlJc w:val="left"/>
        <w:pPr>
          <w:tabs>
            <w:tab w:val="num" w:pos="2836"/>
          </w:tabs>
          <w:ind w:left="2836" w:hanging="709"/>
        </w:pPr>
        <w:rPr>
          <w:rFonts w:ascii="Courier New" w:hAnsi="Courier New" w:hint="default"/>
          <w:b/>
          <w:i w:val="0"/>
        </w:rPr>
      </w:lvl>
    </w:lvlOverride>
    <w:lvlOverride w:ilvl="2">
      <w:lvl w:ilvl="2">
        <w:start w:val="1"/>
        <w:numFmt w:val="bullet"/>
        <w:lvlText w:val=""/>
        <w:lvlJc w:val="left"/>
        <w:pPr>
          <w:tabs>
            <w:tab w:val="num" w:pos="3544"/>
          </w:tabs>
          <w:ind w:left="3544" w:hanging="708"/>
        </w:pPr>
        <w:rPr>
          <w:rFonts w:ascii="Wingdings 2" w:hAnsi="Wingdings 2" w:hint="default"/>
          <w:color w:val="auto"/>
          <w:u w:val="none"/>
        </w:rPr>
      </w:lvl>
    </w:lvlOverride>
    <w:lvlOverride w:ilvl="3">
      <w:lvl w:ilvl="3">
        <w:start w:val="1"/>
        <w:numFmt w:val="none"/>
        <w:lvlText w:val=""/>
        <w:lvlJc w:val="left"/>
        <w:pPr>
          <w:tabs>
            <w:tab w:val="num" w:pos="1418"/>
          </w:tabs>
          <w:ind w:left="1418" w:firstLine="0"/>
        </w:pPr>
        <w:rPr>
          <w:rFonts w:hint="default"/>
        </w:rPr>
      </w:lvl>
    </w:lvlOverride>
    <w:lvlOverride w:ilvl="4">
      <w:lvl w:ilvl="4">
        <w:start w:val="1"/>
        <w:numFmt w:val="none"/>
        <w:lvlText w:val=""/>
        <w:lvlJc w:val="left"/>
        <w:pPr>
          <w:tabs>
            <w:tab w:val="num" w:pos="1418"/>
          </w:tabs>
          <w:ind w:left="1418" w:firstLine="0"/>
        </w:pPr>
        <w:rPr>
          <w:rFonts w:hint="default"/>
        </w:rPr>
      </w:lvl>
    </w:lvlOverride>
    <w:lvlOverride w:ilvl="5">
      <w:lvl w:ilvl="5">
        <w:start w:val="1"/>
        <w:numFmt w:val="none"/>
        <w:lvlText w:val=""/>
        <w:lvlJc w:val="left"/>
        <w:pPr>
          <w:tabs>
            <w:tab w:val="num" w:pos="1418"/>
          </w:tabs>
          <w:ind w:left="1418" w:firstLine="0"/>
        </w:pPr>
        <w:rPr>
          <w:rFonts w:hint="default"/>
        </w:rPr>
      </w:lvl>
    </w:lvlOverride>
    <w:lvlOverride w:ilvl="6">
      <w:lvl w:ilvl="6">
        <w:start w:val="1"/>
        <w:numFmt w:val="none"/>
        <w:lvlText w:val=""/>
        <w:lvlJc w:val="left"/>
        <w:pPr>
          <w:tabs>
            <w:tab w:val="num" w:pos="1418"/>
          </w:tabs>
          <w:ind w:left="1418" w:firstLine="0"/>
        </w:pPr>
        <w:rPr>
          <w:rFonts w:hint="default"/>
        </w:rPr>
      </w:lvl>
    </w:lvlOverride>
    <w:lvlOverride w:ilvl="7">
      <w:lvl w:ilvl="7">
        <w:start w:val="1"/>
        <w:numFmt w:val="none"/>
        <w:lvlText w:val=""/>
        <w:lvlJc w:val="left"/>
        <w:pPr>
          <w:tabs>
            <w:tab w:val="num" w:pos="1418"/>
          </w:tabs>
          <w:ind w:left="1418" w:firstLine="0"/>
        </w:pPr>
        <w:rPr>
          <w:rFonts w:hint="default"/>
        </w:rPr>
      </w:lvl>
    </w:lvlOverride>
    <w:lvlOverride w:ilvl="8">
      <w:lvl w:ilvl="8">
        <w:start w:val="1"/>
        <w:numFmt w:val="none"/>
        <w:lvlText w:val=""/>
        <w:lvlJc w:val="left"/>
        <w:pPr>
          <w:tabs>
            <w:tab w:val="num" w:pos="1418"/>
          </w:tabs>
          <w:ind w:left="1418" w:firstLine="0"/>
        </w:pPr>
        <w:rPr>
          <w:rFonts w:hint="default"/>
        </w:rPr>
      </w:lvl>
    </w:lvlOverride>
  </w:num>
  <w:num w:numId="15">
    <w:abstractNumId w:val="9"/>
  </w:num>
  <w:num w:numId="16">
    <w:abstractNumId w:val="22"/>
  </w:num>
  <w:num w:numId="17">
    <w:abstractNumId w:val="41"/>
    <w:lvlOverride w:ilvl="0">
      <w:lvl w:ilvl="0">
        <w:start w:val="1"/>
        <w:numFmt w:val="decimal"/>
        <w:pStyle w:val="Para1"/>
        <w:lvlText w:val="%1."/>
        <w:lvlJc w:val="left"/>
        <w:pPr>
          <w:tabs>
            <w:tab w:val="num" w:pos="709"/>
          </w:tabs>
          <w:ind w:left="709" w:hanging="709"/>
        </w:pPr>
        <w:rPr>
          <w:rFonts w:hint="default"/>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rPr>
      </w:lvl>
    </w:lvlOverride>
    <w:lvlOverride w:ilvl="3">
      <w:lvl w:ilvl="3">
        <w:start w:val="1"/>
        <w:numFmt w:val="lowerLetter"/>
        <w:pStyle w:val="Para4"/>
        <w:lvlText w:val="(%4)"/>
        <w:lvlJc w:val="left"/>
        <w:pPr>
          <w:tabs>
            <w:tab w:val="num" w:pos="2835"/>
          </w:tabs>
          <w:ind w:left="2835"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8">
    <w:abstractNumId w:val="15"/>
  </w:num>
  <w:num w:numId="19">
    <w:abstractNumId w:val="15"/>
  </w:num>
  <w:num w:numId="20">
    <w:abstractNumId w:val="25"/>
  </w:num>
  <w:num w:numId="21">
    <w:abstractNumId w:val="30"/>
  </w:num>
  <w:num w:numId="22">
    <w:abstractNumId w:val="30"/>
  </w:num>
  <w:num w:numId="23">
    <w:abstractNumId w:val="35"/>
  </w:num>
  <w:num w:numId="24">
    <w:abstractNumId w:val="16"/>
  </w:num>
  <w:num w:numId="25">
    <w:abstractNumId w:val="44"/>
  </w:num>
  <w:num w:numId="26">
    <w:abstractNumId w:val="26"/>
  </w:num>
  <w:num w:numId="27">
    <w:abstractNumId w:val="8"/>
  </w:num>
  <w:num w:numId="28">
    <w:abstractNumId w:val="23"/>
  </w:num>
  <w:num w:numId="29">
    <w:abstractNumId w:val="11"/>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41"/>
    <w:lvlOverride w:ilvl="0">
      <w:startOverride w:val="1"/>
      <w:lvl w:ilvl="0">
        <w:start w:val="1"/>
        <w:numFmt w:val="decimal"/>
        <w:pStyle w:val="Para1"/>
        <w:lvlText w:val="%1."/>
        <w:lvlJc w:val="left"/>
        <w:pPr>
          <w:tabs>
            <w:tab w:val="num" w:pos="709"/>
          </w:tabs>
          <w:ind w:left="709" w:hanging="709"/>
        </w:pPr>
        <w:rPr>
          <w:rFonts w:hint="default"/>
          <w:b/>
        </w:rPr>
      </w:lvl>
    </w:lvlOverride>
    <w:lvlOverride w:ilvl="1">
      <w:startOverride w:val="1"/>
      <w:lvl w:ilvl="1">
        <w:start w:val="1"/>
        <w:numFmt w:val="decimal"/>
        <w:pStyle w:val="Para2"/>
        <w:lvlText w:val="%1.%2"/>
        <w:lvlJc w:val="left"/>
        <w:pPr>
          <w:tabs>
            <w:tab w:val="num" w:pos="1418"/>
          </w:tabs>
          <w:ind w:left="1418" w:hanging="709"/>
        </w:pPr>
        <w:rPr>
          <w:rFonts w:hint="default"/>
          <w:b w:val="0"/>
        </w:rPr>
      </w:lvl>
    </w:lvlOverride>
    <w:lvlOverride w:ilvl="2">
      <w:startOverride w:val="1"/>
      <w:lvl w:ilvl="2">
        <w:start w:val="1"/>
        <w:numFmt w:val="decimal"/>
        <w:pStyle w:val="Para3"/>
        <w:lvlText w:val="%1.%2.%3"/>
        <w:lvlJc w:val="left"/>
        <w:pPr>
          <w:tabs>
            <w:tab w:val="num" w:pos="2126"/>
          </w:tabs>
          <w:ind w:left="2126" w:hanging="708"/>
        </w:pPr>
        <w:rPr>
          <w:rFonts w:hint="default"/>
          <w:b w:val="0"/>
        </w:rPr>
      </w:lvl>
    </w:lvlOverride>
    <w:lvlOverride w:ilvl="3">
      <w:startOverride w:val="1"/>
      <w:lvl w:ilvl="3">
        <w:start w:val="1"/>
        <w:numFmt w:val="lowerLetter"/>
        <w:pStyle w:val="Para4"/>
        <w:lvlText w:val="(%4)"/>
        <w:lvlJc w:val="left"/>
        <w:pPr>
          <w:tabs>
            <w:tab w:val="num" w:pos="2835"/>
          </w:tabs>
          <w:ind w:left="2835" w:hanging="709"/>
        </w:pPr>
        <w:rPr>
          <w:rFonts w:hint="default"/>
        </w:rPr>
      </w:lvl>
    </w:lvlOverride>
    <w:lvlOverride w:ilvl="4">
      <w:startOverride w:val="1"/>
      <w:lvl w:ilvl="4">
        <w:start w:val="1"/>
        <w:numFmt w:val="lowerRoman"/>
        <w:pStyle w:val="Para5"/>
        <w:lvlText w:val="(%5)"/>
        <w:lvlJc w:val="left"/>
        <w:pPr>
          <w:tabs>
            <w:tab w:val="num" w:pos="3544"/>
          </w:tabs>
          <w:ind w:left="3544" w:hanging="709"/>
        </w:pPr>
        <w:rPr>
          <w:rFonts w:hint="default"/>
        </w:rPr>
      </w:lvl>
    </w:lvlOverride>
    <w:lvlOverride w:ilvl="5">
      <w:startOverride w:val="1"/>
      <w:lvl w:ilvl="5">
        <w:start w:val="1"/>
        <w:numFmt w:val="none"/>
        <w:lvlText w:val=""/>
        <w:lvlJc w:val="left"/>
        <w:pPr>
          <w:tabs>
            <w:tab w:val="num" w:pos="0"/>
          </w:tabs>
          <w:ind w:left="0" w:firstLine="0"/>
        </w:pPr>
        <w:rPr>
          <w:rFonts w:hint="default"/>
        </w:rPr>
      </w:lvl>
    </w:lvlOverride>
    <w:lvlOverride w:ilvl="6">
      <w:startOverride w:val="1"/>
      <w:lvl w:ilvl="6">
        <w:start w:val="1"/>
        <w:numFmt w:val="none"/>
        <w:lvlText w:val=""/>
        <w:lvlJc w:val="left"/>
        <w:pPr>
          <w:tabs>
            <w:tab w:val="num" w:pos="0"/>
          </w:tabs>
          <w:ind w:left="0" w:firstLine="0"/>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0"/>
          </w:tabs>
          <w:ind w:left="0" w:firstLine="0"/>
        </w:pPr>
        <w:rPr>
          <w:rFonts w:hint="default"/>
        </w:rPr>
      </w:lvl>
    </w:lvlOverride>
  </w:num>
  <w:num w:numId="33">
    <w:abstractNumId w:val="33"/>
  </w:num>
  <w:num w:numId="34">
    <w:abstractNumId w:val="18"/>
  </w:num>
  <w:num w:numId="35">
    <w:abstractNumId w:val="41"/>
    <w:lvlOverride w:ilvl="0">
      <w:startOverride w:val="1"/>
      <w:lvl w:ilvl="0">
        <w:start w:val="1"/>
        <w:numFmt w:val="decimal"/>
        <w:pStyle w:val="Para1"/>
        <w:lvlText w:val="%1."/>
        <w:lvlJc w:val="left"/>
        <w:pPr>
          <w:tabs>
            <w:tab w:val="num" w:pos="709"/>
          </w:tabs>
          <w:ind w:left="709" w:hanging="709"/>
        </w:pPr>
        <w:rPr>
          <w:rFonts w:hint="default"/>
          <w:b/>
        </w:rPr>
      </w:lvl>
    </w:lvlOverride>
    <w:lvlOverride w:ilvl="1">
      <w:startOverride w:val="1"/>
      <w:lvl w:ilvl="1">
        <w:start w:val="1"/>
        <w:numFmt w:val="decimal"/>
        <w:pStyle w:val="Para2"/>
        <w:lvlText w:val="%1.%2"/>
        <w:lvlJc w:val="left"/>
        <w:pPr>
          <w:tabs>
            <w:tab w:val="num" w:pos="1418"/>
          </w:tabs>
          <w:ind w:left="1418" w:hanging="709"/>
        </w:pPr>
        <w:rPr>
          <w:rFonts w:hint="default"/>
          <w:b w:val="0"/>
        </w:rPr>
      </w:lvl>
    </w:lvlOverride>
    <w:lvlOverride w:ilvl="2">
      <w:startOverride w:val="1"/>
      <w:lvl w:ilvl="2">
        <w:start w:val="1"/>
        <w:numFmt w:val="decimal"/>
        <w:pStyle w:val="Para3"/>
        <w:lvlText w:val="%1.%2.%3"/>
        <w:lvlJc w:val="left"/>
        <w:pPr>
          <w:tabs>
            <w:tab w:val="num" w:pos="2126"/>
          </w:tabs>
          <w:ind w:left="2126" w:hanging="708"/>
        </w:pPr>
        <w:rPr>
          <w:rFonts w:hint="default"/>
          <w:b w:val="0"/>
        </w:rPr>
      </w:lvl>
    </w:lvlOverride>
    <w:lvlOverride w:ilvl="3">
      <w:startOverride w:val="1"/>
      <w:lvl w:ilvl="3">
        <w:start w:val="1"/>
        <w:numFmt w:val="lowerLetter"/>
        <w:pStyle w:val="Para4"/>
        <w:lvlText w:val="(%4)"/>
        <w:lvlJc w:val="left"/>
        <w:pPr>
          <w:tabs>
            <w:tab w:val="num" w:pos="2835"/>
          </w:tabs>
          <w:ind w:left="2835" w:hanging="709"/>
        </w:pPr>
        <w:rPr>
          <w:rFonts w:hint="default"/>
        </w:rPr>
      </w:lvl>
    </w:lvlOverride>
    <w:lvlOverride w:ilvl="4">
      <w:startOverride w:val="1"/>
      <w:lvl w:ilvl="4">
        <w:start w:val="1"/>
        <w:numFmt w:val="lowerRoman"/>
        <w:pStyle w:val="Para5"/>
        <w:lvlText w:val="(%5)"/>
        <w:lvlJc w:val="left"/>
        <w:pPr>
          <w:tabs>
            <w:tab w:val="num" w:pos="3544"/>
          </w:tabs>
          <w:ind w:left="3544" w:hanging="709"/>
        </w:pPr>
        <w:rPr>
          <w:rFonts w:hint="default"/>
        </w:rPr>
      </w:lvl>
    </w:lvlOverride>
    <w:lvlOverride w:ilvl="5">
      <w:startOverride w:val="1"/>
      <w:lvl w:ilvl="5">
        <w:start w:val="1"/>
        <w:numFmt w:val="none"/>
        <w:lvlText w:val=""/>
        <w:lvlJc w:val="left"/>
        <w:pPr>
          <w:tabs>
            <w:tab w:val="num" w:pos="0"/>
          </w:tabs>
          <w:ind w:left="0" w:firstLine="0"/>
        </w:pPr>
        <w:rPr>
          <w:rFonts w:hint="default"/>
        </w:rPr>
      </w:lvl>
    </w:lvlOverride>
    <w:lvlOverride w:ilvl="6">
      <w:startOverride w:val="1"/>
      <w:lvl w:ilvl="6">
        <w:start w:val="1"/>
        <w:numFmt w:val="none"/>
        <w:lvlText w:val=""/>
        <w:lvlJc w:val="left"/>
        <w:pPr>
          <w:tabs>
            <w:tab w:val="num" w:pos="0"/>
          </w:tabs>
          <w:ind w:left="0" w:firstLine="0"/>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0"/>
          </w:tabs>
          <w:ind w:left="0" w:firstLine="0"/>
        </w:pPr>
        <w:rPr>
          <w:rFonts w:hint="default"/>
        </w:rPr>
      </w:lvl>
    </w:lvlOverride>
  </w:num>
  <w:num w:numId="36">
    <w:abstractNumId w:val="27"/>
  </w:num>
  <w:num w:numId="37">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277"/>
          </w:tabs>
          <w:ind w:left="1277"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8">
    <w:abstractNumId w:val="14"/>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4">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5">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6">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7">
    <w:abstractNumId w:val="17"/>
  </w:num>
  <w:num w:numId="48">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9">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0">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1">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2">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3">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4">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5">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6">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7">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8">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9">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0">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1">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2">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3">
    <w:abstractNumId w:val="19"/>
  </w:num>
  <w:num w:numId="64">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5">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6">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7">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8">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9">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0">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1">
    <w:abstractNumId w:val="0"/>
  </w:num>
  <w:num w:numId="72">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3">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4">
    <w:abstractNumId w:val="31"/>
  </w:num>
  <w:num w:numId="75">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6">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7">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8">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9">
    <w:abstractNumId w:val="20"/>
  </w:num>
  <w:num w:numId="80">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1">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2">
    <w:abstractNumId w:val="34"/>
  </w:num>
  <w:num w:numId="83">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4">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5">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6">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7">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8">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9">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0">
    <w:abstractNumId w:val="41"/>
  </w:num>
  <w:num w:numId="91">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2">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3">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4">
    <w:abstractNumId w:val="10"/>
  </w:num>
  <w:num w:numId="95">
    <w:abstractNumId w:val="29"/>
  </w:num>
  <w:num w:numId="96">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7">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8">
    <w:abstractNumId w:val="41"/>
    <w:lvlOverride w:ilvl="0">
      <w:lvl w:ilvl="0">
        <w:start w:val="1"/>
        <w:numFmt w:val="decimal"/>
        <w:pStyle w:val="Para1"/>
        <w:lvlText w:val="%1."/>
        <w:lvlJc w:val="left"/>
        <w:pPr>
          <w:tabs>
            <w:tab w:val="num" w:pos="709"/>
          </w:tabs>
          <w:ind w:left="709" w:hanging="709"/>
        </w:pPr>
        <w:rPr>
          <w:rFonts w:hint="default"/>
          <w:b/>
        </w:rPr>
      </w:lvl>
    </w:lvlOverride>
    <w:lvlOverride w:ilvl="1">
      <w:lvl w:ilvl="1">
        <w:start w:val="1"/>
        <w:numFmt w:val="decimal"/>
        <w:pStyle w:val="Para2"/>
        <w:lvlText w:val="%1.%2"/>
        <w:lvlJc w:val="left"/>
        <w:pPr>
          <w:tabs>
            <w:tab w:val="num" w:pos="1418"/>
          </w:tabs>
          <w:ind w:left="1418" w:hanging="709"/>
        </w:pPr>
        <w:rPr>
          <w:rFonts w:hint="default"/>
          <w:b w:val="0"/>
        </w:rPr>
      </w:lvl>
    </w:lvlOverride>
    <w:lvlOverride w:ilvl="2">
      <w:lvl w:ilvl="2">
        <w:start w:val="1"/>
        <w:numFmt w:val="decimal"/>
        <w:pStyle w:val="Para3"/>
        <w:lvlText w:val="%1.%2.%3"/>
        <w:lvlJc w:val="left"/>
        <w:pPr>
          <w:tabs>
            <w:tab w:val="num" w:pos="2126"/>
          </w:tabs>
          <w:ind w:left="2126" w:hanging="708"/>
        </w:pPr>
        <w:rPr>
          <w:rFonts w:hint="default"/>
          <w:b w:val="0"/>
        </w:rPr>
      </w:lvl>
    </w:lvlOverride>
    <w:lvlOverride w:ilvl="3">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9">
    <w:abstractNumId w:val="41"/>
    <w:lvlOverride w:ilvl="0">
      <w:startOverride w:val="1"/>
      <w:lvl w:ilvl="0">
        <w:start w:val="1"/>
        <w:numFmt w:val="decimal"/>
        <w:pStyle w:val="Para1"/>
        <w:lvlText w:val="%1."/>
        <w:lvlJc w:val="left"/>
        <w:pPr>
          <w:tabs>
            <w:tab w:val="num" w:pos="709"/>
          </w:tabs>
          <w:ind w:left="709" w:hanging="709"/>
        </w:pPr>
        <w:rPr>
          <w:rFonts w:hint="default"/>
          <w:b/>
        </w:rPr>
      </w:lvl>
    </w:lvlOverride>
    <w:lvlOverride w:ilvl="1">
      <w:startOverride w:val="1"/>
      <w:lvl w:ilvl="1">
        <w:start w:val="1"/>
        <w:numFmt w:val="decimal"/>
        <w:pStyle w:val="Para2"/>
        <w:lvlText w:val="%1.%2"/>
        <w:lvlJc w:val="left"/>
        <w:pPr>
          <w:tabs>
            <w:tab w:val="num" w:pos="1418"/>
          </w:tabs>
          <w:ind w:left="1418" w:hanging="709"/>
        </w:pPr>
        <w:rPr>
          <w:rFonts w:hint="default"/>
          <w:b w:val="0"/>
        </w:rPr>
      </w:lvl>
    </w:lvlOverride>
    <w:lvlOverride w:ilvl="2">
      <w:startOverride w:val="1"/>
      <w:lvl w:ilvl="2">
        <w:start w:val="1"/>
        <w:numFmt w:val="decimal"/>
        <w:pStyle w:val="Para3"/>
        <w:lvlText w:val="%1.%2.%3"/>
        <w:lvlJc w:val="left"/>
        <w:pPr>
          <w:tabs>
            <w:tab w:val="num" w:pos="2126"/>
          </w:tabs>
          <w:ind w:left="2126" w:hanging="708"/>
        </w:pPr>
        <w:rPr>
          <w:rFonts w:hint="default"/>
          <w:b w:val="0"/>
        </w:rPr>
      </w:lvl>
    </w:lvlOverride>
    <w:lvlOverride w:ilvl="3">
      <w:startOverride w:val="1"/>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startOverride w:val="1"/>
      <w:lvl w:ilvl="4">
        <w:start w:val="1"/>
        <w:numFmt w:val="lowerRoman"/>
        <w:pStyle w:val="Para5"/>
        <w:lvlText w:val="(%5)"/>
        <w:lvlJc w:val="left"/>
        <w:pPr>
          <w:tabs>
            <w:tab w:val="num" w:pos="3544"/>
          </w:tabs>
          <w:ind w:left="3544" w:hanging="709"/>
        </w:pPr>
        <w:rPr>
          <w:rFonts w:hint="default"/>
        </w:rPr>
      </w:lvl>
    </w:lvlOverride>
    <w:lvlOverride w:ilvl="5">
      <w:startOverride w:val="1"/>
      <w:lvl w:ilvl="5">
        <w:start w:val="1"/>
        <w:numFmt w:val="none"/>
        <w:lvlText w:val=""/>
        <w:lvlJc w:val="left"/>
        <w:pPr>
          <w:tabs>
            <w:tab w:val="num" w:pos="0"/>
          </w:tabs>
          <w:ind w:left="0" w:firstLine="0"/>
        </w:pPr>
        <w:rPr>
          <w:rFonts w:hint="default"/>
        </w:rPr>
      </w:lvl>
    </w:lvlOverride>
    <w:lvlOverride w:ilvl="6">
      <w:startOverride w:val="1"/>
      <w:lvl w:ilvl="6">
        <w:start w:val="1"/>
        <w:numFmt w:val="none"/>
        <w:lvlText w:val=""/>
        <w:lvlJc w:val="left"/>
        <w:pPr>
          <w:tabs>
            <w:tab w:val="num" w:pos="0"/>
          </w:tabs>
          <w:ind w:left="0" w:firstLine="0"/>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0"/>
          </w:tabs>
          <w:ind w:left="0" w:firstLine="0"/>
        </w:pPr>
        <w:rPr>
          <w:rFonts w:hint="default"/>
        </w:rPr>
      </w:lvl>
    </w:lvlOverride>
  </w:num>
  <w:num w:numId="100">
    <w:abstractNumId w:val="41"/>
  </w:num>
  <w:num w:numId="101">
    <w:abstractNumId w:val="41"/>
  </w:num>
  <w:num w:numId="102">
    <w:abstractNumId w:val="41"/>
    <w:lvlOverride w:ilvl="0">
      <w:startOverride w:val="1"/>
      <w:lvl w:ilvl="0">
        <w:start w:val="1"/>
        <w:numFmt w:val="decimal"/>
        <w:pStyle w:val="Para1"/>
        <w:lvlText w:val="%1."/>
        <w:lvlJc w:val="left"/>
        <w:pPr>
          <w:tabs>
            <w:tab w:val="num" w:pos="709"/>
          </w:tabs>
          <w:ind w:left="709" w:hanging="709"/>
        </w:pPr>
        <w:rPr>
          <w:rFonts w:hint="default"/>
          <w:b/>
        </w:rPr>
      </w:lvl>
    </w:lvlOverride>
    <w:lvlOverride w:ilvl="1">
      <w:startOverride w:val="1"/>
      <w:lvl w:ilvl="1">
        <w:start w:val="1"/>
        <w:numFmt w:val="decimal"/>
        <w:pStyle w:val="Para2"/>
        <w:lvlText w:val="%1.%2"/>
        <w:lvlJc w:val="left"/>
        <w:pPr>
          <w:tabs>
            <w:tab w:val="num" w:pos="1418"/>
          </w:tabs>
          <w:ind w:left="1418" w:hanging="709"/>
        </w:pPr>
        <w:rPr>
          <w:rFonts w:hint="default"/>
          <w:b w:val="0"/>
        </w:rPr>
      </w:lvl>
    </w:lvlOverride>
    <w:lvlOverride w:ilvl="2">
      <w:startOverride w:val="1"/>
      <w:lvl w:ilvl="2">
        <w:start w:val="1"/>
        <w:numFmt w:val="decimal"/>
        <w:pStyle w:val="Para3"/>
        <w:lvlText w:val="%1.%2.%3"/>
        <w:lvlJc w:val="left"/>
        <w:pPr>
          <w:tabs>
            <w:tab w:val="num" w:pos="2126"/>
          </w:tabs>
          <w:ind w:left="2126" w:hanging="708"/>
        </w:pPr>
        <w:rPr>
          <w:rFonts w:hint="default"/>
          <w:b w:val="0"/>
        </w:rPr>
      </w:lvl>
    </w:lvlOverride>
    <w:lvlOverride w:ilvl="3">
      <w:startOverride w:val="1"/>
      <w:lvl w:ilvl="3">
        <w:start w:val="1"/>
        <w:numFmt w:val="lowerLetter"/>
        <w:pStyle w:val="Para4"/>
        <w:lvlText w:val="(%4)"/>
        <w:lvlJc w:val="left"/>
        <w:pPr>
          <w:tabs>
            <w:tab w:val="num" w:pos="2835"/>
          </w:tabs>
          <w:ind w:left="2835"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startOverride w:val="1"/>
      <w:lvl w:ilvl="4">
        <w:start w:val="1"/>
        <w:numFmt w:val="lowerRoman"/>
        <w:pStyle w:val="Para5"/>
        <w:lvlText w:val="(%5)"/>
        <w:lvlJc w:val="left"/>
        <w:pPr>
          <w:tabs>
            <w:tab w:val="num" w:pos="3544"/>
          </w:tabs>
          <w:ind w:left="3544" w:hanging="709"/>
        </w:pPr>
        <w:rPr>
          <w:rFonts w:hint="default"/>
        </w:rPr>
      </w:lvl>
    </w:lvlOverride>
    <w:lvlOverride w:ilvl="5">
      <w:startOverride w:val="1"/>
      <w:lvl w:ilvl="5">
        <w:start w:val="1"/>
        <w:numFmt w:val="none"/>
        <w:lvlText w:val=""/>
        <w:lvlJc w:val="left"/>
        <w:pPr>
          <w:tabs>
            <w:tab w:val="num" w:pos="0"/>
          </w:tabs>
          <w:ind w:left="0" w:firstLine="0"/>
        </w:pPr>
        <w:rPr>
          <w:rFonts w:hint="default"/>
        </w:rPr>
      </w:lvl>
    </w:lvlOverride>
    <w:lvlOverride w:ilvl="6">
      <w:startOverride w:val="1"/>
      <w:lvl w:ilvl="6">
        <w:start w:val="1"/>
        <w:numFmt w:val="none"/>
        <w:lvlText w:val=""/>
        <w:lvlJc w:val="left"/>
        <w:pPr>
          <w:tabs>
            <w:tab w:val="num" w:pos="0"/>
          </w:tabs>
          <w:ind w:left="0" w:firstLine="0"/>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0"/>
          </w:tabs>
          <w:ind w:left="0" w:firstLine="0"/>
        </w:pPr>
        <w:rPr>
          <w:rFonts w:hint="default"/>
        </w:rPr>
      </w:lvl>
    </w:lvlOverride>
  </w:num>
  <w:num w:numId="103">
    <w:abstractNumId w:val="41"/>
  </w:num>
  <w:num w:numId="104">
    <w:abstractNumId w:val="41"/>
    <w:lvlOverride w:ilvl="0">
      <w:startOverride w:val="1"/>
      <w:lvl w:ilvl="0">
        <w:start w:val="1"/>
        <w:numFmt w:val="decimal"/>
        <w:pStyle w:val="Para1"/>
        <w:lvlText w:val="%1."/>
        <w:lvlJc w:val="left"/>
        <w:pPr>
          <w:tabs>
            <w:tab w:val="num" w:pos="709"/>
          </w:tabs>
          <w:ind w:left="709" w:hanging="709"/>
        </w:pPr>
        <w:rPr>
          <w:rFonts w:hint="default"/>
        </w:rPr>
      </w:lvl>
    </w:lvlOverride>
    <w:lvlOverride w:ilvl="1">
      <w:startOverride w:val="1"/>
      <w:lvl w:ilvl="1">
        <w:start w:val="1"/>
        <w:numFmt w:val="decimal"/>
        <w:pStyle w:val="Para2"/>
        <w:lvlText w:val="%1.%2"/>
        <w:lvlJc w:val="left"/>
        <w:pPr>
          <w:tabs>
            <w:tab w:val="num" w:pos="1418"/>
          </w:tabs>
          <w:ind w:left="1418" w:hanging="709"/>
        </w:pPr>
        <w:rPr>
          <w:rFonts w:hint="default"/>
          <w:b w:val="0"/>
        </w:rPr>
      </w:lvl>
    </w:lvlOverride>
    <w:lvlOverride w:ilvl="2">
      <w:startOverride w:val="1"/>
      <w:lvl w:ilvl="2">
        <w:start w:val="1"/>
        <w:numFmt w:val="decimal"/>
        <w:pStyle w:val="Para3"/>
        <w:lvlText w:val="%1.%2.%3"/>
        <w:lvlJc w:val="left"/>
        <w:pPr>
          <w:tabs>
            <w:tab w:val="num" w:pos="2126"/>
          </w:tabs>
          <w:ind w:left="2126" w:hanging="708"/>
        </w:pPr>
        <w:rPr>
          <w:rFonts w:hint="default"/>
        </w:rPr>
      </w:lvl>
    </w:lvlOverride>
    <w:lvlOverride w:ilvl="3">
      <w:startOverride w:val="1"/>
      <w:lvl w:ilvl="3">
        <w:start w:val="1"/>
        <w:numFmt w:val="lowerLetter"/>
        <w:pStyle w:val="Para4"/>
        <w:lvlText w:val="(%4)"/>
        <w:lvlJc w:val="left"/>
        <w:pPr>
          <w:tabs>
            <w:tab w:val="num" w:pos="2835"/>
          </w:tabs>
          <w:ind w:left="2835" w:hanging="709"/>
        </w:pPr>
        <w:rPr>
          <w:rFonts w:hint="default"/>
        </w:rPr>
      </w:lvl>
    </w:lvlOverride>
    <w:lvlOverride w:ilvl="4">
      <w:startOverride w:val="1"/>
      <w:lvl w:ilvl="4">
        <w:start w:val="1"/>
        <w:numFmt w:val="lowerRoman"/>
        <w:pStyle w:val="Para5"/>
        <w:lvlText w:val="(%5)"/>
        <w:lvlJc w:val="left"/>
        <w:pPr>
          <w:tabs>
            <w:tab w:val="num" w:pos="3544"/>
          </w:tabs>
          <w:ind w:left="3544" w:hanging="709"/>
        </w:pPr>
        <w:rPr>
          <w:rFonts w:hint="default"/>
        </w:rPr>
      </w:lvl>
    </w:lvlOverride>
    <w:lvlOverride w:ilvl="5">
      <w:startOverride w:val="1"/>
      <w:lvl w:ilvl="5">
        <w:start w:val="1"/>
        <w:numFmt w:val="none"/>
        <w:lvlText w:val=""/>
        <w:lvlJc w:val="left"/>
        <w:pPr>
          <w:tabs>
            <w:tab w:val="num" w:pos="0"/>
          </w:tabs>
          <w:ind w:left="0" w:firstLine="0"/>
        </w:pPr>
        <w:rPr>
          <w:rFonts w:hint="default"/>
        </w:rPr>
      </w:lvl>
    </w:lvlOverride>
    <w:lvlOverride w:ilvl="6">
      <w:startOverride w:val="1"/>
      <w:lvl w:ilvl="6">
        <w:start w:val="1"/>
        <w:numFmt w:val="none"/>
        <w:lvlText w:val=""/>
        <w:lvlJc w:val="left"/>
        <w:pPr>
          <w:tabs>
            <w:tab w:val="num" w:pos="0"/>
          </w:tabs>
          <w:ind w:left="0" w:firstLine="0"/>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0"/>
          </w:tabs>
          <w:ind w:left="0" w:firstLine="0"/>
        </w:pPr>
        <w:rPr>
          <w:rFonts w:hint="default"/>
        </w:rPr>
      </w:lvl>
    </w:lvlOverride>
  </w:num>
  <w:num w:numId="105">
    <w:abstractNumId w:val="21"/>
  </w:num>
  <w:num w:numId="106">
    <w:abstractNumId w:val="42"/>
  </w:num>
  <w:num w:numId="10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
  </w:num>
  <w:num w:numId="1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1"/>
    <w:lvlOverride w:ilvl="0">
      <w:startOverride w:val="1"/>
      <w:lvl w:ilvl="0">
        <w:start w:val="1"/>
        <w:numFmt w:val="decimal"/>
        <w:pStyle w:val="Para1"/>
        <w:lvlText w:val="%1."/>
        <w:lvlJc w:val="left"/>
        <w:pPr>
          <w:tabs>
            <w:tab w:val="num" w:pos="709"/>
          </w:tabs>
          <w:ind w:left="709" w:hanging="709"/>
        </w:pPr>
        <w:rPr>
          <w:rFonts w:hint="default"/>
        </w:rPr>
      </w:lvl>
    </w:lvlOverride>
    <w:lvlOverride w:ilvl="1">
      <w:startOverride w:val="1"/>
      <w:lvl w:ilvl="1">
        <w:start w:val="1"/>
        <w:numFmt w:val="decimal"/>
        <w:pStyle w:val="Para2"/>
        <w:lvlText w:val="%1.%2"/>
        <w:lvlJc w:val="left"/>
        <w:pPr>
          <w:tabs>
            <w:tab w:val="num" w:pos="1418"/>
          </w:tabs>
          <w:ind w:left="1418" w:hanging="709"/>
        </w:pPr>
      </w:lvl>
    </w:lvlOverride>
    <w:lvlOverride w:ilvl="2">
      <w:startOverride w:val="1"/>
      <w:lvl w:ilvl="2">
        <w:start w:val="1"/>
        <w:numFmt w:val="decimal"/>
        <w:pStyle w:val="Para3"/>
        <w:lvlText w:val="%1.%2.%3"/>
        <w:lvlJc w:val="left"/>
        <w:pPr>
          <w:tabs>
            <w:tab w:val="num" w:pos="2126"/>
          </w:tabs>
          <w:ind w:left="2126" w:hanging="708"/>
        </w:pPr>
        <w:rPr>
          <w:rFonts w:hint="default"/>
        </w:rPr>
      </w:lvl>
    </w:lvlOverride>
    <w:lvlOverride w:ilvl="3">
      <w:startOverride w:val="1"/>
      <w:lvl w:ilvl="3">
        <w:start w:val="1"/>
        <w:numFmt w:val="lowerLetter"/>
        <w:pStyle w:val="Para4"/>
        <w:lvlText w:val="(%4)"/>
        <w:lvlJc w:val="left"/>
        <w:pPr>
          <w:tabs>
            <w:tab w:val="num" w:pos="2835"/>
          </w:tabs>
          <w:ind w:left="2835" w:hanging="709"/>
        </w:pPr>
        <w:rPr>
          <w:rFonts w:hint="default"/>
        </w:rPr>
      </w:lvl>
    </w:lvlOverride>
    <w:lvlOverride w:ilvl="4">
      <w:startOverride w:val="1"/>
      <w:lvl w:ilvl="4">
        <w:start w:val="1"/>
        <w:numFmt w:val="lowerRoman"/>
        <w:pStyle w:val="Para5"/>
        <w:lvlText w:val="(%5)"/>
        <w:lvlJc w:val="left"/>
        <w:pPr>
          <w:tabs>
            <w:tab w:val="num" w:pos="3544"/>
          </w:tabs>
          <w:ind w:left="3544" w:hanging="709"/>
        </w:pPr>
        <w:rPr>
          <w:rFonts w:hint="default"/>
        </w:rPr>
      </w:lvl>
    </w:lvlOverride>
    <w:lvlOverride w:ilvl="5">
      <w:startOverride w:val="1"/>
      <w:lvl w:ilvl="5">
        <w:start w:val="1"/>
        <w:numFmt w:val="none"/>
        <w:lvlText w:val=""/>
        <w:lvlJc w:val="left"/>
        <w:pPr>
          <w:tabs>
            <w:tab w:val="num" w:pos="0"/>
          </w:tabs>
          <w:ind w:left="0" w:firstLine="0"/>
        </w:pPr>
        <w:rPr>
          <w:rFonts w:hint="default"/>
        </w:rPr>
      </w:lvl>
    </w:lvlOverride>
    <w:lvlOverride w:ilvl="6">
      <w:startOverride w:val="1"/>
      <w:lvl w:ilvl="6">
        <w:start w:val="1"/>
        <w:numFmt w:val="none"/>
        <w:lvlText w:val=""/>
        <w:lvlJc w:val="left"/>
        <w:pPr>
          <w:tabs>
            <w:tab w:val="num" w:pos="0"/>
          </w:tabs>
          <w:ind w:left="0" w:firstLine="0"/>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0"/>
          </w:tabs>
          <w:ind w:left="0" w:firstLine="0"/>
        </w:pPr>
        <w:rPr>
          <w:rFonts w:hint="default"/>
        </w:rPr>
      </w:lvl>
    </w:lvlOverride>
  </w:num>
  <w:num w:numId="112">
    <w:abstractNumId w:val="41"/>
    <w:lvlOverride w:ilvl="0">
      <w:lvl w:ilvl="0">
        <w:start w:val="1"/>
        <w:numFmt w:val="decimal"/>
        <w:pStyle w:val="Para1"/>
        <w:lvlText w:val="%1."/>
        <w:lvlJc w:val="left"/>
        <w:pPr>
          <w:tabs>
            <w:tab w:val="num" w:pos="709"/>
          </w:tabs>
          <w:ind w:left="709" w:hanging="709"/>
        </w:pPr>
        <w:rPr>
          <w:rFonts w:hint="default"/>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pStyle w:val="Para3"/>
        <w:lvlText w:val="%1.%2.%3"/>
        <w:lvlJc w:val="left"/>
        <w:pPr>
          <w:tabs>
            <w:tab w:val="num" w:pos="2126"/>
          </w:tabs>
          <w:ind w:left="2126" w:hanging="708"/>
        </w:pPr>
        <w:rPr>
          <w:rFonts w:hint="default"/>
        </w:rPr>
      </w:lvl>
    </w:lvlOverride>
    <w:lvlOverride w:ilvl="3">
      <w:lvl w:ilvl="3">
        <w:start w:val="1"/>
        <w:numFmt w:val="lowerLetter"/>
        <w:pStyle w:val="Para4"/>
        <w:lvlText w:val="(%4)"/>
        <w:lvlJc w:val="left"/>
        <w:pPr>
          <w:tabs>
            <w:tab w:val="num" w:pos="2835"/>
          </w:tabs>
          <w:ind w:left="2835"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13">
    <w:abstractNumId w:val="41"/>
    <w:lvlOverride w:ilvl="0">
      <w:lvl w:ilvl="0">
        <w:start w:val="1"/>
        <w:numFmt w:val="decimal"/>
        <w:pStyle w:val="Para1"/>
        <w:lvlText w:val="%1."/>
        <w:lvlJc w:val="left"/>
        <w:pPr>
          <w:tabs>
            <w:tab w:val="num" w:pos="709"/>
          </w:tabs>
          <w:ind w:left="709" w:hanging="709"/>
        </w:pPr>
        <w:rPr>
          <w:rFonts w:hint="default"/>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pStyle w:val="Para3"/>
        <w:lvlText w:val="%1.%2.%3"/>
        <w:lvlJc w:val="left"/>
        <w:pPr>
          <w:tabs>
            <w:tab w:val="num" w:pos="2126"/>
          </w:tabs>
          <w:ind w:left="2126" w:hanging="708"/>
        </w:pPr>
        <w:rPr>
          <w:rFonts w:hint="default"/>
        </w:rPr>
      </w:lvl>
    </w:lvlOverride>
    <w:lvlOverride w:ilvl="3">
      <w:lvl w:ilvl="3">
        <w:start w:val="1"/>
        <w:numFmt w:val="lowerLetter"/>
        <w:pStyle w:val="Para4"/>
        <w:lvlText w:val="(%4)"/>
        <w:lvlJc w:val="left"/>
        <w:pPr>
          <w:tabs>
            <w:tab w:val="num" w:pos="2835"/>
          </w:tabs>
          <w:ind w:left="2835"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6804"/>
  <w:defaultTabStop w:val="709"/>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docVars>
    <w:docVar w:name="LastSavedAs" w:val="1498750.1"/>
  </w:docVars>
  <w:rsids>
    <w:rsidRoot w:val="00BD1DF0"/>
    <w:rsid w:val="00005DD5"/>
    <w:rsid w:val="00005F74"/>
    <w:rsid w:val="00010C0D"/>
    <w:rsid w:val="0002733A"/>
    <w:rsid w:val="00055966"/>
    <w:rsid w:val="00091DB2"/>
    <w:rsid w:val="00091DF1"/>
    <w:rsid w:val="000924A0"/>
    <w:rsid w:val="000967EC"/>
    <w:rsid w:val="000B5269"/>
    <w:rsid w:val="000C1EEC"/>
    <w:rsid w:val="000D1E77"/>
    <w:rsid w:val="000D248D"/>
    <w:rsid w:val="000D251F"/>
    <w:rsid w:val="000D2FC0"/>
    <w:rsid w:val="000E1B1D"/>
    <w:rsid w:val="000E73CA"/>
    <w:rsid w:val="000F0E21"/>
    <w:rsid w:val="000F3FE1"/>
    <w:rsid w:val="001014D3"/>
    <w:rsid w:val="00104420"/>
    <w:rsid w:val="00107623"/>
    <w:rsid w:val="00112926"/>
    <w:rsid w:val="0012289F"/>
    <w:rsid w:val="0013170E"/>
    <w:rsid w:val="00136FCB"/>
    <w:rsid w:val="0013797E"/>
    <w:rsid w:val="0014623A"/>
    <w:rsid w:val="00151055"/>
    <w:rsid w:val="001560E5"/>
    <w:rsid w:val="00156537"/>
    <w:rsid w:val="0016589C"/>
    <w:rsid w:val="00165E87"/>
    <w:rsid w:val="00173742"/>
    <w:rsid w:val="00174569"/>
    <w:rsid w:val="00181F5D"/>
    <w:rsid w:val="00184541"/>
    <w:rsid w:val="001915B2"/>
    <w:rsid w:val="001932B0"/>
    <w:rsid w:val="00194352"/>
    <w:rsid w:val="001954DA"/>
    <w:rsid w:val="00196BDA"/>
    <w:rsid w:val="001A0347"/>
    <w:rsid w:val="001B1EF4"/>
    <w:rsid w:val="001B3D75"/>
    <w:rsid w:val="001C2065"/>
    <w:rsid w:val="001C2273"/>
    <w:rsid w:val="001D096C"/>
    <w:rsid w:val="001D6358"/>
    <w:rsid w:val="001D6858"/>
    <w:rsid w:val="001D68B8"/>
    <w:rsid w:val="001E519D"/>
    <w:rsid w:val="001F2D55"/>
    <w:rsid w:val="0021025E"/>
    <w:rsid w:val="00212D53"/>
    <w:rsid w:val="0021462A"/>
    <w:rsid w:val="0022074A"/>
    <w:rsid w:val="00236256"/>
    <w:rsid w:val="00240C44"/>
    <w:rsid w:val="00241F0D"/>
    <w:rsid w:val="0024781F"/>
    <w:rsid w:val="00252771"/>
    <w:rsid w:val="00256665"/>
    <w:rsid w:val="00272AB2"/>
    <w:rsid w:val="00284778"/>
    <w:rsid w:val="00293EE7"/>
    <w:rsid w:val="00295EA9"/>
    <w:rsid w:val="002A69CA"/>
    <w:rsid w:val="002B0051"/>
    <w:rsid w:val="002B207C"/>
    <w:rsid w:val="002B75A3"/>
    <w:rsid w:val="002C1315"/>
    <w:rsid w:val="002C29F9"/>
    <w:rsid w:val="002D1BCB"/>
    <w:rsid w:val="002D2B9D"/>
    <w:rsid w:val="002E03FF"/>
    <w:rsid w:val="002E7642"/>
    <w:rsid w:val="002F1C66"/>
    <w:rsid w:val="002F38F4"/>
    <w:rsid w:val="002F606A"/>
    <w:rsid w:val="002F738A"/>
    <w:rsid w:val="0031217A"/>
    <w:rsid w:val="00314826"/>
    <w:rsid w:val="00317453"/>
    <w:rsid w:val="00321721"/>
    <w:rsid w:val="003307C9"/>
    <w:rsid w:val="003506C1"/>
    <w:rsid w:val="00354B7B"/>
    <w:rsid w:val="00360727"/>
    <w:rsid w:val="00387F92"/>
    <w:rsid w:val="003A6FBF"/>
    <w:rsid w:val="003B259E"/>
    <w:rsid w:val="003B498B"/>
    <w:rsid w:val="003D16D8"/>
    <w:rsid w:val="003D6204"/>
    <w:rsid w:val="003D6C1D"/>
    <w:rsid w:val="003E2469"/>
    <w:rsid w:val="003E4D5E"/>
    <w:rsid w:val="003F39A6"/>
    <w:rsid w:val="003F4377"/>
    <w:rsid w:val="003F59CD"/>
    <w:rsid w:val="00400473"/>
    <w:rsid w:val="00400817"/>
    <w:rsid w:val="004018A8"/>
    <w:rsid w:val="00401C5B"/>
    <w:rsid w:val="00404866"/>
    <w:rsid w:val="004127A9"/>
    <w:rsid w:val="00413FDF"/>
    <w:rsid w:val="00421180"/>
    <w:rsid w:val="004308B5"/>
    <w:rsid w:val="00430F6E"/>
    <w:rsid w:val="004310E7"/>
    <w:rsid w:val="004347FC"/>
    <w:rsid w:val="0043787E"/>
    <w:rsid w:val="00441176"/>
    <w:rsid w:val="00446F24"/>
    <w:rsid w:val="0045580D"/>
    <w:rsid w:val="004622D8"/>
    <w:rsid w:val="00462906"/>
    <w:rsid w:val="00462BBB"/>
    <w:rsid w:val="004772C5"/>
    <w:rsid w:val="0048622D"/>
    <w:rsid w:val="00486745"/>
    <w:rsid w:val="004874D0"/>
    <w:rsid w:val="004A3C7F"/>
    <w:rsid w:val="004B3E19"/>
    <w:rsid w:val="004B492D"/>
    <w:rsid w:val="004B6C9C"/>
    <w:rsid w:val="004C1A1F"/>
    <w:rsid w:val="004C2083"/>
    <w:rsid w:val="004C5DD3"/>
    <w:rsid w:val="004D2146"/>
    <w:rsid w:val="004D6232"/>
    <w:rsid w:val="004E0D60"/>
    <w:rsid w:val="004E0DEB"/>
    <w:rsid w:val="004E43C3"/>
    <w:rsid w:val="004E63B4"/>
    <w:rsid w:val="004E692A"/>
    <w:rsid w:val="004E6FB5"/>
    <w:rsid w:val="004E7C36"/>
    <w:rsid w:val="004F178D"/>
    <w:rsid w:val="005069F3"/>
    <w:rsid w:val="00514321"/>
    <w:rsid w:val="00514EA1"/>
    <w:rsid w:val="005154FF"/>
    <w:rsid w:val="005272DE"/>
    <w:rsid w:val="00527E6B"/>
    <w:rsid w:val="00531B43"/>
    <w:rsid w:val="00540B49"/>
    <w:rsid w:val="005433D3"/>
    <w:rsid w:val="00554B2B"/>
    <w:rsid w:val="00556F82"/>
    <w:rsid w:val="00564348"/>
    <w:rsid w:val="00564DFA"/>
    <w:rsid w:val="00564FA2"/>
    <w:rsid w:val="00574800"/>
    <w:rsid w:val="00575966"/>
    <w:rsid w:val="00582124"/>
    <w:rsid w:val="00586D5B"/>
    <w:rsid w:val="00597939"/>
    <w:rsid w:val="005A6271"/>
    <w:rsid w:val="005A67FA"/>
    <w:rsid w:val="005B1CA3"/>
    <w:rsid w:val="005C0073"/>
    <w:rsid w:val="005C18CB"/>
    <w:rsid w:val="005C2D00"/>
    <w:rsid w:val="005C5613"/>
    <w:rsid w:val="005E6A39"/>
    <w:rsid w:val="005F5306"/>
    <w:rsid w:val="00602613"/>
    <w:rsid w:val="0060355C"/>
    <w:rsid w:val="00603D3D"/>
    <w:rsid w:val="00604745"/>
    <w:rsid w:val="00616D96"/>
    <w:rsid w:val="006256E3"/>
    <w:rsid w:val="006267BD"/>
    <w:rsid w:val="0064028F"/>
    <w:rsid w:val="006404AE"/>
    <w:rsid w:val="00641432"/>
    <w:rsid w:val="006468E8"/>
    <w:rsid w:val="00653435"/>
    <w:rsid w:val="006652C9"/>
    <w:rsid w:val="00671155"/>
    <w:rsid w:val="00673FB8"/>
    <w:rsid w:val="00674C0A"/>
    <w:rsid w:val="0068070A"/>
    <w:rsid w:val="006917C3"/>
    <w:rsid w:val="00692659"/>
    <w:rsid w:val="00692B0E"/>
    <w:rsid w:val="006961AF"/>
    <w:rsid w:val="006A01F9"/>
    <w:rsid w:val="006A21DF"/>
    <w:rsid w:val="006A789A"/>
    <w:rsid w:val="006B22D6"/>
    <w:rsid w:val="006B3E1C"/>
    <w:rsid w:val="006C11DD"/>
    <w:rsid w:val="006D238B"/>
    <w:rsid w:val="006D3814"/>
    <w:rsid w:val="006E0628"/>
    <w:rsid w:val="006E0663"/>
    <w:rsid w:val="006F33A6"/>
    <w:rsid w:val="006F6D8C"/>
    <w:rsid w:val="00701AA9"/>
    <w:rsid w:val="00703115"/>
    <w:rsid w:val="00710F43"/>
    <w:rsid w:val="00720C7B"/>
    <w:rsid w:val="007267DA"/>
    <w:rsid w:val="00731281"/>
    <w:rsid w:val="007430E1"/>
    <w:rsid w:val="00752B46"/>
    <w:rsid w:val="007561F8"/>
    <w:rsid w:val="00762B1D"/>
    <w:rsid w:val="00770504"/>
    <w:rsid w:val="007749BC"/>
    <w:rsid w:val="00774C27"/>
    <w:rsid w:val="00775B79"/>
    <w:rsid w:val="0077614C"/>
    <w:rsid w:val="00780FDF"/>
    <w:rsid w:val="007A2E9E"/>
    <w:rsid w:val="007B5E29"/>
    <w:rsid w:val="007B5EFE"/>
    <w:rsid w:val="007D59D7"/>
    <w:rsid w:val="007D6CC4"/>
    <w:rsid w:val="007E4C98"/>
    <w:rsid w:val="007E4E4B"/>
    <w:rsid w:val="007F2960"/>
    <w:rsid w:val="007F2A3B"/>
    <w:rsid w:val="007F46AB"/>
    <w:rsid w:val="00802A69"/>
    <w:rsid w:val="0080469A"/>
    <w:rsid w:val="008079E6"/>
    <w:rsid w:val="008107BF"/>
    <w:rsid w:val="00812AD1"/>
    <w:rsid w:val="008145FD"/>
    <w:rsid w:val="00817F50"/>
    <w:rsid w:val="00826269"/>
    <w:rsid w:val="0083173C"/>
    <w:rsid w:val="00832F07"/>
    <w:rsid w:val="0083535E"/>
    <w:rsid w:val="00840111"/>
    <w:rsid w:val="00851873"/>
    <w:rsid w:val="008524C9"/>
    <w:rsid w:val="008545C4"/>
    <w:rsid w:val="008605D2"/>
    <w:rsid w:val="00867EA4"/>
    <w:rsid w:val="008700D0"/>
    <w:rsid w:val="00872EFB"/>
    <w:rsid w:val="008756C7"/>
    <w:rsid w:val="008824A5"/>
    <w:rsid w:val="00887F8B"/>
    <w:rsid w:val="00890AC0"/>
    <w:rsid w:val="008A4488"/>
    <w:rsid w:val="008A5C53"/>
    <w:rsid w:val="008C19DF"/>
    <w:rsid w:val="008D4C70"/>
    <w:rsid w:val="008D7EB9"/>
    <w:rsid w:val="008E3A70"/>
    <w:rsid w:val="008E569D"/>
    <w:rsid w:val="008F539F"/>
    <w:rsid w:val="009035AC"/>
    <w:rsid w:val="00921DF5"/>
    <w:rsid w:val="00924FD1"/>
    <w:rsid w:val="00930AAC"/>
    <w:rsid w:val="009364CE"/>
    <w:rsid w:val="009419F5"/>
    <w:rsid w:val="00942D23"/>
    <w:rsid w:val="009433F3"/>
    <w:rsid w:val="009446DB"/>
    <w:rsid w:val="0094602A"/>
    <w:rsid w:val="00951603"/>
    <w:rsid w:val="009550AB"/>
    <w:rsid w:val="00984F71"/>
    <w:rsid w:val="00993C97"/>
    <w:rsid w:val="00995F7A"/>
    <w:rsid w:val="009A3BD3"/>
    <w:rsid w:val="009B4D73"/>
    <w:rsid w:val="009C11AB"/>
    <w:rsid w:val="009C1C2A"/>
    <w:rsid w:val="009C1EAE"/>
    <w:rsid w:val="009C50FB"/>
    <w:rsid w:val="009D17EE"/>
    <w:rsid w:val="009E0614"/>
    <w:rsid w:val="009E26B8"/>
    <w:rsid w:val="009E2FF4"/>
    <w:rsid w:val="009E5128"/>
    <w:rsid w:val="009E6A7A"/>
    <w:rsid w:val="009F0C24"/>
    <w:rsid w:val="009F1F27"/>
    <w:rsid w:val="009F7B70"/>
    <w:rsid w:val="00A0227E"/>
    <w:rsid w:val="00A025AF"/>
    <w:rsid w:val="00A12F25"/>
    <w:rsid w:val="00A17E64"/>
    <w:rsid w:val="00A20D81"/>
    <w:rsid w:val="00A42894"/>
    <w:rsid w:val="00A44E67"/>
    <w:rsid w:val="00A62891"/>
    <w:rsid w:val="00A72FA3"/>
    <w:rsid w:val="00A73804"/>
    <w:rsid w:val="00A75457"/>
    <w:rsid w:val="00A755EE"/>
    <w:rsid w:val="00A8348C"/>
    <w:rsid w:val="00A908DF"/>
    <w:rsid w:val="00A92019"/>
    <w:rsid w:val="00AA744C"/>
    <w:rsid w:val="00AA75B9"/>
    <w:rsid w:val="00AB3E05"/>
    <w:rsid w:val="00AB3E89"/>
    <w:rsid w:val="00AD0694"/>
    <w:rsid w:val="00AD0EAD"/>
    <w:rsid w:val="00AD1484"/>
    <w:rsid w:val="00AD6B17"/>
    <w:rsid w:val="00AE52E5"/>
    <w:rsid w:val="00AF1DF8"/>
    <w:rsid w:val="00AF4210"/>
    <w:rsid w:val="00B0122C"/>
    <w:rsid w:val="00B02D36"/>
    <w:rsid w:val="00B0320F"/>
    <w:rsid w:val="00B13C4D"/>
    <w:rsid w:val="00B17BB1"/>
    <w:rsid w:val="00B325FB"/>
    <w:rsid w:val="00B32E70"/>
    <w:rsid w:val="00B436B1"/>
    <w:rsid w:val="00B456B5"/>
    <w:rsid w:val="00B460D8"/>
    <w:rsid w:val="00B50D29"/>
    <w:rsid w:val="00B56B42"/>
    <w:rsid w:val="00B658DC"/>
    <w:rsid w:val="00B70988"/>
    <w:rsid w:val="00B72F78"/>
    <w:rsid w:val="00B7359E"/>
    <w:rsid w:val="00B73B2E"/>
    <w:rsid w:val="00B74B8A"/>
    <w:rsid w:val="00B77EB2"/>
    <w:rsid w:val="00B84DA8"/>
    <w:rsid w:val="00B87C6B"/>
    <w:rsid w:val="00B95056"/>
    <w:rsid w:val="00B953F0"/>
    <w:rsid w:val="00BA2138"/>
    <w:rsid w:val="00BA5FE4"/>
    <w:rsid w:val="00BB12BC"/>
    <w:rsid w:val="00BB44D3"/>
    <w:rsid w:val="00BB6724"/>
    <w:rsid w:val="00BB7D2D"/>
    <w:rsid w:val="00BC0648"/>
    <w:rsid w:val="00BC2235"/>
    <w:rsid w:val="00BC5202"/>
    <w:rsid w:val="00BD0043"/>
    <w:rsid w:val="00BD1DF0"/>
    <w:rsid w:val="00BD58CB"/>
    <w:rsid w:val="00BE18FB"/>
    <w:rsid w:val="00BF0A44"/>
    <w:rsid w:val="00BF162D"/>
    <w:rsid w:val="00BF620B"/>
    <w:rsid w:val="00BF6C56"/>
    <w:rsid w:val="00C02CDB"/>
    <w:rsid w:val="00C03438"/>
    <w:rsid w:val="00C03871"/>
    <w:rsid w:val="00C1290B"/>
    <w:rsid w:val="00C17E86"/>
    <w:rsid w:val="00C268AF"/>
    <w:rsid w:val="00C26C3B"/>
    <w:rsid w:val="00C41255"/>
    <w:rsid w:val="00C43AD8"/>
    <w:rsid w:val="00C47ABB"/>
    <w:rsid w:val="00C5284E"/>
    <w:rsid w:val="00C560CD"/>
    <w:rsid w:val="00C563B2"/>
    <w:rsid w:val="00C67AA5"/>
    <w:rsid w:val="00C7128F"/>
    <w:rsid w:val="00C7214C"/>
    <w:rsid w:val="00C76C61"/>
    <w:rsid w:val="00C777CB"/>
    <w:rsid w:val="00C8724B"/>
    <w:rsid w:val="00CA5A20"/>
    <w:rsid w:val="00CB2524"/>
    <w:rsid w:val="00CB3B28"/>
    <w:rsid w:val="00CC066B"/>
    <w:rsid w:val="00CC0F22"/>
    <w:rsid w:val="00CC3DBC"/>
    <w:rsid w:val="00CD2B0D"/>
    <w:rsid w:val="00CD50D9"/>
    <w:rsid w:val="00CD614C"/>
    <w:rsid w:val="00CE7CB6"/>
    <w:rsid w:val="00CF4792"/>
    <w:rsid w:val="00CF7718"/>
    <w:rsid w:val="00D056C3"/>
    <w:rsid w:val="00D10DDC"/>
    <w:rsid w:val="00D2022C"/>
    <w:rsid w:val="00D20E7B"/>
    <w:rsid w:val="00D2465E"/>
    <w:rsid w:val="00D25DC6"/>
    <w:rsid w:val="00D313CC"/>
    <w:rsid w:val="00D35193"/>
    <w:rsid w:val="00D353C3"/>
    <w:rsid w:val="00D35FF1"/>
    <w:rsid w:val="00D42BDA"/>
    <w:rsid w:val="00D46177"/>
    <w:rsid w:val="00D50503"/>
    <w:rsid w:val="00D53361"/>
    <w:rsid w:val="00D555FC"/>
    <w:rsid w:val="00D60234"/>
    <w:rsid w:val="00D67E57"/>
    <w:rsid w:val="00D75704"/>
    <w:rsid w:val="00D75AC0"/>
    <w:rsid w:val="00D85825"/>
    <w:rsid w:val="00D97C58"/>
    <w:rsid w:val="00DA21EA"/>
    <w:rsid w:val="00DC2B03"/>
    <w:rsid w:val="00DC5F2D"/>
    <w:rsid w:val="00DC61EB"/>
    <w:rsid w:val="00DF1DC3"/>
    <w:rsid w:val="00DF305F"/>
    <w:rsid w:val="00DF3EF7"/>
    <w:rsid w:val="00DF6CEC"/>
    <w:rsid w:val="00E035FB"/>
    <w:rsid w:val="00E06BAB"/>
    <w:rsid w:val="00E142F3"/>
    <w:rsid w:val="00E16BF1"/>
    <w:rsid w:val="00E16CAF"/>
    <w:rsid w:val="00E22675"/>
    <w:rsid w:val="00E2393F"/>
    <w:rsid w:val="00E34C09"/>
    <w:rsid w:val="00E35DA5"/>
    <w:rsid w:val="00E37818"/>
    <w:rsid w:val="00E40A4E"/>
    <w:rsid w:val="00E41280"/>
    <w:rsid w:val="00E457E4"/>
    <w:rsid w:val="00E54DEB"/>
    <w:rsid w:val="00E63AA4"/>
    <w:rsid w:val="00E6601E"/>
    <w:rsid w:val="00E67016"/>
    <w:rsid w:val="00E72E3D"/>
    <w:rsid w:val="00E73260"/>
    <w:rsid w:val="00E75093"/>
    <w:rsid w:val="00E76D6C"/>
    <w:rsid w:val="00E82115"/>
    <w:rsid w:val="00E83B4C"/>
    <w:rsid w:val="00E84BF5"/>
    <w:rsid w:val="00E91026"/>
    <w:rsid w:val="00E91560"/>
    <w:rsid w:val="00E97AB0"/>
    <w:rsid w:val="00EA174D"/>
    <w:rsid w:val="00EA1A60"/>
    <w:rsid w:val="00EB0FEC"/>
    <w:rsid w:val="00EB32FC"/>
    <w:rsid w:val="00EB3739"/>
    <w:rsid w:val="00EB3A28"/>
    <w:rsid w:val="00EC63FD"/>
    <w:rsid w:val="00EC752E"/>
    <w:rsid w:val="00ED215D"/>
    <w:rsid w:val="00ED676F"/>
    <w:rsid w:val="00EE06BD"/>
    <w:rsid w:val="00EE6104"/>
    <w:rsid w:val="00EF14A3"/>
    <w:rsid w:val="00F05FD0"/>
    <w:rsid w:val="00F1255F"/>
    <w:rsid w:val="00F12B99"/>
    <w:rsid w:val="00F1325B"/>
    <w:rsid w:val="00F153F9"/>
    <w:rsid w:val="00F1758D"/>
    <w:rsid w:val="00F26DE8"/>
    <w:rsid w:val="00F2760B"/>
    <w:rsid w:val="00F371DE"/>
    <w:rsid w:val="00F43FC7"/>
    <w:rsid w:val="00F4414C"/>
    <w:rsid w:val="00F53D73"/>
    <w:rsid w:val="00F554FB"/>
    <w:rsid w:val="00F557F6"/>
    <w:rsid w:val="00F717B8"/>
    <w:rsid w:val="00F73550"/>
    <w:rsid w:val="00F80B8A"/>
    <w:rsid w:val="00F8207E"/>
    <w:rsid w:val="00F8414C"/>
    <w:rsid w:val="00F8547D"/>
    <w:rsid w:val="00F8604D"/>
    <w:rsid w:val="00F86A18"/>
    <w:rsid w:val="00F8767E"/>
    <w:rsid w:val="00FA286A"/>
    <w:rsid w:val="00FB238F"/>
    <w:rsid w:val="00FC3CCB"/>
    <w:rsid w:val="00FC4268"/>
    <w:rsid w:val="00FC4B9E"/>
    <w:rsid w:val="00FC7918"/>
    <w:rsid w:val="00FE1768"/>
    <w:rsid w:val="00FE1D7F"/>
    <w:rsid w:val="00FE526D"/>
    <w:rsid w:val="00FE7C62"/>
    <w:rsid w:val="00FF6FD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header" w:uiPriority="99"/>
    <w:lsdException w:name="footer" w:uiPriority="99"/>
    <w:lsdException w:name="index heading" w:semiHidden="1"/>
    <w:lsdException w:name="caption" w:semiHidden="1" w:qFormat="1"/>
    <w:lsdException w:name="table of figures"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Default Paragraph Font" w:uiPriority="1"/>
    <w:lsdException w:name="Body Text" w:qFormat="1"/>
    <w:lsdException w:name="Body Text Indent" w:qFormat="1"/>
    <w:lsdException w:name="Subtitle" w:qFormat="1"/>
    <w:lsdException w:name="Hyperlink" w:uiPriority="99"/>
    <w:lsdException w:name="Strong" w:qFormat="1"/>
    <w:lsdException w:name="Emphasis" w:qFormat="1"/>
    <w:lsdException w:name="Document Map" w:semiHidden="1"/>
    <w:lsdException w:name="Plain Text" w:uiPriority="99"/>
    <w:lsdException w:name="No List"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semiHidden/>
    <w:rsid w:val="006B22D6"/>
    <w:rPr>
      <w:rFonts w:ascii="Calibri" w:hAnsi="Calibri"/>
      <w:sz w:val="24"/>
      <w:lang w:eastAsia="en-GB"/>
    </w:rPr>
  </w:style>
  <w:style w:type="paragraph" w:styleId="Heading1">
    <w:name w:val="heading 1"/>
    <w:basedOn w:val="Para1"/>
    <w:next w:val="BodyText"/>
    <w:qFormat/>
    <w:rsid w:val="006E0663"/>
    <w:pPr>
      <w:outlineLvl w:val="0"/>
    </w:pPr>
    <w:rPr>
      <w:b/>
    </w:rPr>
  </w:style>
  <w:style w:type="paragraph" w:styleId="Heading2">
    <w:name w:val="heading 2"/>
    <w:basedOn w:val="Normal"/>
    <w:next w:val="BodyText"/>
    <w:link w:val="Heading2Char"/>
    <w:qFormat/>
    <w:rsid w:val="00BA2138"/>
    <w:pPr>
      <w:keepNext/>
      <w:spacing w:after="120"/>
      <w:outlineLvl w:val="1"/>
    </w:pPr>
    <w:rPr>
      <w:b/>
    </w:rPr>
  </w:style>
  <w:style w:type="paragraph" w:styleId="Heading3">
    <w:name w:val="heading 3"/>
    <w:basedOn w:val="Normal"/>
    <w:next w:val="BodyText"/>
    <w:link w:val="Heading3Char"/>
    <w:qFormat/>
    <w:rsid w:val="00BA2138"/>
    <w:pPr>
      <w:keepNext/>
      <w:spacing w:after="120"/>
      <w:outlineLvl w:val="2"/>
    </w:pPr>
    <w:rPr>
      <w:i/>
    </w:rPr>
  </w:style>
  <w:style w:type="paragraph" w:styleId="Heading4">
    <w:name w:val="heading 4"/>
    <w:aliases w:val="1.1 Heading,Level 2 - a"/>
    <w:basedOn w:val="Normal"/>
    <w:qFormat/>
    <w:rsid w:val="00BA2138"/>
    <w:pPr>
      <w:outlineLvl w:val="3"/>
    </w:pPr>
  </w:style>
  <w:style w:type="paragraph" w:styleId="Heading5">
    <w:name w:val="heading 5"/>
    <w:aliases w:val="Level 3 - i"/>
    <w:basedOn w:val="Normal"/>
    <w:qFormat/>
    <w:rsid w:val="00BA2138"/>
    <w:pPr>
      <w:outlineLvl w:val="4"/>
    </w:pPr>
  </w:style>
  <w:style w:type="paragraph" w:styleId="Heading6">
    <w:name w:val="heading 6"/>
    <w:aliases w:val="Legal Level 1."/>
    <w:basedOn w:val="Normal"/>
    <w:qFormat/>
    <w:rsid w:val="00BA2138"/>
    <w:pPr>
      <w:outlineLvl w:val="5"/>
    </w:pPr>
  </w:style>
  <w:style w:type="paragraph" w:styleId="Heading7">
    <w:name w:val="heading 7"/>
    <w:aliases w:val="Legal Level 1.1."/>
    <w:basedOn w:val="Normal"/>
    <w:next w:val="Normal"/>
    <w:qFormat/>
    <w:rsid w:val="00BA2138"/>
    <w:pPr>
      <w:outlineLvl w:val="6"/>
    </w:pPr>
  </w:style>
  <w:style w:type="paragraph" w:styleId="Heading8">
    <w:name w:val="heading 8"/>
    <w:aliases w:val="Legal Level 1.1.1."/>
    <w:basedOn w:val="Normal"/>
    <w:next w:val="Normal"/>
    <w:qFormat/>
    <w:rsid w:val="00BA2138"/>
    <w:pPr>
      <w:outlineLvl w:val="7"/>
    </w:pPr>
  </w:style>
  <w:style w:type="paragraph" w:styleId="Heading9">
    <w:name w:val="heading 9"/>
    <w:aliases w:val="Legal Level 1.1.1.1."/>
    <w:basedOn w:val="Normal"/>
    <w:next w:val="Normal"/>
    <w:qFormat/>
    <w:rsid w:val="00BA21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F4414C"/>
    <w:pPr>
      <w:numPr>
        <w:numId w:val="1"/>
      </w:numPr>
    </w:pPr>
  </w:style>
  <w:style w:type="numbering" w:styleId="1ai">
    <w:name w:val="Outline List 1"/>
    <w:basedOn w:val="NoList"/>
    <w:semiHidden/>
    <w:rsid w:val="00F4414C"/>
    <w:pPr>
      <w:numPr>
        <w:numId w:val="2"/>
      </w:numPr>
    </w:pPr>
  </w:style>
  <w:style w:type="numbering" w:styleId="ArticleSection">
    <w:name w:val="Outline List 3"/>
    <w:basedOn w:val="NoList"/>
    <w:semiHidden/>
    <w:rsid w:val="00F4414C"/>
    <w:pPr>
      <w:numPr>
        <w:numId w:val="3"/>
      </w:numPr>
    </w:pPr>
  </w:style>
  <w:style w:type="paragraph" w:styleId="BlockText">
    <w:name w:val="Block Text"/>
    <w:basedOn w:val="Normal"/>
    <w:semiHidden/>
    <w:rsid w:val="00F4414C"/>
    <w:pPr>
      <w:spacing w:after="120"/>
      <w:ind w:left="1440" w:right="1440"/>
    </w:pPr>
  </w:style>
  <w:style w:type="paragraph" w:styleId="BodyText2">
    <w:name w:val="Body Text 2"/>
    <w:basedOn w:val="Normal"/>
    <w:semiHidden/>
    <w:rsid w:val="00F4414C"/>
    <w:pPr>
      <w:spacing w:after="120" w:line="480" w:lineRule="auto"/>
    </w:pPr>
  </w:style>
  <w:style w:type="paragraph" w:styleId="BodyText3">
    <w:name w:val="Body Text 3"/>
    <w:basedOn w:val="Normal"/>
    <w:semiHidden/>
    <w:rsid w:val="00F4414C"/>
    <w:pPr>
      <w:spacing w:after="120"/>
    </w:pPr>
    <w:rPr>
      <w:sz w:val="16"/>
      <w:szCs w:val="16"/>
    </w:rPr>
  </w:style>
  <w:style w:type="paragraph" w:styleId="BodyText">
    <w:name w:val="Body Text"/>
    <w:basedOn w:val="Normal"/>
    <w:link w:val="BodyTextChar"/>
    <w:qFormat/>
    <w:rsid w:val="00BA2138"/>
    <w:pPr>
      <w:spacing w:after="240" w:line="264" w:lineRule="atLeast"/>
    </w:pPr>
  </w:style>
  <w:style w:type="paragraph" w:styleId="BodyTextFirstIndent">
    <w:name w:val="Body Text First Indent"/>
    <w:basedOn w:val="BodyText"/>
    <w:semiHidden/>
    <w:rsid w:val="00F4414C"/>
    <w:pPr>
      <w:ind w:firstLine="210"/>
    </w:pPr>
  </w:style>
  <w:style w:type="paragraph" w:styleId="BodyTextIndent">
    <w:name w:val="Body Text Indent"/>
    <w:basedOn w:val="BodyText"/>
    <w:qFormat/>
    <w:rsid w:val="00BA2138"/>
    <w:pPr>
      <w:ind w:left="709"/>
    </w:pPr>
  </w:style>
  <w:style w:type="paragraph" w:styleId="BodyTextFirstIndent2">
    <w:name w:val="Body Text First Indent 2"/>
    <w:basedOn w:val="BodyTextIndent"/>
    <w:semiHidden/>
    <w:rsid w:val="00F4414C"/>
    <w:pPr>
      <w:ind w:firstLine="210"/>
    </w:pPr>
  </w:style>
  <w:style w:type="paragraph" w:styleId="BodyTextIndent2">
    <w:name w:val="Body Text Indent 2"/>
    <w:basedOn w:val="Normal"/>
    <w:semiHidden/>
    <w:rsid w:val="00F4414C"/>
    <w:pPr>
      <w:spacing w:after="120" w:line="480" w:lineRule="auto"/>
      <w:ind w:left="283"/>
    </w:pPr>
  </w:style>
  <w:style w:type="paragraph" w:styleId="BodyTextIndent3">
    <w:name w:val="Body Text Indent 3"/>
    <w:basedOn w:val="Normal"/>
    <w:semiHidden/>
    <w:rsid w:val="00F4414C"/>
    <w:pPr>
      <w:spacing w:after="120"/>
      <w:ind w:left="283"/>
    </w:pPr>
    <w:rPr>
      <w:sz w:val="16"/>
      <w:szCs w:val="16"/>
    </w:rPr>
  </w:style>
  <w:style w:type="paragraph" w:styleId="Closing">
    <w:name w:val="Closing"/>
    <w:basedOn w:val="Normal"/>
    <w:semiHidden/>
    <w:rsid w:val="00F4414C"/>
    <w:pPr>
      <w:ind w:left="4252"/>
    </w:pPr>
  </w:style>
  <w:style w:type="paragraph" w:styleId="Date">
    <w:name w:val="Date"/>
    <w:basedOn w:val="Normal"/>
    <w:next w:val="BodyText"/>
    <w:semiHidden/>
    <w:rsid w:val="00BA2138"/>
    <w:pPr>
      <w:spacing w:after="454"/>
    </w:pPr>
  </w:style>
  <w:style w:type="paragraph" w:styleId="E-mailSignature">
    <w:name w:val="E-mail Signature"/>
    <w:basedOn w:val="Normal"/>
    <w:semiHidden/>
    <w:rsid w:val="00F4414C"/>
  </w:style>
  <w:style w:type="character" w:styleId="Emphasis">
    <w:name w:val="Emphasis"/>
    <w:basedOn w:val="DefaultParagraphFont"/>
    <w:qFormat/>
    <w:rsid w:val="00F4414C"/>
    <w:rPr>
      <w:i/>
      <w:iCs/>
    </w:rPr>
  </w:style>
  <w:style w:type="paragraph" w:styleId="EnvelopeAddress">
    <w:name w:val="envelope address"/>
    <w:basedOn w:val="Normal"/>
    <w:semiHidden/>
    <w:rsid w:val="00BA2138"/>
    <w:pPr>
      <w:framePr w:w="7920" w:h="1980" w:hRule="exact" w:hSpace="180" w:wrap="auto" w:hAnchor="page" w:xAlign="center" w:yAlign="bottom"/>
      <w:ind w:left="2880"/>
    </w:pPr>
    <w:rPr>
      <w:rFonts w:cs="Arial"/>
    </w:rPr>
  </w:style>
  <w:style w:type="paragraph" w:styleId="EnvelopeReturn">
    <w:name w:val="envelope return"/>
    <w:basedOn w:val="Normal"/>
    <w:semiHidden/>
    <w:rsid w:val="00BA2138"/>
    <w:rPr>
      <w:rFonts w:cs="Arial"/>
      <w:color w:val="003366"/>
      <w:sz w:val="18"/>
      <w:szCs w:val="18"/>
    </w:rPr>
  </w:style>
  <w:style w:type="character" w:styleId="FollowedHyperlink">
    <w:name w:val="FollowedHyperlink"/>
    <w:basedOn w:val="DefaultParagraphFont"/>
    <w:semiHidden/>
    <w:rsid w:val="00F4414C"/>
    <w:rPr>
      <w:color w:val="800080"/>
      <w:u w:val="single"/>
    </w:rPr>
  </w:style>
  <w:style w:type="character" w:styleId="HTMLAcronym">
    <w:name w:val="HTML Acronym"/>
    <w:basedOn w:val="DefaultParagraphFont"/>
    <w:semiHidden/>
    <w:rsid w:val="00F4414C"/>
  </w:style>
  <w:style w:type="paragraph" w:styleId="HTMLAddress">
    <w:name w:val="HTML Address"/>
    <w:basedOn w:val="Normal"/>
    <w:semiHidden/>
    <w:rsid w:val="00F4414C"/>
    <w:rPr>
      <w:i/>
      <w:iCs/>
    </w:rPr>
  </w:style>
  <w:style w:type="character" w:styleId="HTMLCite">
    <w:name w:val="HTML Cite"/>
    <w:basedOn w:val="DefaultParagraphFont"/>
    <w:semiHidden/>
    <w:rsid w:val="00F4414C"/>
    <w:rPr>
      <w:i/>
      <w:iCs/>
    </w:rPr>
  </w:style>
  <w:style w:type="character" w:styleId="HTMLCode">
    <w:name w:val="HTML Code"/>
    <w:basedOn w:val="DefaultParagraphFont"/>
    <w:semiHidden/>
    <w:rsid w:val="00F4414C"/>
    <w:rPr>
      <w:rFonts w:ascii="Courier New" w:hAnsi="Courier New" w:cs="Courier New"/>
      <w:sz w:val="20"/>
      <w:szCs w:val="20"/>
    </w:rPr>
  </w:style>
  <w:style w:type="character" w:styleId="HTMLDefinition">
    <w:name w:val="HTML Definition"/>
    <w:basedOn w:val="DefaultParagraphFont"/>
    <w:semiHidden/>
    <w:rsid w:val="00F4414C"/>
    <w:rPr>
      <w:i/>
      <w:iCs/>
    </w:rPr>
  </w:style>
  <w:style w:type="character" w:styleId="HTMLKeyboard">
    <w:name w:val="HTML Keyboard"/>
    <w:basedOn w:val="DefaultParagraphFont"/>
    <w:semiHidden/>
    <w:rsid w:val="00F4414C"/>
    <w:rPr>
      <w:rFonts w:ascii="Courier New" w:hAnsi="Courier New" w:cs="Courier New"/>
      <w:sz w:val="20"/>
      <w:szCs w:val="20"/>
    </w:rPr>
  </w:style>
  <w:style w:type="paragraph" w:styleId="HTMLPreformatted">
    <w:name w:val="HTML Preformatted"/>
    <w:basedOn w:val="Normal"/>
    <w:semiHidden/>
    <w:rsid w:val="00F4414C"/>
    <w:rPr>
      <w:rFonts w:ascii="Courier New" w:hAnsi="Courier New" w:cs="Courier New"/>
      <w:sz w:val="20"/>
    </w:rPr>
  </w:style>
  <w:style w:type="character" w:styleId="HTMLSample">
    <w:name w:val="HTML Sample"/>
    <w:basedOn w:val="DefaultParagraphFont"/>
    <w:semiHidden/>
    <w:rsid w:val="00F4414C"/>
    <w:rPr>
      <w:rFonts w:ascii="Courier New" w:hAnsi="Courier New" w:cs="Courier New"/>
    </w:rPr>
  </w:style>
  <w:style w:type="character" w:styleId="HTMLTypewriter">
    <w:name w:val="HTML Typewriter"/>
    <w:basedOn w:val="DefaultParagraphFont"/>
    <w:semiHidden/>
    <w:rsid w:val="00F4414C"/>
    <w:rPr>
      <w:rFonts w:ascii="Courier New" w:hAnsi="Courier New" w:cs="Courier New"/>
      <w:sz w:val="20"/>
      <w:szCs w:val="20"/>
    </w:rPr>
  </w:style>
  <w:style w:type="character" w:styleId="HTMLVariable">
    <w:name w:val="HTML Variable"/>
    <w:basedOn w:val="DefaultParagraphFont"/>
    <w:semiHidden/>
    <w:rsid w:val="00F4414C"/>
    <w:rPr>
      <w:i/>
      <w:iCs/>
    </w:rPr>
  </w:style>
  <w:style w:type="character" w:styleId="Hyperlink">
    <w:name w:val="Hyperlink"/>
    <w:basedOn w:val="DefaultParagraphFont"/>
    <w:uiPriority w:val="99"/>
    <w:rsid w:val="00BA2138"/>
    <w:rPr>
      <w:color w:val="0000FF"/>
      <w:u w:val="single"/>
    </w:rPr>
  </w:style>
  <w:style w:type="character" w:styleId="LineNumber">
    <w:name w:val="line number"/>
    <w:basedOn w:val="DefaultParagraphFont"/>
    <w:semiHidden/>
    <w:rsid w:val="00F4414C"/>
  </w:style>
  <w:style w:type="paragraph" w:styleId="List">
    <w:name w:val="List"/>
    <w:basedOn w:val="BodyText"/>
    <w:semiHidden/>
    <w:rsid w:val="00BA2138"/>
    <w:pPr>
      <w:numPr>
        <w:numId w:val="15"/>
      </w:numPr>
    </w:pPr>
  </w:style>
  <w:style w:type="paragraph" w:styleId="List2">
    <w:name w:val="List 2"/>
    <w:basedOn w:val="Normal"/>
    <w:semiHidden/>
    <w:rsid w:val="00F4414C"/>
    <w:pPr>
      <w:ind w:left="566" w:hanging="283"/>
    </w:pPr>
  </w:style>
  <w:style w:type="paragraph" w:styleId="List3">
    <w:name w:val="List 3"/>
    <w:basedOn w:val="Normal"/>
    <w:semiHidden/>
    <w:rsid w:val="00F4414C"/>
    <w:pPr>
      <w:ind w:left="849" w:hanging="283"/>
    </w:pPr>
  </w:style>
  <w:style w:type="paragraph" w:styleId="List4">
    <w:name w:val="List 4"/>
    <w:basedOn w:val="Normal"/>
    <w:semiHidden/>
    <w:rsid w:val="00F4414C"/>
    <w:pPr>
      <w:ind w:left="1132" w:hanging="283"/>
    </w:pPr>
  </w:style>
  <w:style w:type="paragraph" w:styleId="List5">
    <w:name w:val="List 5"/>
    <w:basedOn w:val="Normal"/>
    <w:semiHidden/>
    <w:rsid w:val="00F4414C"/>
    <w:pPr>
      <w:ind w:left="1415" w:hanging="283"/>
    </w:pPr>
  </w:style>
  <w:style w:type="paragraph" w:styleId="ListBullet">
    <w:name w:val="List Bullet"/>
    <w:basedOn w:val="BodyText"/>
    <w:semiHidden/>
    <w:rsid w:val="00BA2138"/>
  </w:style>
  <w:style w:type="paragraph" w:styleId="ListBullet2">
    <w:name w:val="List Bullet 2"/>
    <w:basedOn w:val="BodyText"/>
    <w:semiHidden/>
    <w:rsid w:val="00BA2138"/>
  </w:style>
  <w:style w:type="paragraph" w:styleId="ListBullet3">
    <w:name w:val="List Bullet 3"/>
    <w:basedOn w:val="BodyText"/>
    <w:semiHidden/>
    <w:rsid w:val="00BA2138"/>
  </w:style>
  <w:style w:type="paragraph" w:styleId="ListBullet4">
    <w:name w:val="List Bullet 4"/>
    <w:basedOn w:val="Normal"/>
    <w:semiHidden/>
    <w:rsid w:val="00F4414C"/>
    <w:pPr>
      <w:numPr>
        <w:numId w:val="4"/>
      </w:numPr>
    </w:pPr>
  </w:style>
  <w:style w:type="paragraph" w:styleId="ListBullet5">
    <w:name w:val="List Bullet 5"/>
    <w:basedOn w:val="Normal"/>
    <w:semiHidden/>
    <w:rsid w:val="00F4414C"/>
    <w:pPr>
      <w:numPr>
        <w:numId w:val="5"/>
      </w:numPr>
    </w:pPr>
  </w:style>
  <w:style w:type="paragraph" w:styleId="ListContinue">
    <w:name w:val="List Continue"/>
    <w:basedOn w:val="Normal"/>
    <w:semiHidden/>
    <w:rsid w:val="00F4414C"/>
    <w:pPr>
      <w:spacing w:after="120"/>
      <w:ind w:left="283"/>
    </w:pPr>
  </w:style>
  <w:style w:type="paragraph" w:styleId="ListContinue2">
    <w:name w:val="List Continue 2"/>
    <w:basedOn w:val="Normal"/>
    <w:semiHidden/>
    <w:rsid w:val="00F4414C"/>
    <w:pPr>
      <w:spacing w:after="120"/>
      <w:ind w:left="566"/>
    </w:pPr>
  </w:style>
  <w:style w:type="paragraph" w:styleId="ListContinue3">
    <w:name w:val="List Continue 3"/>
    <w:basedOn w:val="Normal"/>
    <w:semiHidden/>
    <w:rsid w:val="00F4414C"/>
    <w:pPr>
      <w:spacing w:after="120"/>
      <w:ind w:left="849"/>
    </w:pPr>
  </w:style>
  <w:style w:type="paragraph" w:styleId="ListContinue4">
    <w:name w:val="List Continue 4"/>
    <w:basedOn w:val="Normal"/>
    <w:semiHidden/>
    <w:rsid w:val="00F4414C"/>
    <w:pPr>
      <w:spacing w:after="120"/>
      <w:ind w:left="1132"/>
    </w:pPr>
  </w:style>
  <w:style w:type="paragraph" w:styleId="ListContinue5">
    <w:name w:val="List Continue 5"/>
    <w:basedOn w:val="Normal"/>
    <w:semiHidden/>
    <w:rsid w:val="00F4414C"/>
    <w:pPr>
      <w:spacing w:after="120"/>
      <w:ind w:left="1415"/>
    </w:pPr>
  </w:style>
  <w:style w:type="paragraph" w:styleId="ListNumber">
    <w:name w:val="List Number"/>
    <w:basedOn w:val="Normal"/>
    <w:semiHidden/>
    <w:rsid w:val="00F4414C"/>
    <w:pPr>
      <w:numPr>
        <w:numId w:val="6"/>
      </w:numPr>
    </w:pPr>
  </w:style>
  <w:style w:type="paragraph" w:styleId="ListNumber2">
    <w:name w:val="List Number 2"/>
    <w:basedOn w:val="Normal"/>
    <w:semiHidden/>
    <w:rsid w:val="00F4414C"/>
    <w:pPr>
      <w:numPr>
        <w:numId w:val="7"/>
      </w:numPr>
    </w:pPr>
  </w:style>
  <w:style w:type="paragraph" w:styleId="ListNumber3">
    <w:name w:val="List Number 3"/>
    <w:basedOn w:val="Normal"/>
    <w:semiHidden/>
    <w:rsid w:val="00F4414C"/>
    <w:pPr>
      <w:numPr>
        <w:numId w:val="8"/>
      </w:numPr>
    </w:pPr>
  </w:style>
  <w:style w:type="paragraph" w:styleId="ListNumber4">
    <w:name w:val="List Number 4"/>
    <w:basedOn w:val="Normal"/>
    <w:semiHidden/>
    <w:rsid w:val="00F4414C"/>
    <w:pPr>
      <w:numPr>
        <w:numId w:val="9"/>
      </w:numPr>
    </w:pPr>
  </w:style>
  <w:style w:type="paragraph" w:styleId="ListNumber5">
    <w:name w:val="List Number 5"/>
    <w:basedOn w:val="Normal"/>
    <w:semiHidden/>
    <w:rsid w:val="00F4414C"/>
    <w:pPr>
      <w:numPr>
        <w:numId w:val="10"/>
      </w:numPr>
    </w:pPr>
  </w:style>
  <w:style w:type="paragraph" w:styleId="MessageHeader">
    <w:name w:val="Message Header"/>
    <w:basedOn w:val="Normal"/>
    <w:semiHidden/>
    <w:rsid w:val="00F441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F4414C"/>
    <w:rPr>
      <w:rFonts w:ascii="Times New Roman" w:hAnsi="Times New Roman"/>
    </w:rPr>
  </w:style>
  <w:style w:type="paragraph" w:styleId="NormalIndent">
    <w:name w:val="Normal Indent"/>
    <w:basedOn w:val="Normal"/>
    <w:semiHidden/>
    <w:rsid w:val="00F4414C"/>
    <w:pPr>
      <w:ind w:left="720"/>
    </w:pPr>
  </w:style>
  <w:style w:type="paragraph" w:styleId="NoteHeading">
    <w:name w:val="Note Heading"/>
    <w:basedOn w:val="Normal"/>
    <w:next w:val="Normal"/>
    <w:semiHidden/>
    <w:rsid w:val="00F4414C"/>
  </w:style>
  <w:style w:type="character" w:styleId="PageNumber">
    <w:name w:val="page number"/>
    <w:basedOn w:val="DefaultParagraphFont"/>
    <w:semiHidden/>
    <w:rsid w:val="00BA2138"/>
    <w:rPr>
      <w:rFonts w:ascii="Calibri" w:hAnsi="Calibri"/>
      <w:sz w:val="20"/>
    </w:rPr>
  </w:style>
  <w:style w:type="paragraph" w:styleId="PlainText">
    <w:name w:val="Plain Text"/>
    <w:basedOn w:val="Normal"/>
    <w:link w:val="PlainTextChar"/>
    <w:uiPriority w:val="99"/>
    <w:semiHidden/>
    <w:rsid w:val="00F4414C"/>
    <w:rPr>
      <w:rFonts w:ascii="Courier New" w:hAnsi="Courier New" w:cs="Courier New"/>
      <w:sz w:val="20"/>
    </w:rPr>
  </w:style>
  <w:style w:type="paragraph" w:styleId="Salutation">
    <w:name w:val="Salutation"/>
    <w:basedOn w:val="Normal"/>
    <w:next w:val="Normal"/>
    <w:semiHidden/>
    <w:rsid w:val="00F4414C"/>
  </w:style>
  <w:style w:type="paragraph" w:styleId="Signature">
    <w:name w:val="Signature"/>
    <w:basedOn w:val="Normal"/>
    <w:semiHidden/>
    <w:rsid w:val="00F4414C"/>
    <w:pPr>
      <w:ind w:left="4252"/>
    </w:pPr>
  </w:style>
  <w:style w:type="character" w:styleId="Strong">
    <w:name w:val="Strong"/>
    <w:basedOn w:val="DefaultParagraphFont"/>
    <w:qFormat/>
    <w:rsid w:val="00F4414C"/>
    <w:rPr>
      <w:b/>
      <w:bCs/>
    </w:rPr>
  </w:style>
  <w:style w:type="paragraph" w:styleId="Subtitle">
    <w:name w:val="Subtitle"/>
    <w:basedOn w:val="Normal"/>
    <w:qFormat/>
    <w:rsid w:val="00F4414C"/>
    <w:pPr>
      <w:spacing w:after="60"/>
      <w:jc w:val="center"/>
      <w:outlineLvl w:val="1"/>
    </w:pPr>
    <w:rPr>
      <w:rFonts w:ascii="Arial" w:hAnsi="Arial" w:cs="Arial"/>
    </w:rPr>
  </w:style>
  <w:style w:type="table" w:styleId="Table3Deffects1">
    <w:name w:val="Table 3D effects 1"/>
    <w:basedOn w:val="TableNormal"/>
    <w:semiHidden/>
    <w:rsid w:val="00F4414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4414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4414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441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441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4414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4414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4414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4414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4414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4414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4414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4414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4414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4414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4414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4414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A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F441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4414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4414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4414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4414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4414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4414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441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4414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4414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4414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4414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4414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4414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4414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4414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441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4414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4414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4414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4414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4414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44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4414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4414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4414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qFormat/>
    <w:rsid w:val="00BA2138"/>
    <w:pPr>
      <w:keepNext/>
      <w:spacing w:after="240"/>
    </w:pPr>
    <w:rPr>
      <w:b/>
      <w:sz w:val="36"/>
    </w:rPr>
  </w:style>
  <w:style w:type="paragraph" w:styleId="Header">
    <w:name w:val="header"/>
    <w:aliases w:val="Table of Contents"/>
    <w:basedOn w:val="Normal"/>
    <w:link w:val="HeaderChar"/>
    <w:uiPriority w:val="99"/>
    <w:rsid w:val="00BA2138"/>
    <w:pPr>
      <w:tabs>
        <w:tab w:val="center" w:pos="4153"/>
        <w:tab w:val="right" w:pos="8306"/>
      </w:tabs>
      <w:jc w:val="center"/>
    </w:pPr>
  </w:style>
  <w:style w:type="paragraph" w:styleId="Footer">
    <w:name w:val="footer"/>
    <w:basedOn w:val="Normal"/>
    <w:link w:val="FooterChar"/>
    <w:uiPriority w:val="99"/>
    <w:rsid w:val="00BA2138"/>
    <w:pPr>
      <w:tabs>
        <w:tab w:val="center" w:pos="4536"/>
        <w:tab w:val="right" w:pos="9072"/>
      </w:tabs>
      <w:jc w:val="center"/>
    </w:pPr>
    <w:rPr>
      <w:sz w:val="20"/>
    </w:rPr>
  </w:style>
  <w:style w:type="character" w:styleId="FootnoteReference">
    <w:name w:val="footnote reference"/>
    <w:aliases w:val="(NECG) Footnote Reference,(NECG) Footnote"/>
    <w:basedOn w:val="DefaultParagraphFont"/>
    <w:rsid w:val="00BA2138"/>
    <w:rPr>
      <w:vertAlign w:val="superscript"/>
    </w:rPr>
  </w:style>
  <w:style w:type="paragraph" w:styleId="FootnoteText">
    <w:name w:val="footnote text"/>
    <w:aliases w:val="(NECG) Footnote Text,DTE-Voetnoottekst,Footnote Text Char,Char Char1 Char, Char Char1 Char,Char Char1 Char Char, Char Char1 Char Char, Char Char1, Char,Char Char,Char,ALTS FOOTNOTE,Char Char1,Char Char1 Char Char1,Char Char1 Char1,Char Cha"/>
    <w:basedOn w:val="Normal"/>
    <w:link w:val="FootnoteTextChar1"/>
    <w:rsid w:val="00BA2138"/>
    <w:pPr>
      <w:ind w:left="425" w:hanging="425"/>
    </w:pPr>
    <w:rPr>
      <w:sz w:val="20"/>
    </w:rPr>
  </w:style>
  <w:style w:type="character" w:customStyle="1" w:styleId="Heading2Char">
    <w:name w:val="Heading 2 Char"/>
    <w:basedOn w:val="DefaultParagraphFont"/>
    <w:link w:val="Heading2"/>
    <w:rsid w:val="00BA2138"/>
    <w:rPr>
      <w:rFonts w:ascii="Calibri" w:hAnsi="Calibri"/>
      <w:b/>
      <w:sz w:val="24"/>
      <w:lang w:eastAsia="en-GB"/>
    </w:rPr>
  </w:style>
  <w:style w:type="paragraph" w:customStyle="1" w:styleId="Body1">
    <w:name w:val="Body 1"/>
    <w:basedOn w:val="Normal"/>
    <w:link w:val="Body1Char"/>
    <w:semiHidden/>
    <w:qFormat/>
    <w:rsid w:val="00184541"/>
    <w:pPr>
      <w:spacing w:after="240"/>
    </w:pPr>
  </w:style>
  <w:style w:type="character" w:customStyle="1" w:styleId="Body1Char">
    <w:name w:val="Body 1 Char"/>
    <w:basedOn w:val="DefaultParagraphFont"/>
    <w:link w:val="Body1"/>
    <w:semiHidden/>
    <w:rsid w:val="00BA2138"/>
    <w:rPr>
      <w:rFonts w:ascii="Calibri" w:hAnsi="Calibri"/>
      <w:sz w:val="24"/>
      <w:szCs w:val="24"/>
      <w:lang w:eastAsia="en-GB"/>
    </w:rPr>
  </w:style>
  <w:style w:type="character" w:styleId="CommentReference">
    <w:name w:val="annotation reference"/>
    <w:basedOn w:val="DefaultParagraphFont"/>
    <w:semiHidden/>
    <w:rsid w:val="00184541"/>
    <w:rPr>
      <w:sz w:val="16"/>
      <w:szCs w:val="16"/>
    </w:rPr>
  </w:style>
  <w:style w:type="paragraph" w:styleId="CommentText">
    <w:name w:val="annotation text"/>
    <w:basedOn w:val="Normal"/>
    <w:link w:val="CommentTextChar"/>
    <w:semiHidden/>
    <w:rsid w:val="00184541"/>
    <w:rPr>
      <w:sz w:val="20"/>
    </w:rPr>
  </w:style>
  <w:style w:type="character" w:customStyle="1" w:styleId="CommentTextChar">
    <w:name w:val="Comment Text Char"/>
    <w:basedOn w:val="DefaultParagraphFont"/>
    <w:link w:val="CommentText"/>
    <w:semiHidden/>
    <w:rsid w:val="00BA2138"/>
    <w:rPr>
      <w:rFonts w:ascii="Times" w:hAnsi="Times"/>
      <w:lang w:eastAsia="en-GB"/>
    </w:rPr>
  </w:style>
  <w:style w:type="paragraph" w:styleId="CommentSubject">
    <w:name w:val="annotation subject"/>
    <w:basedOn w:val="CommentText"/>
    <w:next w:val="CommentText"/>
    <w:link w:val="CommentSubjectChar"/>
    <w:semiHidden/>
    <w:rsid w:val="00184541"/>
    <w:rPr>
      <w:b/>
      <w:bCs/>
    </w:rPr>
  </w:style>
  <w:style w:type="character" w:customStyle="1" w:styleId="CommentSubjectChar">
    <w:name w:val="Comment Subject Char"/>
    <w:basedOn w:val="CommentTextChar"/>
    <w:link w:val="CommentSubject"/>
    <w:semiHidden/>
    <w:rsid w:val="00BA2138"/>
    <w:rPr>
      <w:rFonts w:ascii="Times" w:hAnsi="Times"/>
      <w:b/>
      <w:bCs/>
      <w:lang w:eastAsia="en-GB"/>
    </w:rPr>
  </w:style>
  <w:style w:type="paragraph" w:styleId="BalloonText">
    <w:name w:val="Balloon Text"/>
    <w:basedOn w:val="Normal"/>
    <w:link w:val="BalloonTextChar"/>
    <w:semiHidden/>
    <w:rsid w:val="00BA2138"/>
    <w:rPr>
      <w:rFonts w:ascii="Tahoma" w:hAnsi="Tahoma" w:cs="Tahoma"/>
      <w:sz w:val="16"/>
      <w:szCs w:val="16"/>
    </w:rPr>
  </w:style>
  <w:style w:type="character" w:customStyle="1" w:styleId="BalloonTextChar">
    <w:name w:val="Balloon Text Char"/>
    <w:basedOn w:val="DefaultParagraphFont"/>
    <w:link w:val="BalloonText"/>
    <w:semiHidden/>
    <w:rsid w:val="00BA2138"/>
    <w:rPr>
      <w:rFonts w:ascii="Tahoma" w:hAnsi="Tahoma" w:cs="Tahoma"/>
      <w:sz w:val="16"/>
      <w:szCs w:val="16"/>
      <w:lang w:eastAsia="en-GB"/>
    </w:rPr>
  </w:style>
  <w:style w:type="paragraph" w:customStyle="1" w:styleId="Attachmentsheading">
    <w:name w:val="Attachments heading"/>
    <w:basedOn w:val="Normal"/>
    <w:next w:val="BodyText"/>
    <w:rsid w:val="00BA2138"/>
    <w:pPr>
      <w:keepNext/>
      <w:pageBreakBefore/>
      <w:numPr>
        <w:numId w:val="12"/>
      </w:numPr>
      <w:spacing w:after="120"/>
    </w:pPr>
    <w:rPr>
      <w:b/>
      <w:sz w:val="28"/>
    </w:rPr>
  </w:style>
  <w:style w:type="numbering" w:customStyle="1" w:styleId="Attachmentsliststyle">
    <w:name w:val="Attachments list style"/>
    <w:basedOn w:val="NoList"/>
    <w:uiPriority w:val="99"/>
    <w:rsid w:val="00BA2138"/>
    <w:pPr>
      <w:numPr>
        <w:numId w:val="11"/>
      </w:numPr>
    </w:pPr>
  </w:style>
  <w:style w:type="paragraph" w:customStyle="1" w:styleId="Bullet">
    <w:name w:val="Bullet"/>
    <w:basedOn w:val="Normal"/>
    <w:qFormat/>
    <w:rsid w:val="00BA2138"/>
    <w:pPr>
      <w:numPr>
        <w:numId w:val="14"/>
      </w:numPr>
      <w:tabs>
        <w:tab w:val="clear" w:pos="2127"/>
      </w:tabs>
      <w:spacing w:after="240"/>
      <w:ind w:left="3054" w:hanging="360"/>
    </w:pPr>
  </w:style>
  <w:style w:type="numbering" w:customStyle="1" w:styleId="Bulletliststyle">
    <w:name w:val="Bullet list style"/>
    <w:basedOn w:val="NoList"/>
    <w:uiPriority w:val="99"/>
    <w:rsid w:val="00BA2138"/>
    <w:pPr>
      <w:numPr>
        <w:numId w:val="13"/>
      </w:numPr>
    </w:pPr>
  </w:style>
  <w:style w:type="numbering" w:customStyle="1" w:styleId="Outlinestyle">
    <w:name w:val="Outline style"/>
    <w:basedOn w:val="NoList"/>
    <w:uiPriority w:val="99"/>
    <w:rsid w:val="00BA2138"/>
    <w:pPr>
      <w:numPr>
        <w:numId w:val="16"/>
      </w:numPr>
    </w:pPr>
  </w:style>
  <w:style w:type="paragraph" w:customStyle="1" w:styleId="Para1">
    <w:name w:val="Para 1"/>
    <w:basedOn w:val="BodyText"/>
    <w:qFormat/>
    <w:rsid w:val="00BA2138"/>
    <w:pPr>
      <w:numPr>
        <w:numId w:val="17"/>
      </w:numPr>
    </w:pPr>
  </w:style>
  <w:style w:type="paragraph" w:customStyle="1" w:styleId="Para2">
    <w:name w:val="Para 2"/>
    <w:basedOn w:val="BodyText"/>
    <w:qFormat/>
    <w:rsid w:val="00BA2138"/>
    <w:pPr>
      <w:numPr>
        <w:ilvl w:val="1"/>
        <w:numId w:val="17"/>
      </w:numPr>
    </w:pPr>
  </w:style>
  <w:style w:type="paragraph" w:customStyle="1" w:styleId="Para3">
    <w:name w:val="Para 3"/>
    <w:basedOn w:val="Para2"/>
    <w:qFormat/>
    <w:rsid w:val="00BA2138"/>
    <w:pPr>
      <w:numPr>
        <w:ilvl w:val="2"/>
      </w:numPr>
    </w:pPr>
  </w:style>
  <w:style w:type="paragraph" w:customStyle="1" w:styleId="Para4">
    <w:name w:val="Para 4"/>
    <w:basedOn w:val="Para3"/>
    <w:qFormat/>
    <w:rsid w:val="00BA2138"/>
    <w:pPr>
      <w:numPr>
        <w:ilvl w:val="3"/>
      </w:numPr>
    </w:pPr>
  </w:style>
  <w:style w:type="paragraph" w:customStyle="1" w:styleId="Para5">
    <w:name w:val="Para 5"/>
    <w:basedOn w:val="Para4"/>
    <w:qFormat/>
    <w:rsid w:val="00BA2138"/>
    <w:pPr>
      <w:numPr>
        <w:ilvl w:val="4"/>
      </w:numPr>
    </w:pPr>
  </w:style>
  <w:style w:type="paragraph" w:customStyle="1" w:styleId="Quotation">
    <w:name w:val="Quotation"/>
    <w:basedOn w:val="BodyText"/>
    <w:qFormat/>
    <w:rsid w:val="008079E6"/>
    <w:pPr>
      <w:ind w:left="709" w:right="709"/>
    </w:pPr>
    <w:rPr>
      <w:sz w:val="20"/>
    </w:rPr>
  </w:style>
  <w:style w:type="paragraph" w:customStyle="1" w:styleId="Singlespacedparagraph">
    <w:name w:val="Single spaced paragraph"/>
    <w:basedOn w:val="Normal"/>
    <w:qFormat/>
    <w:rsid w:val="00BA2138"/>
  </w:style>
  <w:style w:type="paragraph" w:customStyle="1" w:styleId="Tablebodytext">
    <w:name w:val="Table body text"/>
    <w:basedOn w:val="BodyText"/>
    <w:qFormat/>
    <w:rsid w:val="00BA2138"/>
    <w:rPr>
      <w:rFonts w:cs="Arial"/>
      <w:szCs w:val="17"/>
    </w:rPr>
  </w:style>
  <w:style w:type="paragraph" w:customStyle="1" w:styleId="Tablebullet">
    <w:name w:val="Table bullet"/>
    <w:basedOn w:val="Tablebodytext"/>
    <w:qFormat/>
    <w:rsid w:val="00BA2138"/>
    <w:pPr>
      <w:numPr>
        <w:numId w:val="19"/>
      </w:numPr>
    </w:pPr>
  </w:style>
  <w:style w:type="numbering" w:customStyle="1" w:styleId="Tablebulletlist">
    <w:name w:val="Table bullet list"/>
    <w:uiPriority w:val="99"/>
    <w:rsid w:val="00BA2138"/>
    <w:pPr>
      <w:numPr>
        <w:numId w:val="18"/>
      </w:numPr>
    </w:pPr>
  </w:style>
  <w:style w:type="paragraph" w:customStyle="1" w:styleId="Tableheading">
    <w:name w:val="Table heading"/>
    <w:basedOn w:val="Tablebodytext"/>
    <w:qFormat/>
    <w:rsid w:val="00BA2138"/>
    <w:pPr>
      <w:keepNext/>
      <w:spacing w:after="60"/>
      <w:jc w:val="center"/>
    </w:pPr>
    <w:rPr>
      <w:b/>
    </w:rPr>
  </w:style>
  <w:style w:type="paragraph" w:customStyle="1" w:styleId="Tablenumberedlist">
    <w:name w:val="Table numbered list"/>
    <w:basedOn w:val="Tablebodytext"/>
    <w:qFormat/>
    <w:rsid w:val="00BA2138"/>
    <w:pPr>
      <w:numPr>
        <w:numId w:val="20"/>
      </w:numPr>
    </w:pPr>
  </w:style>
  <w:style w:type="paragraph" w:styleId="TableofAuthorities">
    <w:name w:val="table of authorities"/>
    <w:basedOn w:val="Normal"/>
    <w:next w:val="Normal"/>
    <w:semiHidden/>
    <w:rsid w:val="00BA2138"/>
    <w:pPr>
      <w:ind w:left="200" w:hanging="200"/>
    </w:pPr>
  </w:style>
  <w:style w:type="paragraph" w:styleId="TOC1">
    <w:name w:val="toc 1"/>
    <w:basedOn w:val="Normal"/>
    <w:next w:val="Normal"/>
    <w:autoRedefine/>
    <w:uiPriority w:val="39"/>
    <w:rsid w:val="00BA2138"/>
    <w:pPr>
      <w:tabs>
        <w:tab w:val="left" w:pos="851"/>
        <w:tab w:val="right" w:pos="8505"/>
      </w:tabs>
      <w:spacing w:before="227"/>
    </w:pPr>
    <w:rPr>
      <w:b/>
    </w:rPr>
  </w:style>
  <w:style w:type="paragraph" w:styleId="TOC2">
    <w:name w:val="toc 2"/>
    <w:basedOn w:val="TOC1"/>
    <w:next w:val="Normal"/>
    <w:autoRedefine/>
    <w:uiPriority w:val="39"/>
    <w:rsid w:val="00BA2138"/>
    <w:pPr>
      <w:spacing w:before="0"/>
    </w:pPr>
    <w:rPr>
      <w:b w:val="0"/>
    </w:rPr>
  </w:style>
  <w:style w:type="paragraph" w:styleId="TOC3">
    <w:name w:val="toc 3"/>
    <w:basedOn w:val="TOC2"/>
    <w:autoRedefine/>
    <w:rsid w:val="00BA2138"/>
  </w:style>
  <w:style w:type="paragraph" w:customStyle="1" w:styleId="zContactdetails">
    <w:name w:val="z_Contact details"/>
    <w:basedOn w:val="BodyText"/>
    <w:semiHidden/>
    <w:rsid w:val="00BA2138"/>
    <w:pPr>
      <w:spacing w:after="120"/>
    </w:pPr>
  </w:style>
  <w:style w:type="paragraph" w:customStyle="1" w:styleId="zContactheadings">
    <w:name w:val="z_Contact headings"/>
    <w:basedOn w:val="BodyText"/>
    <w:semiHidden/>
    <w:rsid w:val="00BA2138"/>
    <w:pPr>
      <w:spacing w:after="120"/>
    </w:pPr>
    <w:rPr>
      <w:b/>
    </w:rPr>
  </w:style>
  <w:style w:type="paragraph" w:customStyle="1" w:styleId="zFileRef">
    <w:name w:val="z_File Ref"/>
    <w:basedOn w:val="Normal"/>
    <w:semiHidden/>
    <w:rsid w:val="00BA2138"/>
    <w:pPr>
      <w:jc w:val="right"/>
    </w:pPr>
  </w:style>
  <w:style w:type="paragraph" w:customStyle="1" w:styleId="zInstructions">
    <w:name w:val="z_Instructions"/>
    <w:basedOn w:val="BodyText"/>
    <w:semiHidden/>
    <w:rsid w:val="00BA2138"/>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BA2138"/>
    <w:pPr>
      <w:numPr>
        <w:numId w:val="22"/>
      </w:numPr>
    </w:pPr>
  </w:style>
  <w:style w:type="numbering" w:customStyle="1" w:styleId="zInstructionsbulletlist">
    <w:name w:val="z_Instructions bullet list"/>
    <w:basedOn w:val="NoList"/>
    <w:uiPriority w:val="99"/>
    <w:rsid w:val="00BA2138"/>
    <w:pPr>
      <w:numPr>
        <w:numId w:val="21"/>
      </w:numPr>
    </w:pPr>
  </w:style>
  <w:style w:type="paragraph" w:customStyle="1" w:styleId="zPagename">
    <w:name w:val="z_Page name"/>
    <w:basedOn w:val="Title"/>
    <w:next w:val="BodyText"/>
    <w:semiHidden/>
    <w:rsid w:val="00BA2138"/>
    <w:pPr>
      <w:pageBreakBefore/>
      <w:spacing w:before="720"/>
    </w:pPr>
  </w:style>
  <w:style w:type="paragraph" w:customStyle="1" w:styleId="zReportsubtitle">
    <w:name w:val="z_Report sub title"/>
    <w:basedOn w:val="Normal"/>
    <w:semiHidden/>
    <w:rsid w:val="00641432"/>
    <w:rPr>
      <w:b/>
      <w:sz w:val="28"/>
    </w:rPr>
  </w:style>
  <w:style w:type="paragraph" w:customStyle="1" w:styleId="Bullet-RomanNumeral">
    <w:name w:val="Bullet - (Roman Numeral)"/>
    <w:basedOn w:val="ListNumber5"/>
    <w:rsid w:val="00D53361"/>
    <w:pPr>
      <w:numPr>
        <w:numId w:val="0"/>
      </w:numPr>
      <w:tabs>
        <w:tab w:val="num" w:pos="2098"/>
      </w:tabs>
      <w:ind w:left="2098" w:hanging="397"/>
    </w:pPr>
    <w:rPr>
      <w:rFonts w:ascii="Times New Roman" w:hAnsi="Times New Roman"/>
      <w:szCs w:val="24"/>
      <w:lang w:eastAsia="en-US"/>
    </w:rPr>
  </w:style>
  <w:style w:type="paragraph" w:customStyle="1" w:styleId="ExecutiveSummary">
    <w:name w:val="Executive Summary"/>
    <w:basedOn w:val="SectionHeading"/>
    <w:rsid w:val="00D53361"/>
  </w:style>
  <w:style w:type="paragraph" w:customStyle="1" w:styleId="SectionHeading">
    <w:name w:val="Section Heading"/>
    <w:basedOn w:val="Normal"/>
    <w:rsid w:val="00D53361"/>
    <w:pPr>
      <w:pageBreakBefore/>
      <w:widowControl w:val="0"/>
      <w:shd w:val="clear" w:color="auto" w:fill="000000"/>
      <w:jc w:val="center"/>
    </w:pPr>
    <w:rPr>
      <w:rFonts w:ascii="Times New Roman" w:hAnsi="Times New Roman"/>
      <w:b/>
      <w:caps/>
      <w:sz w:val="36"/>
      <w:szCs w:val="24"/>
      <w:lang w:eastAsia="en-US"/>
    </w:rPr>
  </w:style>
  <w:style w:type="paragraph" w:customStyle="1" w:styleId="ChapterHeading">
    <w:name w:val="Chapter Heading"/>
    <w:basedOn w:val="Normal"/>
    <w:rsid w:val="00D53361"/>
    <w:pPr>
      <w:tabs>
        <w:tab w:val="num" w:pos="709"/>
      </w:tabs>
      <w:spacing w:before="240" w:after="240"/>
      <w:ind w:left="709" w:hanging="709"/>
    </w:pPr>
    <w:rPr>
      <w:rFonts w:ascii="Times New Roman" w:hAnsi="Times New Roman"/>
      <w:b/>
      <w:caps/>
      <w:sz w:val="28"/>
      <w:szCs w:val="28"/>
      <w:lang w:eastAsia="en-US"/>
    </w:rPr>
  </w:style>
  <w:style w:type="paragraph" w:customStyle="1" w:styleId="BulletListLevel1">
    <w:name w:val="Bullet List Level 1"/>
    <w:basedOn w:val="Normal"/>
    <w:rsid w:val="00D53361"/>
    <w:pPr>
      <w:numPr>
        <w:numId w:val="23"/>
      </w:numPr>
      <w:spacing w:before="120"/>
    </w:pPr>
    <w:rPr>
      <w:rFonts w:ascii="Times New Roman" w:hAnsi="Times New Roman"/>
      <w:szCs w:val="24"/>
      <w:lang w:eastAsia="en-US"/>
    </w:rPr>
  </w:style>
  <w:style w:type="paragraph" w:customStyle="1" w:styleId="BulletListLevel2">
    <w:name w:val="Bullet List Level 2"/>
    <w:basedOn w:val="Normal"/>
    <w:rsid w:val="00D53361"/>
    <w:pPr>
      <w:numPr>
        <w:numId w:val="24"/>
      </w:numPr>
    </w:pPr>
    <w:rPr>
      <w:rFonts w:ascii="Times New Roman" w:hAnsi="Times New Roman"/>
      <w:szCs w:val="24"/>
      <w:lang w:eastAsia="en-US"/>
    </w:rPr>
  </w:style>
  <w:style w:type="paragraph" w:customStyle="1" w:styleId="Bullet-Letter">
    <w:name w:val="Bullet - (Letter)"/>
    <w:rsid w:val="00D53361"/>
    <w:pPr>
      <w:tabs>
        <w:tab w:val="num" w:pos="1701"/>
      </w:tabs>
      <w:ind w:left="1701" w:hanging="567"/>
    </w:pPr>
    <w:rPr>
      <w:sz w:val="24"/>
      <w:szCs w:val="24"/>
      <w:lang w:val="en-US" w:eastAsia="en-US"/>
    </w:rPr>
  </w:style>
  <w:style w:type="paragraph" w:customStyle="1" w:styleId="TableText">
    <w:name w:val="Table Text"/>
    <w:basedOn w:val="Normal"/>
    <w:rsid w:val="00D53361"/>
    <w:rPr>
      <w:rFonts w:ascii="Times New Roman" w:hAnsi="Times New Roman"/>
      <w:szCs w:val="24"/>
      <w:lang w:eastAsia="en-US"/>
    </w:rPr>
  </w:style>
  <w:style w:type="paragraph" w:customStyle="1" w:styleId="Non-ContentsHeadings">
    <w:name w:val="Non-Contents Headings"/>
    <w:basedOn w:val="Normal"/>
    <w:link w:val="Non-ContentsHeadingsCharChar"/>
    <w:rsid w:val="00D53361"/>
    <w:pPr>
      <w:spacing w:after="240"/>
    </w:pPr>
    <w:rPr>
      <w:rFonts w:ascii="Times New Roman" w:hAnsi="Times New Roman"/>
      <w:b/>
      <w:caps/>
      <w:sz w:val="28"/>
      <w:szCs w:val="24"/>
      <w:lang w:eastAsia="en-US"/>
    </w:rPr>
  </w:style>
  <w:style w:type="character" w:customStyle="1" w:styleId="Non-ContentsHeadingsCharChar">
    <w:name w:val="Non-Contents Headings Char Char"/>
    <w:basedOn w:val="DefaultParagraphFont"/>
    <w:link w:val="Non-ContentsHeadings"/>
    <w:rsid w:val="00D53361"/>
    <w:rPr>
      <w:b/>
      <w:caps/>
      <w:sz w:val="28"/>
      <w:szCs w:val="24"/>
      <w:lang w:eastAsia="en-US"/>
    </w:rPr>
  </w:style>
  <w:style w:type="paragraph" w:customStyle="1" w:styleId="NumberedParagraphsnormal">
    <w:name w:val="Numbered Paragraphs (normal)"/>
    <w:basedOn w:val="NumberedParagraphsChapterandNumber"/>
    <w:link w:val="NumberedParagraphsnormalCharChar"/>
    <w:rsid w:val="00D53361"/>
    <w:pPr>
      <w:numPr>
        <w:ilvl w:val="2"/>
        <w:numId w:val="27"/>
      </w:numPr>
      <w:tabs>
        <w:tab w:val="clear" w:pos="2367"/>
        <w:tab w:val="num" w:pos="1080"/>
      </w:tabs>
      <w:ind w:left="1080" w:hanging="360"/>
    </w:pPr>
  </w:style>
  <w:style w:type="character" w:customStyle="1" w:styleId="NumberedParagraphsnormalCharChar">
    <w:name w:val="Numbered Paragraphs (normal) Char Char"/>
    <w:basedOn w:val="DefaultParagraphFont"/>
    <w:link w:val="NumberedParagraphsnormal"/>
    <w:rsid w:val="00D53361"/>
    <w:rPr>
      <w:sz w:val="24"/>
      <w:lang w:eastAsia="en-US"/>
    </w:rPr>
  </w:style>
  <w:style w:type="paragraph" w:customStyle="1" w:styleId="CoverPage">
    <w:name w:val="Cover Page"/>
    <w:basedOn w:val="Normal"/>
    <w:rsid w:val="00D53361"/>
    <w:pPr>
      <w:jc w:val="center"/>
    </w:pPr>
    <w:rPr>
      <w:rFonts w:ascii="Times New Roman" w:hAnsi="Times New Roman"/>
      <w:sz w:val="32"/>
      <w:szCs w:val="24"/>
      <w:lang w:eastAsia="en-US"/>
    </w:rPr>
  </w:style>
  <w:style w:type="paragraph" w:customStyle="1" w:styleId="AppendixHeading">
    <w:name w:val="Appendix Heading"/>
    <w:rsid w:val="00D53361"/>
    <w:pPr>
      <w:tabs>
        <w:tab w:val="num" w:pos="851"/>
      </w:tabs>
      <w:spacing w:before="120" w:after="120"/>
      <w:ind w:left="851" w:hanging="851"/>
    </w:pPr>
    <w:rPr>
      <w:b/>
      <w:caps/>
      <w:sz w:val="28"/>
      <w:szCs w:val="28"/>
      <w:lang w:val="en-US" w:eastAsia="en-US"/>
    </w:rPr>
  </w:style>
  <w:style w:type="paragraph" w:customStyle="1" w:styleId="number2">
    <w:name w:val="number 2"/>
    <w:basedOn w:val="Numberlist"/>
    <w:rsid w:val="00D53361"/>
    <w:pPr>
      <w:numPr>
        <w:ilvl w:val="2"/>
      </w:numPr>
      <w:spacing w:before="0"/>
      <w:jc w:val="both"/>
    </w:pPr>
    <w:rPr>
      <w:rFonts w:ascii="Times" w:hAnsi="Times"/>
      <w:lang w:eastAsia="en-GB"/>
    </w:rPr>
  </w:style>
  <w:style w:type="paragraph" w:styleId="TOC4">
    <w:name w:val="toc 4"/>
    <w:basedOn w:val="Normal"/>
    <w:next w:val="Normal"/>
    <w:rsid w:val="00D53361"/>
    <w:pPr>
      <w:pBdr>
        <w:top w:val="single" w:sz="4" w:space="1" w:color="auto"/>
        <w:left w:val="single" w:sz="4" w:space="3" w:color="auto"/>
        <w:bottom w:val="single" w:sz="4" w:space="1" w:color="auto"/>
        <w:right w:val="single" w:sz="4" w:space="4" w:color="auto"/>
        <w:between w:val="single" w:sz="4" w:space="1" w:color="auto"/>
      </w:pBdr>
      <w:tabs>
        <w:tab w:val="left" w:pos="1200"/>
        <w:tab w:val="right" w:pos="8280"/>
      </w:tabs>
      <w:ind w:left="1200" w:right="33" w:hanging="1080"/>
    </w:pPr>
    <w:rPr>
      <w:rFonts w:ascii="Times New Roman" w:hAnsi="Times New Roman"/>
      <w:noProof/>
      <w:szCs w:val="24"/>
      <w:lang w:eastAsia="en-US"/>
    </w:rPr>
  </w:style>
  <w:style w:type="paragraph" w:styleId="Index1">
    <w:name w:val="index 1"/>
    <w:basedOn w:val="Normal"/>
    <w:next w:val="Normal"/>
    <w:autoRedefine/>
    <w:semiHidden/>
    <w:rsid w:val="00D53361"/>
    <w:pPr>
      <w:ind w:left="240" w:hanging="240"/>
    </w:pPr>
    <w:rPr>
      <w:rFonts w:ascii="Times New Roman" w:hAnsi="Times New Roman"/>
      <w:szCs w:val="24"/>
      <w:lang w:eastAsia="en-US"/>
    </w:rPr>
  </w:style>
  <w:style w:type="paragraph" w:customStyle="1" w:styleId="TableHeading0">
    <w:name w:val="Table Heading"/>
    <w:basedOn w:val="Normal"/>
    <w:rsid w:val="00D53361"/>
    <w:pPr>
      <w:tabs>
        <w:tab w:val="num" w:pos="360"/>
      </w:tabs>
      <w:spacing w:before="120" w:after="120"/>
      <w:ind w:left="360" w:hanging="360"/>
      <w:jc w:val="center"/>
    </w:pPr>
    <w:rPr>
      <w:rFonts w:ascii="Times New Roman" w:hAnsi="Times New Roman"/>
      <w:b/>
      <w:sz w:val="20"/>
      <w:szCs w:val="24"/>
      <w:lang w:eastAsia="en-US"/>
    </w:rPr>
  </w:style>
  <w:style w:type="paragraph" w:customStyle="1" w:styleId="number3">
    <w:name w:val="number 3"/>
    <w:basedOn w:val="number2"/>
    <w:rsid w:val="00D53361"/>
    <w:pPr>
      <w:numPr>
        <w:ilvl w:val="3"/>
      </w:numPr>
    </w:pPr>
  </w:style>
  <w:style w:type="paragraph" w:styleId="TableofFigures">
    <w:name w:val="table of figures"/>
    <w:basedOn w:val="Normal"/>
    <w:next w:val="Normal"/>
    <w:semiHidden/>
    <w:rsid w:val="00D53361"/>
    <w:rPr>
      <w:rFonts w:ascii="Times New Roman" w:hAnsi="Times New Roman"/>
      <w:szCs w:val="24"/>
      <w:lang w:eastAsia="en-US"/>
    </w:rPr>
  </w:style>
  <w:style w:type="paragraph" w:customStyle="1" w:styleId="EquationStyle">
    <w:name w:val="Equation Style"/>
    <w:basedOn w:val="Normal"/>
    <w:rsid w:val="00D53361"/>
    <w:pPr>
      <w:ind w:left="720"/>
    </w:pPr>
    <w:rPr>
      <w:rFonts w:ascii="Times New Roman" w:hAnsi="Times New Roman"/>
      <w:szCs w:val="24"/>
      <w:lang w:eastAsia="en-US"/>
    </w:rPr>
  </w:style>
  <w:style w:type="paragraph" w:customStyle="1" w:styleId="AppendixNumberedParagraphs">
    <w:name w:val="Appendix Numbered Paragraphs"/>
    <w:rsid w:val="00D53361"/>
    <w:pPr>
      <w:tabs>
        <w:tab w:val="num" w:pos="851"/>
      </w:tabs>
      <w:spacing w:before="120" w:after="120"/>
      <w:ind w:left="851" w:hanging="851"/>
    </w:pPr>
    <w:rPr>
      <w:sz w:val="24"/>
      <w:lang w:eastAsia="en-US"/>
    </w:rPr>
  </w:style>
  <w:style w:type="paragraph" w:customStyle="1" w:styleId="TablesBullets">
    <w:name w:val="Tables Bullets"/>
    <w:rsid w:val="00D53361"/>
    <w:pPr>
      <w:numPr>
        <w:numId w:val="26"/>
      </w:numPr>
      <w:tabs>
        <w:tab w:val="clear" w:pos="1680"/>
      </w:tabs>
      <w:ind w:left="360"/>
    </w:pPr>
    <w:rPr>
      <w:sz w:val="24"/>
      <w:szCs w:val="24"/>
      <w:lang w:val="en-US" w:eastAsia="en-US"/>
    </w:rPr>
  </w:style>
  <w:style w:type="paragraph" w:customStyle="1" w:styleId="AppendixSub-Heading">
    <w:name w:val="Appendix Sub-Heading"/>
    <w:rsid w:val="00D53361"/>
    <w:rPr>
      <w:b/>
      <w:sz w:val="22"/>
      <w:lang w:eastAsia="en-US"/>
    </w:rPr>
  </w:style>
  <w:style w:type="paragraph" w:customStyle="1" w:styleId="NumberedParagraphsChapterandNumber">
    <w:name w:val="Numbered Paragraphs (Chapter and Number)"/>
    <w:link w:val="NumberedParagraphsChapterandNumberChar"/>
    <w:rsid w:val="00D53361"/>
    <w:pPr>
      <w:tabs>
        <w:tab w:val="num" w:pos="851"/>
      </w:tabs>
      <w:spacing w:before="120" w:after="120"/>
      <w:ind w:left="851" w:hanging="851"/>
    </w:pPr>
    <w:rPr>
      <w:sz w:val="24"/>
      <w:lang w:eastAsia="en-US"/>
    </w:rPr>
  </w:style>
  <w:style w:type="paragraph" w:customStyle="1" w:styleId="TOCHeaders">
    <w:name w:val="TOC Headers"/>
    <w:basedOn w:val="SectionHeading"/>
    <w:rsid w:val="00D53361"/>
    <w:pPr>
      <w:pageBreakBefore w:val="0"/>
    </w:pPr>
  </w:style>
  <w:style w:type="paragraph" w:styleId="TOC5">
    <w:name w:val="toc 5"/>
    <w:basedOn w:val="Normal"/>
    <w:next w:val="Normal"/>
    <w:rsid w:val="00D53361"/>
    <w:pPr>
      <w:ind w:left="960"/>
    </w:pPr>
    <w:rPr>
      <w:rFonts w:ascii="Times New Roman" w:hAnsi="Times New Roman"/>
      <w:i/>
      <w:szCs w:val="24"/>
      <w:lang w:eastAsia="en-US"/>
    </w:rPr>
  </w:style>
  <w:style w:type="paragraph" w:customStyle="1" w:styleId="ScheduleHeading">
    <w:name w:val="Schedule Heading"/>
    <w:basedOn w:val="ChapterHeading"/>
    <w:rsid w:val="00D53361"/>
    <w:pPr>
      <w:tabs>
        <w:tab w:val="clear" w:pos="709"/>
      </w:tabs>
      <w:spacing w:before="0" w:after="0"/>
      <w:ind w:left="0" w:firstLine="0"/>
      <w:jc w:val="center"/>
    </w:pPr>
    <w:rPr>
      <w:rFonts w:ascii="Times" w:hAnsi="Times"/>
      <w:sz w:val="24"/>
      <w:szCs w:val="24"/>
      <w:lang w:eastAsia="en-GB"/>
    </w:rPr>
  </w:style>
  <w:style w:type="paragraph" w:customStyle="1" w:styleId="DateofReport">
    <w:name w:val="Date of Report"/>
    <w:basedOn w:val="Normal"/>
    <w:rsid w:val="00D53361"/>
    <w:pPr>
      <w:spacing w:before="120" w:after="120"/>
    </w:pPr>
    <w:rPr>
      <w:rFonts w:ascii="Times New Roman" w:hAnsi="Times New Roman"/>
      <w:szCs w:val="24"/>
      <w:lang w:eastAsia="en-US"/>
    </w:rPr>
  </w:style>
  <w:style w:type="paragraph" w:customStyle="1" w:styleId="ExecutiveSummaryNumberedText">
    <w:name w:val="Executive Summary Numbered Text"/>
    <w:basedOn w:val="Normal"/>
    <w:rsid w:val="00D53361"/>
    <w:pPr>
      <w:numPr>
        <w:numId w:val="25"/>
      </w:numPr>
      <w:spacing w:before="120" w:after="120"/>
    </w:pPr>
    <w:rPr>
      <w:rFonts w:ascii="Times New Roman" w:hAnsi="Times New Roman"/>
      <w:lang w:eastAsia="en-US"/>
    </w:rPr>
  </w:style>
  <w:style w:type="paragraph" w:customStyle="1" w:styleId="BlockQuote">
    <w:name w:val="Block Quote"/>
    <w:basedOn w:val="Normal"/>
    <w:rsid w:val="00D53361"/>
    <w:pPr>
      <w:spacing w:before="240" w:after="120"/>
      <w:ind w:left="1276" w:right="658"/>
    </w:pPr>
    <w:rPr>
      <w:rFonts w:ascii="Times New Roman" w:hAnsi="Times New Roman"/>
      <w:sz w:val="20"/>
      <w:szCs w:val="24"/>
      <w:lang w:eastAsia="en-US"/>
    </w:rPr>
  </w:style>
  <w:style w:type="paragraph" w:styleId="Caption">
    <w:name w:val="caption"/>
    <w:basedOn w:val="Normal"/>
    <w:next w:val="Normal"/>
    <w:qFormat/>
    <w:rsid w:val="00D53361"/>
    <w:rPr>
      <w:rFonts w:ascii="Times New Roman" w:hAnsi="Times New Roman"/>
      <w:b/>
      <w:bCs/>
      <w:sz w:val="20"/>
      <w:lang w:eastAsia="en-US"/>
    </w:rPr>
  </w:style>
  <w:style w:type="paragraph" w:styleId="DocumentMap">
    <w:name w:val="Document Map"/>
    <w:basedOn w:val="Normal"/>
    <w:link w:val="DocumentMapChar"/>
    <w:semiHidden/>
    <w:rsid w:val="00D53361"/>
    <w:pPr>
      <w:shd w:val="clear" w:color="auto" w:fill="000080"/>
    </w:pPr>
    <w:rPr>
      <w:rFonts w:ascii="Tahoma" w:hAnsi="Tahoma" w:cs="Tahoma"/>
      <w:sz w:val="20"/>
      <w:lang w:eastAsia="en-US"/>
    </w:rPr>
  </w:style>
  <w:style w:type="character" w:customStyle="1" w:styleId="DocumentMapChar">
    <w:name w:val="Document Map Char"/>
    <w:basedOn w:val="DefaultParagraphFont"/>
    <w:link w:val="DocumentMap"/>
    <w:semiHidden/>
    <w:rsid w:val="00D53361"/>
    <w:rPr>
      <w:rFonts w:ascii="Tahoma" w:hAnsi="Tahoma" w:cs="Tahoma"/>
      <w:shd w:val="clear" w:color="auto" w:fill="000080"/>
      <w:lang w:eastAsia="en-US"/>
    </w:rPr>
  </w:style>
  <w:style w:type="paragraph" w:customStyle="1" w:styleId="TableText0">
    <w:name w:val="TableText"/>
    <w:basedOn w:val="Normal"/>
    <w:rsid w:val="00D53361"/>
    <w:pPr>
      <w:framePr w:hSpace="180" w:wrap="around" w:vAnchor="text" w:hAnchor="text" w:x="72" w:y="1"/>
      <w:widowControl w:val="0"/>
      <w:autoSpaceDE w:val="0"/>
      <w:autoSpaceDN w:val="0"/>
      <w:adjustRightInd w:val="0"/>
      <w:spacing w:before="60" w:after="60"/>
      <w:textAlignment w:val="baseline"/>
    </w:pPr>
    <w:rPr>
      <w:rFonts w:ascii="Times New Roman" w:hAnsi="Times New Roman" w:cs="Arial"/>
      <w:color w:val="000000"/>
      <w:lang w:val="en-GB"/>
    </w:rPr>
  </w:style>
  <w:style w:type="paragraph" w:customStyle="1" w:styleId="ScheduleTitle">
    <w:name w:val="Schedule Title"/>
    <w:basedOn w:val="Heading1"/>
    <w:rsid w:val="00D53361"/>
    <w:pPr>
      <w:spacing w:before="240"/>
      <w:jc w:val="center"/>
    </w:pPr>
    <w:rPr>
      <w:rFonts w:ascii="Times New Roman Bold" w:hAnsi="Times New Roman Bold" w:cs="Arial"/>
      <w:bCs/>
      <w:caps/>
      <w:kern w:val="32"/>
      <w:szCs w:val="32"/>
      <w:lang w:eastAsia="en-US"/>
    </w:rPr>
  </w:style>
  <w:style w:type="paragraph" w:customStyle="1" w:styleId="ScheduleClauseRef">
    <w:name w:val="Schedule Clause Ref"/>
    <w:basedOn w:val="Normal"/>
    <w:rsid w:val="00D53361"/>
    <w:pPr>
      <w:jc w:val="right"/>
    </w:pPr>
    <w:rPr>
      <w:rFonts w:ascii="Times" w:hAnsi="Times"/>
      <w:i/>
      <w:szCs w:val="24"/>
    </w:rPr>
  </w:style>
  <w:style w:type="character" w:customStyle="1" w:styleId="Heading3Char">
    <w:name w:val="Heading 3 Char"/>
    <w:basedOn w:val="DefaultParagraphFont"/>
    <w:link w:val="Heading3"/>
    <w:rsid w:val="00D53361"/>
    <w:rPr>
      <w:rFonts w:ascii="Calibri" w:hAnsi="Calibri"/>
      <w:i/>
      <w:sz w:val="24"/>
      <w:lang w:eastAsia="en-GB"/>
    </w:rPr>
  </w:style>
  <w:style w:type="character" w:customStyle="1" w:styleId="HeaderChar">
    <w:name w:val="Header Char"/>
    <w:aliases w:val="Table of Contents Char"/>
    <w:basedOn w:val="DefaultParagraphFont"/>
    <w:link w:val="Header"/>
    <w:uiPriority w:val="99"/>
    <w:rsid w:val="00D53361"/>
    <w:rPr>
      <w:rFonts w:ascii="Calibri" w:hAnsi="Calibri"/>
      <w:sz w:val="24"/>
      <w:lang w:eastAsia="en-GB"/>
    </w:rPr>
  </w:style>
  <w:style w:type="character" w:customStyle="1" w:styleId="NumberedParagraphsChapterandNumberChar">
    <w:name w:val="Numbered Paragraphs (Chapter and Number) Char"/>
    <w:basedOn w:val="DefaultParagraphFont"/>
    <w:link w:val="NumberedParagraphsChapterandNumber"/>
    <w:rsid w:val="00D53361"/>
    <w:rPr>
      <w:sz w:val="24"/>
      <w:lang w:eastAsia="en-US"/>
    </w:rPr>
  </w:style>
  <w:style w:type="paragraph" w:customStyle="1" w:styleId="ScheduleSubtitle">
    <w:name w:val="Schedule Subtitle"/>
    <w:basedOn w:val="Heading1"/>
    <w:rsid w:val="00D53361"/>
    <w:pPr>
      <w:spacing w:before="240"/>
    </w:pPr>
    <w:rPr>
      <w:rFonts w:ascii="Times New Roman Bold" w:hAnsi="Times New Roman Bold" w:cs="Arial"/>
      <w:bCs/>
      <w:kern w:val="32"/>
      <w:szCs w:val="32"/>
      <w:lang w:eastAsia="en-US"/>
    </w:rPr>
  </w:style>
  <w:style w:type="character" w:customStyle="1" w:styleId="FootnoteTextChar1">
    <w:name w:val="Footnote Text Char1"/>
    <w:aliases w:val="(NECG) Footnote Text Char,DTE-Voetnoottekst Char,Footnote Text Char Char,Char Char1 Char Char2, Char Char1 Char Char1,Char Char1 Char Char Char, Char Char1 Char Char Char, Char Char1 Char1, Char Char,Char Char Char,Char Char2"/>
    <w:basedOn w:val="DefaultParagraphFont"/>
    <w:link w:val="FootnoteText"/>
    <w:rsid w:val="00D53361"/>
    <w:rPr>
      <w:rFonts w:ascii="Calibri" w:hAnsi="Calibri"/>
      <w:lang w:eastAsia="en-GB"/>
    </w:rPr>
  </w:style>
  <w:style w:type="paragraph" w:customStyle="1" w:styleId="Heading3final">
    <w:name w:val="Heading 3 final"/>
    <w:basedOn w:val="Heading3"/>
    <w:link w:val="Heading3finalChar"/>
    <w:rsid w:val="00D53361"/>
    <w:pPr>
      <w:spacing w:before="120"/>
    </w:pPr>
    <w:rPr>
      <w:rFonts w:ascii="Times New Roman" w:hAnsi="Times New Roman"/>
      <w:b/>
      <w:bCs/>
      <w:iCs/>
      <w:lang w:val="en-AU" w:eastAsia="en-US"/>
    </w:rPr>
  </w:style>
  <w:style w:type="character" w:customStyle="1" w:styleId="Heading3finalChar">
    <w:name w:val="Heading 3 final Char"/>
    <w:basedOn w:val="DefaultParagraphFont"/>
    <w:link w:val="Heading3final"/>
    <w:rsid w:val="00D53361"/>
    <w:rPr>
      <w:b/>
      <w:bCs/>
      <w:i/>
      <w:iCs/>
      <w:sz w:val="24"/>
      <w:lang w:val="en-AU" w:eastAsia="en-US"/>
    </w:rPr>
  </w:style>
  <w:style w:type="paragraph" w:customStyle="1" w:styleId="Heading4final">
    <w:name w:val="Heading 4 final"/>
    <w:basedOn w:val="Heading4"/>
    <w:link w:val="Heading4finalChar"/>
    <w:rsid w:val="00D53361"/>
    <w:pPr>
      <w:spacing w:before="120" w:after="120"/>
    </w:pPr>
    <w:rPr>
      <w:rFonts w:ascii="Times New Roman" w:hAnsi="Times New Roman"/>
      <w:bCs/>
      <w:i/>
      <w:iCs/>
      <w:szCs w:val="26"/>
      <w:lang w:eastAsia="en-US"/>
    </w:rPr>
  </w:style>
  <w:style w:type="character" w:customStyle="1" w:styleId="Heading4finalChar">
    <w:name w:val="Heading 4 final Char"/>
    <w:basedOn w:val="DefaultParagraphFont"/>
    <w:link w:val="Heading4final"/>
    <w:rsid w:val="00D53361"/>
    <w:rPr>
      <w:bCs/>
      <w:i/>
      <w:iCs/>
      <w:sz w:val="24"/>
      <w:szCs w:val="26"/>
      <w:lang w:eastAsia="en-US"/>
    </w:rPr>
  </w:style>
  <w:style w:type="paragraph" w:customStyle="1" w:styleId="aFrontPage">
    <w:name w:val="a_FrontPage"/>
    <w:rsid w:val="00D53361"/>
    <w:pPr>
      <w:jc w:val="center"/>
    </w:pPr>
    <w:rPr>
      <w:noProof/>
      <w:lang w:val="en-US" w:eastAsia="en-US"/>
    </w:rPr>
  </w:style>
  <w:style w:type="paragraph" w:styleId="Revision">
    <w:name w:val="Revision"/>
    <w:hidden/>
    <w:uiPriority w:val="99"/>
    <w:semiHidden/>
    <w:rsid w:val="00D53361"/>
    <w:rPr>
      <w:sz w:val="24"/>
      <w:szCs w:val="24"/>
      <w:lang w:eastAsia="en-US"/>
    </w:rPr>
  </w:style>
  <w:style w:type="character" w:customStyle="1" w:styleId="StyleBodyTextIndent2ItalicCharCharCharChar">
    <w:name w:val="Style Body Text Indent 2 + Italic Char Char Char Char"/>
    <w:basedOn w:val="DefaultParagraphFont"/>
    <w:rsid w:val="00D53361"/>
    <w:rPr>
      <w:i/>
      <w:iCs/>
      <w:noProof w:val="0"/>
      <w:sz w:val="24"/>
      <w:lang w:val="en-NZ" w:eastAsia="en-US" w:bidi="ar-SA"/>
    </w:rPr>
  </w:style>
  <w:style w:type="paragraph" w:customStyle="1" w:styleId="Normal-Numbered">
    <w:name w:val="Normal - Numbered"/>
    <w:basedOn w:val="Normal"/>
    <w:link w:val="Normal-NumberedChar"/>
    <w:rsid w:val="00D53361"/>
    <w:pPr>
      <w:tabs>
        <w:tab w:val="num" w:pos="1418"/>
      </w:tabs>
      <w:spacing w:before="120" w:after="120"/>
      <w:ind w:left="1418" w:hanging="579"/>
    </w:pPr>
    <w:rPr>
      <w:rFonts w:ascii="Times New Roman" w:hAnsi="Times New Roman"/>
      <w:szCs w:val="24"/>
      <w:lang w:val="en-GB" w:eastAsia="en-US"/>
    </w:rPr>
  </w:style>
  <w:style w:type="character" w:customStyle="1" w:styleId="Normal-NumberedChar">
    <w:name w:val="Normal - Numbered Char"/>
    <w:basedOn w:val="DefaultParagraphFont"/>
    <w:link w:val="Normal-Numbered"/>
    <w:rsid w:val="00D53361"/>
    <w:rPr>
      <w:sz w:val="24"/>
      <w:szCs w:val="24"/>
      <w:lang w:val="en-GB" w:eastAsia="en-US"/>
    </w:rPr>
  </w:style>
  <w:style w:type="paragraph" w:customStyle="1" w:styleId="FormulaHeading">
    <w:name w:val="Formula Heading"/>
    <w:basedOn w:val="Normal"/>
    <w:next w:val="NumberedParagraphsChapterandNumber"/>
    <w:rsid w:val="00D53361"/>
    <w:pPr>
      <w:widowControl w:val="0"/>
      <w:numPr>
        <w:numId w:val="27"/>
      </w:numPr>
      <w:adjustRightInd w:val="0"/>
      <w:spacing w:before="120" w:after="120"/>
      <w:jc w:val="center"/>
      <w:textAlignment w:val="baseline"/>
      <w:outlineLvl w:val="0"/>
    </w:pPr>
    <w:rPr>
      <w:rFonts w:ascii="Times New Roman" w:hAnsi="Times New Roman"/>
      <w:b/>
      <w:sz w:val="20"/>
    </w:rPr>
  </w:style>
  <w:style w:type="paragraph" w:customStyle="1" w:styleId="QuoteIndent">
    <w:name w:val="QuoteIndent"/>
    <w:basedOn w:val="BlockQuote"/>
    <w:link w:val="QuoteIndentCharChar"/>
    <w:rsid w:val="00D53361"/>
    <w:pPr>
      <w:ind w:left="1800" w:hanging="480"/>
    </w:pPr>
    <w:rPr>
      <w:i/>
    </w:rPr>
  </w:style>
  <w:style w:type="character" w:customStyle="1" w:styleId="QuoteIndentCharChar">
    <w:name w:val="QuoteIndent Char Char"/>
    <w:basedOn w:val="DefaultParagraphFont"/>
    <w:link w:val="QuoteIndent"/>
    <w:rsid w:val="00D53361"/>
    <w:rPr>
      <w:i/>
      <w:szCs w:val="24"/>
      <w:lang w:eastAsia="en-US"/>
    </w:rPr>
  </w:style>
  <w:style w:type="paragraph" w:customStyle="1" w:styleId="NumList">
    <w:name w:val="Num List"/>
    <w:rsid w:val="00D53361"/>
    <w:pPr>
      <w:numPr>
        <w:numId w:val="28"/>
      </w:numPr>
    </w:pPr>
    <w:rPr>
      <w:sz w:val="24"/>
      <w:szCs w:val="24"/>
      <w:lang w:val="en-GB" w:eastAsia="en-GB"/>
    </w:rPr>
  </w:style>
  <w:style w:type="paragraph" w:customStyle="1" w:styleId="QuoteBlock">
    <w:name w:val="QuoteBlock"/>
    <w:basedOn w:val="QuoteIndent"/>
    <w:link w:val="QuoteBlockChar"/>
    <w:rsid w:val="00D53361"/>
    <w:pPr>
      <w:spacing w:before="60" w:after="60"/>
      <w:ind w:left="900" w:right="431" w:hanging="1"/>
      <w:jc w:val="both"/>
    </w:pPr>
  </w:style>
  <w:style w:type="character" w:customStyle="1" w:styleId="QuoteBlockChar">
    <w:name w:val="QuoteBlock Char"/>
    <w:basedOn w:val="DefaultParagraphFont"/>
    <w:link w:val="QuoteBlock"/>
    <w:rsid w:val="00D53361"/>
    <w:rPr>
      <w:i/>
      <w:szCs w:val="24"/>
      <w:lang w:eastAsia="en-US"/>
    </w:rPr>
  </w:style>
  <w:style w:type="paragraph" w:customStyle="1" w:styleId="Submission">
    <w:name w:val="Submission"/>
    <w:basedOn w:val="Normal"/>
    <w:autoRedefine/>
    <w:rsid w:val="00D53361"/>
    <w:pPr>
      <w:widowControl w:val="0"/>
      <w:pBdr>
        <w:top w:val="single" w:sz="4" w:space="1" w:color="auto"/>
        <w:left w:val="single" w:sz="4" w:space="4" w:color="auto"/>
        <w:bottom w:val="single" w:sz="4" w:space="6" w:color="auto"/>
        <w:right w:val="single" w:sz="4" w:space="4" w:color="auto"/>
      </w:pBdr>
      <w:tabs>
        <w:tab w:val="num" w:pos="926"/>
      </w:tabs>
      <w:adjustRightInd w:val="0"/>
      <w:spacing w:before="120" w:after="120"/>
      <w:ind w:left="720" w:hanging="720"/>
      <w:textAlignment w:val="baseline"/>
    </w:pPr>
    <w:rPr>
      <w:rFonts w:ascii="Times New Roman" w:hAnsi="Times New Roman"/>
      <w:szCs w:val="24"/>
    </w:rPr>
  </w:style>
  <w:style w:type="paragraph" w:customStyle="1" w:styleId="Numberlist">
    <w:name w:val="Number list"/>
    <w:basedOn w:val="Normal"/>
    <w:rsid w:val="00D53361"/>
    <w:pPr>
      <w:numPr>
        <w:ilvl w:val="1"/>
        <w:numId w:val="30"/>
      </w:numPr>
      <w:spacing w:before="120" w:after="120"/>
    </w:pPr>
    <w:rPr>
      <w:rFonts w:ascii="Times New Roman" w:hAnsi="Times New Roman"/>
      <w:szCs w:val="24"/>
      <w:lang w:eastAsia="en-US"/>
    </w:rPr>
  </w:style>
  <w:style w:type="paragraph" w:customStyle="1" w:styleId="Default">
    <w:name w:val="Default"/>
    <w:rsid w:val="00D53361"/>
    <w:pPr>
      <w:autoSpaceDE w:val="0"/>
      <w:autoSpaceDN w:val="0"/>
      <w:adjustRightInd w:val="0"/>
    </w:pPr>
    <w:rPr>
      <w:color w:val="000000"/>
      <w:sz w:val="24"/>
      <w:szCs w:val="24"/>
      <w:lang w:val="en-GB" w:eastAsia="en-GB"/>
    </w:rPr>
  </w:style>
  <w:style w:type="paragraph" w:customStyle="1" w:styleId="FigureHeading">
    <w:name w:val="FigureHeading"/>
    <w:rsid w:val="00D53361"/>
    <w:pPr>
      <w:numPr>
        <w:numId w:val="29"/>
      </w:numPr>
      <w:jc w:val="center"/>
    </w:pPr>
    <w:rPr>
      <w:b/>
      <w:lang w:eastAsia="en-US"/>
    </w:rPr>
  </w:style>
  <w:style w:type="character" w:customStyle="1" w:styleId="NumberedParagraphsChapterandNumberCharChar">
    <w:name w:val="Numbered Paragraphs (Chapter and Number) Char Char"/>
    <w:basedOn w:val="DefaultParagraphFont"/>
    <w:rsid w:val="00D53361"/>
    <w:rPr>
      <w:sz w:val="24"/>
      <w:szCs w:val="24"/>
    </w:rPr>
  </w:style>
  <w:style w:type="paragraph" w:styleId="ListParagraph">
    <w:name w:val="List Paragraph"/>
    <w:basedOn w:val="Normal"/>
    <w:uiPriority w:val="34"/>
    <w:qFormat/>
    <w:rsid w:val="00701AA9"/>
    <w:pPr>
      <w:ind w:left="720"/>
      <w:contextualSpacing/>
    </w:pPr>
  </w:style>
  <w:style w:type="paragraph" w:customStyle="1" w:styleId="Level1bullet">
    <w:name w:val="Level 1 bullet"/>
    <w:basedOn w:val="Normal"/>
    <w:semiHidden/>
    <w:rsid w:val="00F554FB"/>
    <w:pPr>
      <w:numPr>
        <w:numId w:val="33"/>
      </w:numPr>
      <w:spacing w:before="120"/>
    </w:pPr>
  </w:style>
  <w:style w:type="paragraph" w:customStyle="1" w:styleId="Box-Comments">
    <w:name w:val="Box - Comments"/>
    <w:basedOn w:val="Normal"/>
    <w:rsid w:val="00D67E57"/>
    <w:pPr>
      <w:numPr>
        <w:numId w:val="34"/>
      </w:numPr>
      <w:pBdr>
        <w:top w:val="single" w:sz="4" w:space="1" w:color="auto"/>
        <w:left w:val="single" w:sz="4" w:space="4" w:color="auto"/>
        <w:bottom w:val="single" w:sz="4" w:space="1" w:color="auto"/>
        <w:right w:val="single" w:sz="4" w:space="4" w:color="auto"/>
      </w:pBdr>
      <w:shd w:val="clear" w:color="auto" w:fill="E6E6E6"/>
      <w:spacing w:before="240" w:after="240"/>
    </w:pPr>
    <w:rPr>
      <w:szCs w:val="24"/>
      <w:lang w:eastAsia="en-US"/>
    </w:rPr>
  </w:style>
  <w:style w:type="paragraph" w:customStyle="1" w:styleId="UnnumberedL1">
    <w:name w:val="Unnumbered L1"/>
    <w:basedOn w:val="Normal"/>
    <w:qFormat/>
    <w:rsid w:val="00F26DE8"/>
    <w:pPr>
      <w:spacing w:after="120"/>
      <w:ind w:left="652"/>
    </w:pPr>
    <w:rPr>
      <w:szCs w:val="24"/>
      <w:lang w:eastAsia="en-US"/>
    </w:rPr>
  </w:style>
  <w:style w:type="character" w:customStyle="1" w:styleId="Emphasis-Bold">
    <w:name w:val="Emphasis - Bold"/>
    <w:basedOn w:val="Strong"/>
    <w:qFormat/>
    <w:rsid w:val="00F26DE8"/>
    <w:rPr>
      <w:rFonts w:ascii="Calibri" w:hAnsi="Calibri"/>
      <w:b/>
      <w:bCs/>
      <w:lang w:val="en-NZ"/>
    </w:rPr>
  </w:style>
  <w:style w:type="character" w:customStyle="1" w:styleId="FooterChar">
    <w:name w:val="Footer Char"/>
    <w:basedOn w:val="DefaultParagraphFont"/>
    <w:link w:val="Footer"/>
    <w:uiPriority w:val="99"/>
    <w:rsid w:val="009F0C24"/>
    <w:rPr>
      <w:rFonts w:ascii="Calibri" w:hAnsi="Calibri"/>
      <w:lang w:eastAsia="en-GB"/>
    </w:rPr>
  </w:style>
  <w:style w:type="paragraph" w:customStyle="1" w:styleId="Heading0Unnumbered">
    <w:name w:val="Heading 0: Unnumbered"/>
    <w:basedOn w:val="Normal"/>
    <w:next w:val="Normal"/>
    <w:uiPriority w:val="22"/>
    <w:rsid w:val="00E83B4C"/>
    <w:pPr>
      <w:keepNext/>
      <w:spacing w:after="240"/>
    </w:pPr>
    <w:rPr>
      <w:rFonts w:ascii="Calibri Bold" w:hAnsi="Calibri Bold"/>
      <w:b/>
      <w:szCs w:val="24"/>
      <w:lang w:eastAsia="en-US"/>
    </w:rPr>
  </w:style>
  <w:style w:type="character" w:customStyle="1" w:styleId="Emphasis-Superscript">
    <w:name w:val="Emphasis - Superscript"/>
    <w:uiPriority w:val="47"/>
    <w:rsid w:val="00E83B4C"/>
    <w:rPr>
      <w:vertAlign w:val="superscript"/>
    </w:rPr>
  </w:style>
  <w:style w:type="character" w:customStyle="1" w:styleId="Emphasis-Subscript">
    <w:name w:val="Emphasis - Subscript"/>
    <w:uiPriority w:val="45"/>
    <w:rsid w:val="00E83B4C"/>
    <w:rPr>
      <w:vertAlign w:val="subscript"/>
    </w:rPr>
  </w:style>
  <w:style w:type="character" w:customStyle="1" w:styleId="Emphasis-Remove">
    <w:name w:val="Emphasis - Remove"/>
    <w:uiPriority w:val="44"/>
    <w:qFormat/>
    <w:rsid w:val="00E83B4C"/>
  </w:style>
  <w:style w:type="paragraph" w:customStyle="1" w:styleId="Heading0Chapter">
    <w:name w:val="Heading 0: Chapter"/>
    <w:basedOn w:val="Normal"/>
    <w:next w:val="Para1"/>
    <w:uiPriority w:val="19"/>
    <w:rsid w:val="00E83B4C"/>
    <w:pPr>
      <w:keepNext/>
      <w:tabs>
        <w:tab w:val="num" w:pos="360"/>
      </w:tabs>
      <w:spacing w:after="240"/>
      <w:outlineLvl w:val="0"/>
    </w:pPr>
    <w:rPr>
      <w:rFonts w:ascii="Calibri Bold" w:hAnsi="Calibri Bold"/>
      <w:b/>
      <w:szCs w:val="24"/>
      <w:lang w:eastAsia="en-US"/>
    </w:rPr>
  </w:style>
  <w:style w:type="paragraph" w:customStyle="1" w:styleId="Title-Figure">
    <w:name w:val="Title - Figure"/>
    <w:basedOn w:val="Normal"/>
    <w:next w:val="Para1"/>
    <w:uiPriority w:val="5"/>
    <w:qFormat/>
    <w:rsid w:val="00E83B4C"/>
    <w:pPr>
      <w:keepNext/>
      <w:keepLines/>
      <w:spacing w:before="240" w:after="120"/>
      <w:ind w:left="709" w:hanging="709"/>
      <w:jc w:val="center"/>
      <w:outlineLvl w:val="7"/>
    </w:pPr>
    <w:rPr>
      <w:b/>
      <w:szCs w:val="24"/>
      <w:lang w:eastAsia="en-US"/>
    </w:rPr>
  </w:style>
  <w:style w:type="paragraph" w:customStyle="1" w:styleId="Title-Table">
    <w:name w:val="Title - Table"/>
    <w:basedOn w:val="Normal"/>
    <w:next w:val="Para1"/>
    <w:uiPriority w:val="6"/>
    <w:qFormat/>
    <w:rsid w:val="00E83B4C"/>
    <w:pPr>
      <w:keepNext/>
      <w:keepLines/>
      <w:spacing w:before="240" w:after="120"/>
      <w:ind w:left="709" w:hanging="709"/>
      <w:jc w:val="center"/>
      <w:outlineLvl w:val="8"/>
    </w:pPr>
    <w:rPr>
      <w:b/>
      <w:szCs w:val="24"/>
      <w:lang w:eastAsia="en-US"/>
    </w:rPr>
  </w:style>
  <w:style w:type="character" w:customStyle="1" w:styleId="UnnumberedL2Char">
    <w:name w:val="Unnumbered L2 Char"/>
    <w:basedOn w:val="DefaultParagraphFont"/>
    <w:link w:val="UnnumberedL2"/>
    <w:uiPriority w:val="51"/>
    <w:rsid w:val="00E83B4C"/>
    <w:rPr>
      <w:sz w:val="24"/>
      <w:szCs w:val="24"/>
      <w:lang w:eastAsia="en-US"/>
    </w:rPr>
  </w:style>
  <w:style w:type="paragraph" w:customStyle="1" w:styleId="UnnumberedL2">
    <w:name w:val="Unnumbered L2"/>
    <w:basedOn w:val="BodyText"/>
    <w:link w:val="UnnumberedL2Char"/>
    <w:uiPriority w:val="51"/>
    <w:qFormat/>
    <w:rsid w:val="00E83B4C"/>
    <w:pPr>
      <w:ind w:left="709"/>
    </w:pPr>
    <w:rPr>
      <w:rFonts w:ascii="Times New Roman" w:hAnsi="Times New Roman"/>
      <w:szCs w:val="24"/>
      <w:lang w:eastAsia="en-US"/>
    </w:rPr>
  </w:style>
  <w:style w:type="character" w:customStyle="1" w:styleId="BodyTextChar">
    <w:name w:val="Body Text Char"/>
    <w:basedOn w:val="DefaultParagraphFont"/>
    <w:link w:val="BodyText"/>
    <w:rsid w:val="00AD1484"/>
    <w:rPr>
      <w:rFonts w:ascii="Calibri" w:hAnsi="Calibri"/>
      <w:sz w:val="24"/>
      <w:lang w:eastAsia="en-GB"/>
    </w:rPr>
  </w:style>
  <w:style w:type="character" w:customStyle="1" w:styleId="PlainTextChar">
    <w:name w:val="Plain Text Char"/>
    <w:basedOn w:val="DefaultParagraphFont"/>
    <w:link w:val="PlainText"/>
    <w:uiPriority w:val="99"/>
    <w:semiHidden/>
    <w:rsid w:val="00AD1484"/>
    <w:rPr>
      <w:rFonts w:ascii="Courier New" w:hAnsi="Courier New" w:cs="Courier New"/>
      <w:lang w:eastAsia="en-GB"/>
    </w:rPr>
  </w:style>
  <w:style w:type="paragraph" w:customStyle="1" w:styleId="Tabletext1">
    <w:name w:val="Table text"/>
    <w:basedOn w:val="Normal"/>
    <w:uiPriority w:val="99"/>
    <w:qFormat/>
    <w:rsid w:val="00E035FB"/>
    <w:pPr>
      <w:spacing w:before="60" w:after="60" w:line="264" w:lineRule="atLeast"/>
    </w:pPr>
    <w:rPr>
      <w:sz w:val="20"/>
      <w:szCs w:val="24"/>
      <w:lang w:eastAsia="en-US"/>
    </w:rPr>
  </w:style>
</w:styles>
</file>

<file path=word/webSettings.xml><?xml version="1.0" encoding="utf-8"?>
<w:webSettings xmlns:r="http://schemas.openxmlformats.org/officeDocument/2006/relationships" xmlns:w="http://schemas.openxmlformats.org/wordprocessingml/2006/main">
  <w:divs>
    <w:div w:id="701832341">
      <w:bodyDiv w:val="1"/>
      <w:marLeft w:val="0"/>
      <w:marRight w:val="0"/>
      <w:marTop w:val="0"/>
      <w:marBottom w:val="0"/>
      <w:divBdr>
        <w:top w:val="none" w:sz="0" w:space="0" w:color="auto"/>
        <w:left w:val="none" w:sz="0" w:space="0" w:color="auto"/>
        <w:bottom w:val="none" w:sz="0" w:space="0" w:color="auto"/>
        <w:right w:val="none" w:sz="0" w:space="0" w:color="auto"/>
      </w:divBdr>
    </w:div>
    <w:div w:id="997418614">
      <w:bodyDiv w:val="1"/>
      <w:marLeft w:val="0"/>
      <w:marRight w:val="0"/>
      <w:marTop w:val="0"/>
      <w:marBottom w:val="0"/>
      <w:divBdr>
        <w:top w:val="none" w:sz="0" w:space="0" w:color="auto"/>
        <w:left w:val="none" w:sz="0" w:space="0" w:color="auto"/>
        <w:bottom w:val="none" w:sz="0" w:space="0" w:color="auto"/>
        <w:right w:val="none" w:sz="0" w:space="0" w:color="auto"/>
      </w:divBdr>
    </w:div>
    <w:div w:id="15340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image" Target="media/image30.wmf"/><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image" Target="media/image29.wmf"/><Relationship Id="rId74" Type="http://schemas.openxmlformats.org/officeDocument/2006/relationships/oleObject" Target="embeddings/oleObject35.bin"/><Relationship Id="rId79" Type="http://schemas.openxmlformats.org/officeDocument/2006/relationships/image" Target="media/image35.wmf"/><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hyperlink" Target="http://www.comcom.govt.nz/initial-default-price-quality-path/"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1" Type="http://schemas.openxmlformats.org/officeDocument/2006/relationships/image" Target="media/image39.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Templates\REGRS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7322-2E6F-4CEE-9F0B-2B500258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REGRSNS</Template>
  <TotalTime>4</TotalTime>
  <Pages>27</Pages>
  <Words>5570</Words>
  <Characters>30617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AuthoDox Limited</Company>
  <LinksUpToDate>false</LinksUpToDate>
  <CharactersWithSpaces>36115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matthewl</dc:creator>
  <cp:keywords/>
  <dc:description/>
  <cp:lastModifiedBy>matthewl</cp:lastModifiedBy>
  <cp:revision>2</cp:revision>
  <cp:lastPrinted>2013-02-08T02:32:00Z</cp:lastPrinted>
  <dcterms:created xsi:type="dcterms:W3CDTF">2013-02-08T03:09:00Z</dcterms:created>
  <dcterms:modified xsi:type="dcterms:W3CDTF">2013-02-08T03:09:00Z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umentDesc">
    <vt:lpwstr>[DRAFT] Gas Distribution DPP Determination</vt:lpwstr>
  </property>
  <property fmtid="{D5CDD505-2E9C-101B-9397-08002B2CF9AE}" pid="3" name="imAuthorInitials">
    <vt:lpwstr>SIMONW</vt:lpwstr>
  </property>
  <property fmtid="{D5CDD505-2E9C-101B-9397-08002B2CF9AE}" pid="4" name="imAuthorName">
    <vt:lpwstr>Simon Wakefield</vt:lpwstr>
  </property>
  <property fmtid="{D5CDD505-2E9C-101B-9397-08002B2CF9AE}" pid="5" name="imAuthorFax">
    <vt:lpwstr/>
  </property>
  <property fmtid="{D5CDD505-2E9C-101B-9397-08002B2CF9AE}" pid="6" name="imAuthorPhone">
    <vt:lpwstr/>
  </property>
  <property fmtid="{D5CDD505-2E9C-101B-9397-08002B2CF9AE}" pid="7" name="imAuthorEmail">
    <vt:lpwstr/>
  </property>
  <property fmtid="{D5CDD505-2E9C-101B-9397-08002B2CF9AE}" pid="8" name="imType">
    <vt:lpwstr>TECHDOCM</vt:lpwstr>
  </property>
  <property fmtid="{D5CDD505-2E9C-101B-9397-08002B2CF9AE}" pid="9" name="imSubType">
    <vt:lpwstr/>
  </property>
  <property fmtid="{D5CDD505-2E9C-101B-9397-08002B2CF9AE}" pid="10" name="imOutput">
    <vt:lpwstr>15.01</vt:lpwstr>
  </property>
  <property fmtid="{D5CDD505-2E9C-101B-9397-08002B2CF9AE}" pid="11" name="imProjectNo">
    <vt:lpwstr>13199</vt:lpwstr>
  </property>
  <property fmtid="{D5CDD505-2E9C-101B-9397-08002B2CF9AE}" pid="12" name="imClassification">
    <vt:lpwstr>Confidential - Internal use only</vt:lpwstr>
  </property>
  <property fmtid="{D5CDD505-2E9C-101B-9397-08002B2CF9AE}" pid="13" name="imStatus">
    <vt:lpwstr>WIP</vt:lpwstr>
  </property>
  <property fmtid="{D5CDD505-2E9C-101B-9397-08002B2CF9AE}" pid="14" name="imForeMostNo">
    <vt:lpwstr>ACA-50-13199-30-40</vt:lpwstr>
  </property>
  <property fmtid="{D5CDD505-2E9C-101B-9397-08002B2CF9AE}" pid="15" name="imOperatorInitials">
    <vt:lpwstr>SIMONW</vt:lpwstr>
  </property>
  <property fmtid="{D5CDD505-2E9C-101B-9397-08002B2CF9AE}" pid="16" name="imOperatorName">
    <vt:lpwstr>Simon Wakefield</vt:lpwstr>
  </property>
  <property fmtid="{D5CDD505-2E9C-101B-9397-08002B2CF9AE}" pid="17" name="imOperatorPhone">
    <vt:lpwstr/>
  </property>
  <property fmtid="{D5CDD505-2E9C-101B-9397-08002B2CF9AE}" pid="18" name="imApplication">
    <vt:lpwstr>WORDX</vt:lpwstr>
  </property>
  <property fmtid="{D5CDD505-2E9C-101B-9397-08002B2CF9AE}" pid="19" name="imPartiesTo">
    <vt:lpwstr/>
  </property>
  <property fmtid="{D5CDD505-2E9C-101B-9397-08002B2CF9AE}" pid="20" name="imPartiesFrom">
    <vt:lpwstr/>
  </property>
  <property fmtid="{D5CDD505-2E9C-101B-9397-08002B2CF9AE}" pid="21" name="imDocumentDate">
    <vt:filetime>1899-12-29T11:00:00Z</vt:filetime>
  </property>
  <property fmtid="{D5CDD505-2E9C-101B-9397-08002B2CF9AE}" pid="22" name="iManageDocumentNumber">
    <vt:lpwstr>999999-</vt:lpwstr>
  </property>
  <property fmtid="{D5CDD505-2E9C-101B-9397-08002B2CF9AE}" pid="23" name="iManageDocumentVersion">
    <vt:lpwstr>9</vt:lpwstr>
  </property>
</Properties>
</file>