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CB" w:rsidRDefault="005272DE" w:rsidP="00770504">
      <w:pPr>
        <w:pStyle w:val="zFileRef"/>
      </w:pPr>
      <w:r>
        <w:t>IS</w:t>
      </w:r>
      <w:r w:rsidR="00404866">
        <w:t>S</w:t>
      </w:r>
      <w:r w:rsidR="00F90219">
        <w:t xml:space="preserve">N </w:t>
      </w:r>
      <w:r w:rsidR="00940071">
        <w:t>1178</w:t>
      </w:r>
      <w:r w:rsidR="00F90219">
        <w:t>–</w:t>
      </w:r>
      <w:r w:rsidR="00940071">
        <w:t>2560</w:t>
      </w:r>
    </w:p>
    <w:p w:rsidR="00F90219" w:rsidRDefault="00F90219" w:rsidP="00770504">
      <w:pPr>
        <w:pStyle w:val="zFileRef"/>
      </w:pPr>
      <w:r>
        <w:t>Decision Series</w:t>
      </w:r>
    </w:p>
    <w:p w:rsidR="005272DE" w:rsidRDefault="005272DE" w:rsidP="00770504">
      <w:pPr>
        <w:pStyle w:val="zFileRef"/>
      </w:pPr>
      <w:r>
        <w:t xml:space="preserve">Project no. </w:t>
      </w:r>
      <w:r w:rsidR="00B56899">
        <w:t>14.07</w:t>
      </w:r>
      <w:r w:rsidR="00641432" w:rsidRPr="00641432">
        <w:t>/</w:t>
      </w:r>
      <w:r w:rsidR="00B56899">
        <w:t>14118</w:t>
      </w:r>
    </w:p>
    <w:p w:rsidR="00EB32FC" w:rsidRDefault="00EB32FC" w:rsidP="00770504"/>
    <w:p w:rsidR="005272DE" w:rsidRPr="00B56899" w:rsidRDefault="005272DE" w:rsidP="00770504">
      <w:pPr>
        <w:pStyle w:val="zFileRef"/>
        <w:rPr>
          <w:b/>
        </w:rPr>
      </w:pPr>
      <w:r w:rsidRPr="00B56899">
        <w:rPr>
          <w:b/>
        </w:rPr>
        <w:t xml:space="preserve">Public </w:t>
      </w:r>
      <w:r w:rsidRPr="00F40D4B">
        <w:t>version</w:t>
      </w:r>
    </w:p>
    <w:p w:rsidR="005272DE" w:rsidRPr="00641432" w:rsidRDefault="005272DE" w:rsidP="00641432"/>
    <w:p w:rsidR="0002733A" w:rsidRPr="00641432" w:rsidRDefault="0002733A" w:rsidP="00641432"/>
    <w:p w:rsidR="0002733A" w:rsidRPr="00641432" w:rsidRDefault="0002733A" w:rsidP="00641432"/>
    <w:p w:rsidR="0002733A" w:rsidRDefault="0002733A" w:rsidP="00641432"/>
    <w:p w:rsidR="00641432" w:rsidRDefault="00641432" w:rsidP="00641432"/>
    <w:p w:rsidR="00641432" w:rsidRDefault="00641432" w:rsidP="00641432"/>
    <w:p w:rsidR="00641432" w:rsidRPr="00641432" w:rsidRDefault="00641432" w:rsidP="00641432"/>
    <w:p w:rsidR="0094602A" w:rsidRDefault="00EC2B5F" w:rsidP="00641432">
      <w:pPr>
        <w:pStyle w:val="Title"/>
      </w:pPr>
      <w:r>
        <w:t xml:space="preserve">Electricity Distribution Services Default Price-Quality Path </w:t>
      </w:r>
      <w:r w:rsidR="008568F0">
        <w:t xml:space="preserve">Draft </w:t>
      </w:r>
      <w:r>
        <w:t>Determination 2015</w:t>
      </w:r>
    </w:p>
    <w:p w:rsidR="00EB32FC" w:rsidRPr="00641432" w:rsidRDefault="00EB32FC" w:rsidP="00641432"/>
    <w:p w:rsidR="005272DE" w:rsidRPr="00641432" w:rsidRDefault="005272DE" w:rsidP="006414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32"/>
      </w:tblGrid>
      <w:tr w:rsidR="00EC2B5F" w:rsidRPr="00B95056" w:rsidTr="00CA2DB7">
        <w:trPr>
          <w:trHeight w:val="709"/>
        </w:trPr>
        <w:tc>
          <w:tcPr>
            <w:tcW w:w="3510" w:type="dxa"/>
          </w:tcPr>
          <w:p w:rsidR="00EC2B5F" w:rsidRPr="00B95056" w:rsidRDefault="00EC2B5F" w:rsidP="00940071">
            <w:pPr>
              <w:pStyle w:val="zContactheadings"/>
              <w:spacing w:before="240"/>
            </w:pPr>
          </w:p>
        </w:tc>
        <w:tc>
          <w:tcPr>
            <w:tcW w:w="5732" w:type="dxa"/>
          </w:tcPr>
          <w:p w:rsidR="00EC2B5F" w:rsidRPr="00B56899" w:rsidRDefault="00EC2B5F" w:rsidP="00940071">
            <w:pPr>
              <w:pStyle w:val="zContactdetails"/>
              <w:spacing w:before="240"/>
            </w:pPr>
          </w:p>
        </w:tc>
      </w:tr>
      <w:tr w:rsidR="00EC2B5F" w:rsidRPr="00B95056" w:rsidTr="00CA2DB7">
        <w:trPr>
          <w:trHeight w:val="709"/>
        </w:trPr>
        <w:tc>
          <w:tcPr>
            <w:tcW w:w="3510" w:type="dxa"/>
          </w:tcPr>
          <w:p w:rsidR="00EC2B5F" w:rsidRPr="00B95056" w:rsidRDefault="00EC2B5F" w:rsidP="00940071">
            <w:pPr>
              <w:pStyle w:val="zContactheadings"/>
              <w:spacing w:before="240"/>
            </w:pPr>
          </w:p>
        </w:tc>
        <w:tc>
          <w:tcPr>
            <w:tcW w:w="5732" w:type="dxa"/>
          </w:tcPr>
          <w:p w:rsidR="00EC2B5F" w:rsidRPr="00B56899" w:rsidRDefault="00EC2B5F" w:rsidP="00D141C9">
            <w:pPr>
              <w:pStyle w:val="zContactdetails"/>
              <w:spacing w:before="240"/>
            </w:pPr>
          </w:p>
        </w:tc>
      </w:tr>
      <w:tr w:rsidR="00EC2B5F" w:rsidTr="00B56899">
        <w:trPr>
          <w:trHeight w:val="709"/>
        </w:trPr>
        <w:tc>
          <w:tcPr>
            <w:tcW w:w="3510" w:type="dxa"/>
          </w:tcPr>
          <w:p w:rsidR="00EC2B5F" w:rsidRPr="00B95056" w:rsidRDefault="00EC2B5F" w:rsidP="00940071">
            <w:pPr>
              <w:pStyle w:val="zContactheadings"/>
              <w:spacing w:before="240"/>
            </w:pPr>
            <w:r>
              <w:rPr>
                <w:szCs w:val="28"/>
              </w:rPr>
              <w:t xml:space="preserve">Date of </w:t>
            </w:r>
            <w:r w:rsidR="006412E7">
              <w:rPr>
                <w:szCs w:val="28"/>
              </w:rPr>
              <w:t xml:space="preserve">draft </w:t>
            </w:r>
            <w:r>
              <w:rPr>
                <w:szCs w:val="28"/>
              </w:rPr>
              <w:t>determination:</w:t>
            </w:r>
          </w:p>
        </w:tc>
        <w:tc>
          <w:tcPr>
            <w:tcW w:w="5732" w:type="dxa"/>
          </w:tcPr>
          <w:p w:rsidR="00EC2B5F" w:rsidRPr="00B56899" w:rsidRDefault="00FE0BAC" w:rsidP="00940071">
            <w:pPr>
              <w:pStyle w:val="zContactdetails"/>
              <w:spacing w:before="240"/>
            </w:pPr>
            <w:r>
              <w:rPr>
                <w:szCs w:val="28"/>
              </w:rPr>
              <w:t>20 October 2014</w:t>
            </w:r>
          </w:p>
        </w:tc>
      </w:tr>
    </w:tbl>
    <w:p w:rsidR="009550AB" w:rsidRDefault="009550AB" w:rsidP="00641432"/>
    <w:p w:rsidR="00F406D1" w:rsidRDefault="00F406D1" w:rsidP="00641432"/>
    <w:p w:rsidR="00FE0BAC" w:rsidRDefault="00FE0BAC" w:rsidP="00641432"/>
    <w:p w:rsidR="00FE0BAC" w:rsidRDefault="00FE0BAC" w:rsidP="00641432"/>
    <w:p w:rsidR="00FE0BAC" w:rsidRDefault="00FE0BAC" w:rsidP="00641432"/>
    <w:p w:rsidR="00FE0BAC" w:rsidRDefault="00FE0BAC" w:rsidP="00641432"/>
    <w:p w:rsidR="00FE0BAC" w:rsidRDefault="00FE0BAC" w:rsidP="00641432"/>
    <w:p w:rsidR="00FE0BAC" w:rsidRDefault="00FE0BAC" w:rsidP="00641432"/>
    <w:p w:rsidR="00FE0BAC" w:rsidRDefault="00FE0BAC" w:rsidP="00641432"/>
    <w:p w:rsidR="00FE0BAC" w:rsidRDefault="00FE0BAC" w:rsidP="00641432"/>
    <w:p w:rsidR="00FE0BAC" w:rsidRDefault="00FE0BAC" w:rsidP="00641432"/>
    <w:p w:rsidR="00EC2B5F" w:rsidRPr="00E53109" w:rsidRDefault="00EC2B5F" w:rsidP="00EC2B5F">
      <w:pPr>
        <w:pBdr>
          <w:top w:val="single" w:sz="4" w:space="6" w:color="auto"/>
          <w:left w:val="single" w:sz="4" w:space="31" w:color="auto"/>
          <w:bottom w:val="single" w:sz="4" w:space="6" w:color="auto"/>
          <w:right w:val="single" w:sz="4" w:space="4" w:color="auto"/>
        </w:pBdr>
        <w:shd w:val="clear" w:color="auto" w:fill="BFBFBF"/>
        <w:tabs>
          <w:tab w:val="left" w:pos="709"/>
        </w:tabs>
        <w:spacing w:before="240" w:after="240"/>
        <w:ind w:left="709"/>
        <w:rPr>
          <w:b/>
        </w:rPr>
      </w:pPr>
      <w:r w:rsidRPr="00E53109">
        <w:rPr>
          <w:b/>
        </w:rPr>
        <w:t>THIS DRAFT DETERMINATION IS FOR CONSULTATION PURPOSES ONLY</w:t>
      </w:r>
    </w:p>
    <w:p w:rsidR="00EC2B5F" w:rsidRPr="00E53109" w:rsidRDefault="00EC2B5F" w:rsidP="00EC2B5F">
      <w:pPr>
        <w:pBdr>
          <w:top w:val="single" w:sz="4" w:space="6" w:color="auto"/>
          <w:left w:val="single" w:sz="4" w:space="31" w:color="auto"/>
          <w:bottom w:val="single" w:sz="4" w:space="6" w:color="auto"/>
          <w:right w:val="single" w:sz="4" w:space="4" w:color="auto"/>
        </w:pBdr>
        <w:shd w:val="clear" w:color="auto" w:fill="BFBFBF"/>
        <w:tabs>
          <w:tab w:val="left" w:pos="709"/>
        </w:tabs>
        <w:spacing w:before="240" w:after="240"/>
        <w:ind w:left="709"/>
      </w:pPr>
      <w:r w:rsidRPr="00E53109">
        <w:t>Regulation Branch, Commerce Commission</w:t>
      </w:r>
    </w:p>
    <w:p w:rsidR="00EC2B5F" w:rsidRPr="00E53109" w:rsidRDefault="00EC2B5F" w:rsidP="00EC2B5F">
      <w:pPr>
        <w:pBdr>
          <w:top w:val="single" w:sz="4" w:space="6" w:color="auto"/>
          <w:left w:val="single" w:sz="4" w:space="31" w:color="auto"/>
          <w:bottom w:val="single" w:sz="4" w:space="6" w:color="auto"/>
          <w:right w:val="single" w:sz="4" w:space="4" w:color="auto"/>
        </w:pBdr>
        <w:shd w:val="clear" w:color="auto" w:fill="BFBFBF"/>
        <w:tabs>
          <w:tab w:val="left" w:pos="709"/>
        </w:tabs>
        <w:spacing w:before="240" w:after="240"/>
        <w:ind w:left="709"/>
      </w:pPr>
      <w:r w:rsidRPr="00E53109">
        <w:t>Wellington, NEW ZEALAND</w:t>
      </w:r>
    </w:p>
    <w:p w:rsidR="00EC2B5F" w:rsidRPr="00E53109" w:rsidRDefault="00FE0BAC" w:rsidP="00EC2B5F">
      <w:pPr>
        <w:pBdr>
          <w:top w:val="single" w:sz="4" w:space="6" w:color="auto"/>
          <w:left w:val="single" w:sz="4" w:space="31" w:color="auto"/>
          <w:bottom w:val="single" w:sz="4" w:space="6" w:color="auto"/>
          <w:right w:val="single" w:sz="4" w:space="4" w:color="auto"/>
        </w:pBdr>
        <w:shd w:val="clear" w:color="auto" w:fill="BFBFBF"/>
        <w:tabs>
          <w:tab w:val="left" w:pos="709"/>
        </w:tabs>
        <w:spacing w:before="240" w:after="240"/>
        <w:ind w:left="709"/>
      </w:pPr>
      <w:r>
        <w:t>20 October 2014</w:t>
      </w:r>
    </w:p>
    <w:p w:rsidR="00940071" w:rsidRDefault="0094007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1997"/>
        <w:gridCol w:w="4589"/>
      </w:tblGrid>
      <w:tr w:rsidR="00EC2B5F" w:rsidRPr="00E53109" w:rsidTr="00CA2DB7">
        <w:trPr>
          <w:cantSplit/>
          <w:trHeight w:val="240"/>
          <w:jc w:val="center"/>
        </w:trPr>
        <w:tc>
          <w:tcPr>
            <w:tcW w:w="8658" w:type="dxa"/>
            <w:gridSpan w:val="3"/>
            <w:tcBorders>
              <w:bottom w:val="single" w:sz="4" w:space="0" w:color="auto"/>
            </w:tcBorders>
            <w:shd w:val="clear" w:color="auto" w:fill="D9D9D9"/>
          </w:tcPr>
          <w:p w:rsidR="00EC2B5F" w:rsidRPr="00E53109" w:rsidRDefault="009C2B56" w:rsidP="009C2B56">
            <w:pPr>
              <w:spacing w:before="60" w:after="60" w:line="264" w:lineRule="atLeast"/>
              <w:ind w:left="57" w:right="57"/>
              <w:rPr>
                <w:b/>
              </w:rPr>
            </w:pPr>
            <w:r w:rsidRPr="00E53109">
              <w:rPr>
                <w:b/>
              </w:rPr>
              <w:lastRenderedPageBreak/>
              <w:t>D</w:t>
            </w:r>
            <w:r>
              <w:rPr>
                <w:b/>
              </w:rPr>
              <w:t>ocument</w:t>
            </w:r>
            <w:r w:rsidRPr="00E53109">
              <w:rPr>
                <w:b/>
              </w:rPr>
              <w:t xml:space="preserve"> </w:t>
            </w:r>
            <w:r w:rsidR="00EC2B5F" w:rsidRPr="00E53109">
              <w:rPr>
                <w:b/>
              </w:rPr>
              <w:t xml:space="preserve">version history </w:t>
            </w:r>
          </w:p>
        </w:tc>
      </w:tr>
      <w:tr w:rsidR="00EC2B5F" w:rsidRPr="00E53109" w:rsidTr="00CA2DB7">
        <w:trPr>
          <w:cantSplit/>
          <w:trHeight w:val="240"/>
          <w:jc w:val="center"/>
        </w:trPr>
        <w:tc>
          <w:tcPr>
            <w:tcW w:w="8658" w:type="dxa"/>
            <w:gridSpan w:val="3"/>
            <w:shd w:val="clear" w:color="auto" w:fill="FFFFFF"/>
          </w:tcPr>
          <w:p w:rsidR="00EC2B5F" w:rsidRPr="00E53109" w:rsidRDefault="00EC2B5F" w:rsidP="00EC2B5F">
            <w:pPr>
              <w:spacing w:before="60" w:after="240" w:line="264" w:lineRule="atLeast"/>
              <w:ind w:left="57" w:right="57"/>
            </w:pPr>
          </w:p>
        </w:tc>
      </w:tr>
      <w:tr w:rsidR="00EC2B5F" w:rsidRPr="00E53109" w:rsidTr="00FE0BAC">
        <w:trPr>
          <w:cantSplit/>
          <w:trHeight w:val="240"/>
          <w:jc w:val="center"/>
        </w:trPr>
        <w:tc>
          <w:tcPr>
            <w:tcW w:w="2072" w:type="dxa"/>
            <w:shd w:val="clear" w:color="auto" w:fill="D9D9D9"/>
          </w:tcPr>
          <w:p w:rsidR="00EC2B5F" w:rsidRPr="00E53109" w:rsidRDefault="009C2B56" w:rsidP="00CA2DB7">
            <w:pPr>
              <w:spacing w:before="60" w:after="60" w:line="264" w:lineRule="atLeast"/>
              <w:ind w:left="57" w:right="57"/>
              <w:rPr>
                <w:b/>
              </w:rPr>
            </w:pPr>
            <w:r>
              <w:rPr>
                <w:b/>
              </w:rPr>
              <w:t>Publication date</w:t>
            </w:r>
            <w:r w:rsidR="00EC2B5F" w:rsidRPr="00E53109">
              <w:rPr>
                <w:b/>
              </w:rPr>
              <w:t xml:space="preserve"> </w:t>
            </w:r>
          </w:p>
        </w:tc>
        <w:tc>
          <w:tcPr>
            <w:tcW w:w="1997" w:type="dxa"/>
            <w:shd w:val="clear" w:color="auto" w:fill="D9D9D9"/>
          </w:tcPr>
          <w:p w:rsidR="00EC2B5F" w:rsidRPr="00E53109" w:rsidRDefault="009C2B56" w:rsidP="00CA2DB7">
            <w:pPr>
              <w:spacing w:before="60" w:after="60" w:line="264" w:lineRule="atLeast"/>
              <w:ind w:left="57" w:right="57"/>
              <w:rPr>
                <w:b/>
              </w:rPr>
            </w:pPr>
            <w:r>
              <w:rPr>
                <w:b/>
              </w:rPr>
              <w:t>Reference number</w:t>
            </w:r>
            <w:r w:rsidR="00EC2B5F" w:rsidRPr="00E53109">
              <w:rPr>
                <w:b/>
              </w:rPr>
              <w:t xml:space="preserve"> </w:t>
            </w:r>
          </w:p>
        </w:tc>
        <w:tc>
          <w:tcPr>
            <w:tcW w:w="4589" w:type="dxa"/>
            <w:shd w:val="clear" w:color="auto" w:fill="D9D9D9"/>
          </w:tcPr>
          <w:p w:rsidR="00EC2B5F" w:rsidRPr="00E53109" w:rsidRDefault="009C2B56" w:rsidP="00CA2DB7">
            <w:pPr>
              <w:spacing w:before="60" w:after="60" w:line="264" w:lineRule="atLeast"/>
              <w:ind w:left="57" w:right="57"/>
              <w:rPr>
                <w:b/>
              </w:rPr>
            </w:pPr>
            <w:r>
              <w:rPr>
                <w:b/>
              </w:rPr>
              <w:t xml:space="preserve">Document </w:t>
            </w:r>
            <w:r w:rsidR="00EC2B5F" w:rsidRPr="00E53109">
              <w:rPr>
                <w:b/>
              </w:rPr>
              <w:t xml:space="preserve">name </w:t>
            </w:r>
          </w:p>
        </w:tc>
      </w:tr>
      <w:tr w:rsidR="00EC2B5F" w:rsidRPr="00E53109" w:rsidTr="00FE0BAC">
        <w:trPr>
          <w:cantSplit/>
          <w:trHeight w:val="532"/>
          <w:jc w:val="center"/>
        </w:trPr>
        <w:tc>
          <w:tcPr>
            <w:tcW w:w="2072" w:type="dxa"/>
            <w:shd w:val="clear" w:color="auto" w:fill="auto"/>
          </w:tcPr>
          <w:p w:rsidR="00EC2B5F" w:rsidRPr="00FE0BAC" w:rsidRDefault="00FE0BAC" w:rsidP="002F14D4">
            <w:pPr>
              <w:spacing w:before="60" w:after="60" w:line="264" w:lineRule="atLeast"/>
              <w:ind w:left="57" w:right="57"/>
            </w:pPr>
            <w:r w:rsidRPr="00FE0BAC">
              <w:t>20 October 2014</w:t>
            </w:r>
          </w:p>
        </w:tc>
        <w:tc>
          <w:tcPr>
            <w:tcW w:w="1997" w:type="dxa"/>
            <w:shd w:val="clear" w:color="auto" w:fill="auto"/>
          </w:tcPr>
          <w:p w:rsidR="00EC2B5F" w:rsidRPr="00FE0BAC" w:rsidRDefault="009C2B56" w:rsidP="004B635A">
            <w:pPr>
              <w:spacing w:before="60" w:after="60" w:line="264" w:lineRule="atLeast"/>
              <w:ind w:left="57" w:right="57"/>
            </w:pPr>
            <w:r w:rsidRPr="00FE0BAC">
              <w:t>ISSN 1178–2560</w:t>
            </w:r>
          </w:p>
        </w:tc>
        <w:tc>
          <w:tcPr>
            <w:tcW w:w="4589" w:type="dxa"/>
            <w:shd w:val="clear" w:color="auto" w:fill="auto"/>
          </w:tcPr>
          <w:p w:rsidR="00EC2B5F" w:rsidRPr="00E53109" w:rsidRDefault="00EC2B5F" w:rsidP="006412E7">
            <w:pPr>
              <w:spacing w:before="60" w:after="60" w:line="264" w:lineRule="atLeast"/>
              <w:ind w:left="57" w:right="57"/>
            </w:pPr>
            <w:r w:rsidRPr="00FE0BAC">
              <w:t xml:space="preserve">Electricity </w:t>
            </w:r>
            <w:r w:rsidR="006412E7" w:rsidRPr="00FE0BAC">
              <w:t>Distribution Services De</w:t>
            </w:r>
            <w:r w:rsidRPr="00FE0BAC">
              <w:t xml:space="preserve">fault </w:t>
            </w:r>
            <w:r w:rsidR="006412E7" w:rsidRPr="00FE0BAC">
              <w:t>Price</w:t>
            </w:r>
            <w:r w:rsidRPr="00FE0BAC">
              <w:t xml:space="preserve">-quality </w:t>
            </w:r>
            <w:r w:rsidR="006412E7" w:rsidRPr="00FE0BAC">
              <w:t xml:space="preserve">Path </w:t>
            </w:r>
            <w:r w:rsidR="009C2B56" w:rsidRPr="00FE0BAC">
              <w:t xml:space="preserve">Draft </w:t>
            </w:r>
            <w:r w:rsidR="006412E7" w:rsidRPr="00FE0BAC">
              <w:t>Determination</w:t>
            </w:r>
            <w:r w:rsidR="002F14D4" w:rsidRPr="00FE0BAC">
              <w:t xml:space="preserve"> 2015</w:t>
            </w:r>
          </w:p>
        </w:tc>
      </w:tr>
    </w:tbl>
    <w:p w:rsidR="00F168EE" w:rsidRDefault="00F168EE" w:rsidP="00F168EE">
      <w:pPr>
        <w:pStyle w:val="BodyText"/>
      </w:pPr>
    </w:p>
    <w:p w:rsidR="00F168EE" w:rsidRDefault="00F168EE">
      <w:r>
        <w:br w:type="page"/>
      </w:r>
    </w:p>
    <w:p w:rsidR="0040744E" w:rsidRDefault="0040744E" w:rsidP="0040744E">
      <w:pPr>
        <w:pStyle w:val="Heading1"/>
      </w:pPr>
      <w:r>
        <w:lastRenderedPageBreak/>
        <w:t>Contents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945"/>
        <w:gridCol w:w="567"/>
      </w:tblGrid>
      <w:tr w:rsidR="0040744E" w:rsidRPr="0040744E" w:rsidTr="00EF3847">
        <w:trPr>
          <w:trHeight w:val="567"/>
        </w:trPr>
        <w:tc>
          <w:tcPr>
            <w:tcW w:w="1560" w:type="dxa"/>
            <w:vAlign w:val="center"/>
          </w:tcPr>
          <w:p w:rsidR="0040744E" w:rsidRPr="00473D92" w:rsidRDefault="0040744E" w:rsidP="00E57444">
            <w:pPr>
              <w:pStyle w:val="BodyText"/>
              <w:spacing w:after="0"/>
              <w:rPr>
                <w:b/>
              </w:rPr>
            </w:pPr>
            <w:r w:rsidRPr="00473D92">
              <w:rPr>
                <w:b/>
              </w:rPr>
              <w:t>1</w:t>
            </w:r>
          </w:p>
        </w:tc>
        <w:tc>
          <w:tcPr>
            <w:tcW w:w="6945" w:type="dxa"/>
            <w:vAlign w:val="center"/>
          </w:tcPr>
          <w:p w:rsidR="0040744E" w:rsidRPr="0040744E" w:rsidRDefault="0040744E" w:rsidP="00652B78">
            <w:pPr>
              <w:pStyle w:val="BodyText"/>
              <w:spacing w:after="0"/>
            </w:pPr>
            <w:r w:rsidRPr="0040744E">
              <w:t xml:space="preserve">Short </w:t>
            </w:r>
            <w:r w:rsidR="00652B78">
              <w:t>t</w:t>
            </w:r>
            <w:r w:rsidRPr="0040744E">
              <w:t>itle</w:t>
            </w:r>
          </w:p>
        </w:tc>
        <w:tc>
          <w:tcPr>
            <w:tcW w:w="567" w:type="dxa"/>
            <w:vAlign w:val="center"/>
          </w:tcPr>
          <w:p w:rsidR="0040744E" w:rsidRPr="0040744E" w:rsidRDefault="004E2309" w:rsidP="0040744E">
            <w:pPr>
              <w:pStyle w:val="BodyText"/>
              <w:spacing w:after="0"/>
              <w:jc w:val="right"/>
            </w:pPr>
            <w:r>
              <w:fldChar w:fldCharType="begin"/>
            </w:r>
            <w:r>
              <w:instrText xml:space="preserve"> PAGEREF _Ref392776990 \h </w:instrText>
            </w:r>
            <w:r>
              <w:fldChar w:fldCharType="separate"/>
            </w:r>
            <w:r w:rsidR="00B56D36">
              <w:rPr>
                <w:noProof/>
              </w:rPr>
              <w:t>5</w:t>
            </w:r>
            <w:r>
              <w:fldChar w:fldCharType="end"/>
            </w:r>
          </w:p>
        </w:tc>
      </w:tr>
      <w:tr w:rsidR="0040744E" w:rsidRPr="00473D92" w:rsidTr="00EF3847">
        <w:trPr>
          <w:trHeight w:val="567"/>
        </w:trPr>
        <w:tc>
          <w:tcPr>
            <w:tcW w:w="1560" w:type="dxa"/>
            <w:vAlign w:val="center"/>
          </w:tcPr>
          <w:p w:rsidR="0040744E" w:rsidRPr="00473D92" w:rsidRDefault="0040744E" w:rsidP="00E57444">
            <w:pPr>
              <w:pStyle w:val="BodyText"/>
              <w:spacing w:after="0"/>
              <w:rPr>
                <w:b/>
              </w:rPr>
            </w:pPr>
            <w:r w:rsidRPr="00473D92">
              <w:rPr>
                <w:b/>
              </w:rPr>
              <w:t>2</w:t>
            </w:r>
          </w:p>
        </w:tc>
        <w:tc>
          <w:tcPr>
            <w:tcW w:w="6945" w:type="dxa"/>
            <w:vAlign w:val="center"/>
          </w:tcPr>
          <w:p w:rsidR="0040744E" w:rsidRPr="00473D92" w:rsidRDefault="0040744E" w:rsidP="0040744E">
            <w:pPr>
              <w:pStyle w:val="BodyText"/>
              <w:spacing w:after="0"/>
            </w:pPr>
            <w:r w:rsidRPr="00473D92">
              <w:t>Commencement</w:t>
            </w:r>
          </w:p>
        </w:tc>
        <w:tc>
          <w:tcPr>
            <w:tcW w:w="567" w:type="dxa"/>
            <w:vAlign w:val="center"/>
          </w:tcPr>
          <w:p w:rsidR="0040744E" w:rsidRPr="00473D92" w:rsidRDefault="004E2309" w:rsidP="0040744E">
            <w:pPr>
              <w:pStyle w:val="BodyText"/>
              <w:spacing w:after="0"/>
              <w:jc w:val="right"/>
            </w:pPr>
            <w:r w:rsidRPr="00473D92">
              <w:fldChar w:fldCharType="begin"/>
            </w:r>
            <w:r w:rsidRPr="00473D92">
              <w:instrText xml:space="preserve"> PAGEREF _Ref392777007 \h </w:instrText>
            </w:r>
            <w:r w:rsidRPr="00473D92">
              <w:fldChar w:fldCharType="separate"/>
            </w:r>
            <w:r w:rsidR="00B56D36">
              <w:rPr>
                <w:noProof/>
              </w:rPr>
              <w:t>5</w:t>
            </w:r>
            <w:r w:rsidRPr="00473D92">
              <w:fldChar w:fldCharType="end"/>
            </w:r>
          </w:p>
        </w:tc>
      </w:tr>
      <w:tr w:rsidR="0040744E" w:rsidRPr="00473D92" w:rsidTr="00EF3847">
        <w:trPr>
          <w:trHeight w:val="567"/>
        </w:trPr>
        <w:tc>
          <w:tcPr>
            <w:tcW w:w="1560" w:type="dxa"/>
            <w:vAlign w:val="center"/>
          </w:tcPr>
          <w:p w:rsidR="0040744E" w:rsidRPr="00473D92" w:rsidRDefault="0040744E" w:rsidP="00E57444">
            <w:pPr>
              <w:pStyle w:val="BodyText"/>
              <w:spacing w:after="0"/>
              <w:rPr>
                <w:b/>
              </w:rPr>
            </w:pPr>
            <w:r w:rsidRPr="00473D92">
              <w:rPr>
                <w:b/>
              </w:rPr>
              <w:t>3</w:t>
            </w:r>
          </w:p>
        </w:tc>
        <w:tc>
          <w:tcPr>
            <w:tcW w:w="6945" w:type="dxa"/>
            <w:vAlign w:val="center"/>
          </w:tcPr>
          <w:p w:rsidR="0040744E" w:rsidRPr="00473D92" w:rsidRDefault="0040744E" w:rsidP="0040744E">
            <w:pPr>
              <w:pStyle w:val="BodyText"/>
              <w:spacing w:after="0"/>
            </w:pPr>
            <w:r w:rsidRPr="00473D92">
              <w:t>Application</w:t>
            </w:r>
          </w:p>
        </w:tc>
        <w:tc>
          <w:tcPr>
            <w:tcW w:w="567" w:type="dxa"/>
            <w:vAlign w:val="center"/>
          </w:tcPr>
          <w:p w:rsidR="0040744E" w:rsidRPr="00473D92" w:rsidRDefault="004E2309" w:rsidP="0040744E">
            <w:pPr>
              <w:pStyle w:val="BodyText"/>
              <w:spacing w:after="0"/>
              <w:jc w:val="right"/>
            </w:pPr>
            <w:r w:rsidRPr="00473D92">
              <w:fldChar w:fldCharType="begin"/>
            </w:r>
            <w:r w:rsidRPr="00473D92">
              <w:instrText xml:space="preserve"> PAGEREF _Ref392777014 \h </w:instrText>
            </w:r>
            <w:r w:rsidRPr="00473D92">
              <w:fldChar w:fldCharType="separate"/>
            </w:r>
            <w:r w:rsidR="00B56D36">
              <w:rPr>
                <w:noProof/>
              </w:rPr>
              <w:t>5</w:t>
            </w:r>
            <w:r w:rsidRPr="00473D92">
              <w:fldChar w:fldCharType="end"/>
            </w:r>
          </w:p>
        </w:tc>
      </w:tr>
      <w:tr w:rsidR="0040744E" w:rsidRPr="00473D92" w:rsidTr="00EF3847">
        <w:trPr>
          <w:trHeight w:val="567"/>
        </w:trPr>
        <w:tc>
          <w:tcPr>
            <w:tcW w:w="1560" w:type="dxa"/>
            <w:vAlign w:val="center"/>
          </w:tcPr>
          <w:p w:rsidR="0040744E" w:rsidRPr="00473D92" w:rsidRDefault="0040744E" w:rsidP="00E57444">
            <w:pPr>
              <w:pStyle w:val="BodyText"/>
              <w:spacing w:after="0"/>
              <w:rPr>
                <w:b/>
              </w:rPr>
            </w:pPr>
            <w:r w:rsidRPr="00473D92">
              <w:rPr>
                <w:b/>
              </w:rPr>
              <w:t>4</w:t>
            </w:r>
          </w:p>
        </w:tc>
        <w:tc>
          <w:tcPr>
            <w:tcW w:w="6945" w:type="dxa"/>
            <w:vAlign w:val="center"/>
          </w:tcPr>
          <w:p w:rsidR="0040744E" w:rsidRPr="00473D92" w:rsidRDefault="0040744E" w:rsidP="0040744E">
            <w:pPr>
              <w:pStyle w:val="BodyText"/>
              <w:spacing w:after="0"/>
            </w:pPr>
            <w:r w:rsidRPr="00473D92">
              <w:t>Interpretation</w:t>
            </w:r>
          </w:p>
        </w:tc>
        <w:tc>
          <w:tcPr>
            <w:tcW w:w="567" w:type="dxa"/>
            <w:vAlign w:val="center"/>
          </w:tcPr>
          <w:p w:rsidR="0040744E" w:rsidRPr="00473D92" w:rsidRDefault="004E2309" w:rsidP="003C0120">
            <w:pPr>
              <w:pStyle w:val="BodyText"/>
              <w:spacing w:after="0"/>
              <w:jc w:val="right"/>
            </w:pPr>
            <w:r w:rsidRPr="00473D92">
              <w:fldChar w:fldCharType="begin"/>
            </w:r>
            <w:r w:rsidRPr="00473D92">
              <w:instrText xml:space="preserve"> PAGEREF _Ref392777019 \h </w:instrText>
            </w:r>
            <w:r w:rsidRPr="00473D92">
              <w:fldChar w:fldCharType="separate"/>
            </w:r>
            <w:r w:rsidR="00B56D36">
              <w:rPr>
                <w:noProof/>
              </w:rPr>
              <w:t>5</w:t>
            </w:r>
            <w:r w:rsidRPr="00473D92">
              <w:fldChar w:fldCharType="end"/>
            </w:r>
          </w:p>
        </w:tc>
      </w:tr>
      <w:tr w:rsidR="0040744E" w:rsidRPr="00473D92" w:rsidTr="00EF3847">
        <w:trPr>
          <w:trHeight w:val="567"/>
        </w:trPr>
        <w:tc>
          <w:tcPr>
            <w:tcW w:w="1560" w:type="dxa"/>
            <w:vAlign w:val="center"/>
          </w:tcPr>
          <w:p w:rsidR="0040744E" w:rsidRPr="00473D92" w:rsidRDefault="0040744E" w:rsidP="00E57444">
            <w:pPr>
              <w:pStyle w:val="BodyText"/>
              <w:spacing w:after="0"/>
              <w:rPr>
                <w:b/>
              </w:rPr>
            </w:pPr>
            <w:r w:rsidRPr="00473D92">
              <w:rPr>
                <w:b/>
              </w:rPr>
              <w:t>5</w:t>
            </w:r>
          </w:p>
        </w:tc>
        <w:tc>
          <w:tcPr>
            <w:tcW w:w="6945" w:type="dxa"/>
            <w:vAlign w:val="center"/>
          </w:tcPr>
          <w:p w:rsidR="0040744E" w:rsidRPr="00473D92" w:rsidRDefault="0040744E" w:rsidP="0040744E">
            <w:pPr>
              <w:pStyle w:val="BodyText"/>
              <w:spacing w:after="0"/>
            </w:pPr>
            <w:r w:rsidRPr="00473D92">
              <w:t>Default / customised price-quality path</w:t>
            </w:r>
          </w:p>
        </w:tc>
        <w:tc>
          <w:tcPr>
            <w:tcW w:w="567" w:type="dxa"/>
            <w:vAlign w:val="center"/>
          </w:tcPr>
          <w:p w:rsidR="0040744E" w:rsidRPr="00473D92" w:rsidRDefault="004E2309" w:rsidP="0040744E">
            <w:pPr>
              <w:pStyle w:val="BodyText"/>
              <w:spacing w:after="0"/>
              <w:jc w:val="right"/>
            </w:pPr>
            <w:r w:rsidRPr="00473D92">
              <w:fldChar w:fldCharType="begin"/>
            </w:r>
            <w:r w:rsidRPr="00473D92">
              <w:instrText xml:space="preserve"> PAGEREF _Ref392777030 \h </w:instrText>
            </w:r>
            <w:r w:rsidRPr="00473D92">
              <w:fldChar w:fldCharType="separate"/>
            </w:r>
            <w:r w:rsidR="00B56D36">
              <w:rPr>
                <w:noProof/>
              </w:rPr>
              <w:t>11</w:t>
            </w:r>
            <w:r w:rsidRPr="00473D92">
              <w:fldChar w:fldCharType="end"/>
            </w:r>
          </w:p>
        </w:tc>
      </w:tr>
      <w:tr w:rsidR="0040744E" w:rsidRPr="00473D92" w:rsidTr="00EF3847">
        <w:trPr>
          <w:trHeight w:val="567"/>
        </w:trPr>
        <w:tc>
          <w:tcPr>
            <w:tcW w:w="1560" w:type="dxa"/>
            <w:vAlign w:val="center"/>
          </w:tcPr>
          <w:p w:rsidR="0040744E" w:rsidRPr="00473D92" w:rsidRDefault="0040744E" w:rsidP="00E57444">
            <w:pPr>
              <w:pStyle w:val="BodyText"/>
              <w:spacing w:after="0"/>
              <w:rPr>
                <w:b/>
              </w:rPr>
            </w:pPr>
            <w:r w:rsidRPr="00473D92">
              <w:rPr>
                <w:b/>
              </w:rPr>
              <w:t>6</w:t>
            </w:r>
          </w:p>
        </w:tc>
        <w:tc>
          <w:tcPr>
            <w:tcW w:w="6945" w:type="dxa"/>
            <w:vAlign w:val="center"/>
          </w:tcPr>
          <w:p w:rsidR="0040744E" w:rsidRPr="00473D92" w:rsidRDefault="0040744E" w:rsidP="0040744E">
            <w:pPr>
              <w:pStyle w:val="BodyText"/>
              <w:spacing w:after="0"/>
            </w:pPr>
            <w:r w:rsidRPr="00473D92">
              <w:t>Applicable input methodologies</w:t>
            </w:r>
          </w:p>
        </w:tc>
        <w:tc>
          <w:tcPr>
            <w:tcW w:w="567" w:type="dxa"/>
            <w:vAlign w:val="center"/>
          </w:tcPr>
          <w:p w:rsidR="0040744E" w:rsidRPr="00473D92" w:rsidRDefault="0045571B" w:rsidP="00A01AEA">
            <w:pPr>
              <w:pStyle w:val="BodyText"/>
              <w:spacing w:after="0"/>
              <w:jc w:val="right"/>
            </w:pPr>
            <w:r>
              <w:t>11</w:t>
            </w:r>
          </w:p>
        </w:tc>
      </w:tr>
      <w:tr w:rsidR="0040744E" w:rsidRPr="00473D92" w:rsidTr="00EF3847">
        <w:trPr>
          <w:trHeight w:val="567"/>
        </w:trPr>
        <w:tc>
          <w:tcPr>
            <w:tcW w:w="1560" w:type="dxa"/>
            <w:vAlign w:val="center"/>
          </w:tcPr>
          <w:p w:rsidR="0040744E" w:rsidRPr="00473D92" w:rsidRDefault="0040744E" w:rsidP="00E57444">
            <w:pPr>
              <w:pStyle w:val="BodyText"/>
              <w:spacing w:after="0"/>
              <w:rPr>
                <w:b/>
              </w:rPr>
            </w:pPr>
            <w:r w:rsidRPr="00473D92">
              <w:rPr>
                <w:b/>
              </w:rPr>
              <w:t>7</w:t>
            </w:r>
          </w:p>
        </w:tc>
        <w:tc>
          <w:tcPr>
            <w:tcW w:w="6945" w:type="dxa"/>
            <w:vAlign w:val="center"/>
          </w:tcPr>
          <w:p w:rsidR="0040744E" w:rsidRPr="00473D92" w:rsidRDefault="0040744E" w:rsidP="0040744E">
            <w:pPr>
              <w:pStyle w:val="BodyText"/>
              <w:spacing w:after="0"/>
            </w:pPr>
            <w:r w:rsidRPr="00473D92">
              <w:t>Dates for proposing a customised price-quality path</w:t>
            </w:r>
          </w:p>
        </w:tc>
        <w:tc>
          <w:tcPr>
            <w:tcW w:w="567" w:type="dxa"/>
            <w:vAlign w:val="center"/>
          </w:tcPr>
          <w:p w:rsidR="0040744E" w:rsidRPr="00473D92" w:rsidRDefault="004E2309" w:rsidP="0040744E">
            <w:pPr>
              <w:pStyle w:val="BodyText"/>
              <w:spacing w:after="0"/>
              <w:jc w:val="right"/>
            </w:pPr>
            <w:r w:rsidRPr="00473D92">
              <w:fldChar w:fldCharType="begin"/>
            </w:r>
            <w:r w:rsidRPr="00473D92">
              <w:instrText xml:space="preserve"> PAGEREF _Ref392777122 \h </w:instrText>
            </w:r>
            <w:r w:rsidRPr="00473D92">
              <w:fldChar w:fldCharType="separate"/>
            </w:r>
            <w:r w:rsidR="00B56D36">
              <w:rPr>
                <w:noProof/>
              </w:rPr>
              <w:t>11</w:t>
            </w:r>
            <w:r w:rsidRPr="00473D92">
              <w:fldChar w:fldCharType="end"/>
            </w:r>
          </w:p>
        </w:tc>
      </w:tr>
      <w:tr w:rsidR="0040744E" w:rsidRPr="00473D92" w:rsidTr="00EF3847">
        <w:trPr>
          <w:trHeight w:val="567"/>
        </w:trPr>
        <w:tc>
          <w:tcPr>
            <w:tcW w:w="1560" w:type="dxa"/>
            <w:vAlign w:val="center"/>
          </w:tcPr>
          <w:p w:rsidR="0040744E" w:rsidRPr="00473D92" w:rsidRDefault="0040744E" w:rsidP="00E57444">
            <w:pPr>
              <w:pStyle w:val="BodyText"/>
              <w:spacing w:after="0"/>
              <w:rPr>
                <w:b/>
              </w:rPr>
            </w:pPr>
            <w:r w:rsidRPr="00473D92">
              <w:rPr>
                <w:b/>
              </w:rPr>
              <w:t>8</w:t>
            </w:r>
          </w:p>
        </w:tc>
        <w:tc>
          <w:tcPr>
            <w:tcW w:w="6945" w:type="dxa"/>
            <w:vAlign w:val="center"/>
          </w:tcPr>
          <w:p w:rsidR="0040744E" w:rsidRPr="00473D92" w:rsidRDefault="0040744E" w:rsidP="0040744E">
            <w:pPr>
              <w:pStyle w:val="BodyText"/>
              <w:spacing w:after="0"/>
            </w:pPr>
            <w:r w:rsidRPr="00473D92">
              <w:t xml:space="preserve">Price </w:t>
            </w:r>
            <w:r w:rsidR="00652B78">
              <w:t>p</w:t>
            </w:r>
            <w:r w:rsidRPr="00473D92">
              <w:t>ath</w:t>
            </w:r>
          </w:p>
        </w:tc>
        <w:tc>
          <w:tcPr>
            <w:tcW w:w="567" w:type="dxa"/>
            <w:vAlign w:val="center"/>
          </w:tcPr>
          <w:p w:rsidR="0040744E" w:rsidRPr="00473D92" w:rsidRDefault="004E2309" w:rsidP="0040744E">
            <w:pPr>
              <w:pStyle w:val="BodyText"/>
              <w:spacing w:after="0"/>
              <w:jc w:val="right"/>
            </w:pPr>
            <w:r w:rsidRPr="00473D92">
              <w:fldChar w:fldCharType="begin"/>
            </w:r>
            <w:r w:rsidRPr="00473D92">
              <w:instrText xml:space="preserve"> PAGEREF _Ref392850120 \h </w:instrText>
            </w:r>
            <w:r w:rsidRPr="00473D92">
              <w:fldChar w:fldCharType="separate"/>
            </w:r>
            <w:r w:rsidR="00B56D36">
              <w:rPr>
                <w:noProof/>
              </w:rPr>
              <w:t>12</w:t>
            </w:r>
            <w:r w:rsidRPr="00473D92">
              <w:fldChar w:fldCharType="end"/>
            </w:r>
          </w:p>
        </w:tc>
      </w:tr>
      <w:tr w:rsidR="0040744E" w:rsidRPr="00473D92" w:rsidTr="00EF3847">
        <w:trPr>
          <w:trHeight w:val="567"/>
        </w:trPr>
        <w:tc>
          <w:tcPr>
            <w:tcW w:w="1560" w:type="dxa"/>
            <w:vAlign w:val="center"/>
          </w:tcPr>
          <w:p w:rsidR="0040744E" w:rsidRPr="00473D92" w:rsidRDefault="0040744E" w:rsidP="00E57444">
            <w:pPr>
              <w:pStyle w:val="BodyText"/>
              <w:spacing w:after="0"/>
              <w:rPr>
                <w:b/>
              </w:rPr>
            </w:pPr>
            <w:r w:rsidRPr="00473D92">
              <w:rPr>
                <w:b/>
              </w:rPr>
              <w:t>9</w:t>
            </w:r>
          </w:p>
        </w:tc>
        <w:tc>
          <w:tcPr>
            <w:tcW w:w="6945" w:type="dxa"/>
            <w:vAlign w:val="center"/>
          </w:tcPr>
          <w:p w:rsidR="0040744E" w:rsidRPr="00473D92" w:rsidRDefault="0040744E" w:rsidP="0040744E">
            <w:pPr>
              <w:pStyle w:val="BodyText"/>
              <w:spacing w:after="0"/>
            </w:pPr>
            <w:r w:rsidRPr="00473D92">
              <w:t xml:space="preserve">Quality </w:t>
            </w:r>
            <w:r w:rsidR="00652B78">
              <w:t>s</w:t>
            </w:r>
            <w:r w:rsidRPr="00473D92">
              <w:t>tandards</w:t>
            </w:r>
          </w:p>
        </w:tc>
        <w:tc>
          <w:tcPr>
            <w:tcW w:w="567" w:type="dxa"/>
            <w:vAlign w:val="center"/>
          </w:tcPr>
          <w:p w:rsidR="0040744E" w:rsidRPr="00473D92" w:rsidRDefault="00A01AEA" w:rsidP="0045571B">
            <w:pPr>
              <w:pStyle w:val="BodyText"/>
              <w:spacing w:after="0"/>
              <w:jc w:val="right"/>
            </w:pPr>
            <w:r>
              <w:t>1</w:t>
            </w:r>
            <w:r w:rsidR="0045571B">
              <w:t>5</w:t>
            </w:r>
          </w:p>
        </w:tc>
      </w:tr>
      <w:tr w:rsidR="0040744E" w:rsidRPr="00473D92" w:rsidTr="00EF3847">
        <w:trPr>
          <w:trHeight w:val="567"/>
        </w:trPr>
        <w:tc>
          <w:tcPr>
            <w:tcW w:w="1560" w:type="dxa"/>
            <w:vAlign w:val="center"/>
          </w:tcPr>
          <w:p w:rsidR="0040744E" w:rsidRPr="00473D92" w:rsidRDefault="0040744E" w:rsidP="00E57444">
            <w:pPr>
              <w:pStyle w:val="BodyText"/>
              <w:spacing w:after="0"/>
              <w:rPr>
                <w:b/>
              </w:rPr>
            </w:pPr>
            <w:r w:rsidRPr="00473D92">
              <w:rPr>
                <w:b/>
              </w:rPr>
              <w:t>10</w:t>
            </w:r>
          </w:p>
        </w:tc>
        <w:tc>
          <w:tcPr>
            <w:tcW w:w="6945" w:type="dxa"/>
            <w:vAlign w:val="center"/>
          </w:tcPr>
          <w:p w:rsidR="0040744E" w:rsidRPr="00473D92" w:rsidRDefault="006412E7" w:rsidP="006412E7">
            <w:pPr>
              <w:pStyle w:val="BodyText"/>
              <w:spacing w:after="0"/>
            </w:pPr>
            <w:r>
              <w:t xml:space="preserve">Large </w:t>
            </w:r>
            <w:r w:rsidR="0040744E" w:rsidRPr="00473D92">
              <w:t>transactions</w:t>
            </w:r>
          </w:p>
        </w:tc>
        <w:tc>
          <w:tcPr>
            <w:tcW w:w="567" w:type="dxa"/>
            <w:vAlign w:val="center"/>
          </w:tcPr>
          <w:p w:rsidR="0040744E" w:rsidRPr="00473D92" w:rsidRDefault="004E2309" w:rsidP="0040744E">
            <w:pPr>
              <w:pStyle w:val="BodyText"/>
              <w:spacing w:after="0"/>
              <w:jc w:val="right"/>
            </w:pPr>
            <w:r w:rsidRPr="00473D92">
              <w:fldChar w:fldCharType="begin"/>
            </w:r>
            <w:r w:rsidRPr="00473D92">
              <w:instrText xml:space="preserve"> PAGEREF _Ref392777186 \h </w:instrText>
            </w:r>
            <w:r w:rsidRPr="00473D92">
              <w:fldChar w:fldCharType="separate"/>
            </w:r>
            <w:r w:rsidR="00B56D36">
              <w:rPr>
                <w:noProof/>
              </w:rPr>
              <w:t>15</w:t>
            </w:r>
            <w:r w:rsidRPr="00473D92">
              <w:fldChar w:fldCharType="end"/>
            </w:r>
          </w:p>
        </w:tc>
      </w:tr>
      <w:tr w:rsidR="0040744E" w:rsidRPr="00473D92" w:rsidTr="00EF3847">
        <w:trPr>
          <w:trHeight w:val="567"/>
        </w:trPr>
        <w:tc>
          <w:tcPr>
            <w:tcW w:w="1560" w:type="dxa"/>
            <w:vAlign w:val="center"/>
          </w:tcPr>
          <w:p w:rsidR="0040744E" w:rsidRPr="00473D92" w:rsidRDefault="0040744E" w:rsidP="00E57444">
            <w:pPr>
              <w:pStyle w:val="BodyText"/>
              <w:spacing w:after="0"/>
              <w:rPr>
                <w:b/>
              </w:rPr>
            </w:pPr>
            <w:r w:rsidRPr="00473D92">
              <w:rPr>
                <w:b/>
              </w:rPr>
              <w:t>11</w:t>
            </w:r>
          </w:p>
        </w:tc>
        <w:tc>
          <w:tcPr>
            <w:tcW w:w="6945" w:type="dxa"/>
            <w:vAlign w:val="center"/>
          </w:tcPr>
          <w:p w:rsidR="0040744E" w:rsidRPr="00473D92" w:rsidRDefault="0040744E" w:rsidP="0040744E">
            <w:pPr>
              <w:pStyle w:val="BodyText"/>
              <w:spacing w:after="0"/>
            </w:pPr>
            <w:r w:rsidRPr="00473D92">
              <w:t>Annual compliance statements</w:t>
            </w:r>
          </w:p>
        </w:tc>
        <w:tc>
          <w:tcPr>
            <w:tcW w:w="567" w:type="dxa"/>
            <w:vAlign w:val="center"/>
          </w:tcPr>
          <w:p w:rsidR="0040744E" w:rsidRPr="00473D92" w:rsidRDefault="004E2309" w:rsidP="0045571B">
            <w:pPr>
              <w:pStyle w:val="BodyText"/>
              <w:spacing w:after="0"/>
              <w:jc w:val="right"/>
            </w:pPr>
            <w:r w:rsidRPr="00473D92">
              <w:fldChar w:fldCharType="begin"/>
            </w:r>
            <w:r w:rsidRPr="00473D92">
              <w:instrText xml:space="preserve"> PAGEREF _Ref392777199 \h </w:instrText>
            </w:r>
            <w:r w:rsidRPr="00473D92">
              <w:fldChar w:fldCharType="separate"/>
            </w:r>
            <w:r w:rsidR="00B56D36">
              <w:rPr>
                <w:noProof/>
              </w:rPr>
              <w:t>17</w:t>
            </w:r>
            <w:r w:rsidRPr="00473D92">
              <w:fldChar w:fldCharType="end"/>
            </w:r>
          </w:p>
        </w:tc>
      </w:tr>
      <w:tr w:rsidR="0040744E" w:rsidRPr="00473D92" w:rsidTr="00EF3847">
        <w:trPr>
          <w:trHeight w:val="567"/>
        </w:trPr>
        <w:tc>
          <w:tcPr>
            <w:tcW w:w="1560" w:type="dxa"/>
            <w:vAlign w:val="center"/>
          </w:tcPr>
          <w:p w:rsidR="0040744E" w:rsidRPr="00473D92" w:rsidRDefault="0040744E" w:rsidP="00E57444">
            <w:pPr>
              <w:pStyle w:val="BodyText"/>
              <w:spacing w:after="0"/>
              <w:rPr>
                <w:b/>
              </w:rPr>
            </w:pPr>
            <w:r w:rsidRPr="00473D92">
              <w:rPr>
                <w:b/>
              </w:rPr>
              <w:t>12</w:t>
            </w:r>
          </w:p>
        </w:tc>
        <w:tc>
          <w:tcPr>
            <w:tcW w:w="6945" w:type="dxa"/>
            <w:vAlign w:val="center"/>
          </w:tcPr>
          <w:p w:rsidR="0040744E" w:rsidRPr="00473D92" w:rsidRDefault="0040744E" w:rsidP="0040744E">
            <w:pPr>
              <w:pStyle w:val="BodyText"/>
              <w:spacing w:after="0"/>
            </w:pPr>
            <w:r w:rsidRPr="00473D92">
              <w:t>Reconsideration of a default price-quality path</w:t>
            </w:r>
          </w:p>
        </w:tc>
        <w:tc>
          <w:tcPr>
            <w:tcW w:w="567" w:type="dxa"/>
            <w:vAlign w:val="center"/>
          </w:tcPr>
          <w:p w:rsidR="0040744E" w:rsidRPr="00473D92" w:rsidRDefault="0045571B" w:rsidP="0040744E">
            <w:pPr>
              <w:pStyle w:val="BodyText"/>
              <w:spacing w:after="0"/>
              <w:jc w:val="right"/>
            </w:pPr>
            <w:r>
              <w:t>20</w:t>
            </w:r>
          </w:p>
        </w:tc>
      </w:tr>
    </w:tbl>
    <w:p w:rsidR="007E109A" w:rsidRPr="00E57444" w:rsidRDefault="007E109A">
      <w:pPr>
        <w:rPr>
          <w:sz w:val="4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5"/>
        <w:gridCol w:w="567"/>
      </w:tblGrid>
      <w:tr w:rsidR="0040744E" w:rsidRPr="00473D92" w:rsidTr="00EF3847">
        <w:trPr>
          <w:trHeight w:val="567"/>
        </w:trPr>
        <w:tc>
          <w:tcPr>
            <w:tcW w:w="1560" w:type="dxa"/>
            <w:vAlign w:val="center"/>
          </w:tcPr>
          <w:p w:rsidR="0040744E" w:rsidRPr="00473D92" w:rsidRDefault="0040744E" w:rsidP="00E57444">
            <w:pPr>
              <w:pStyle w:val="BodyText"/>
              <w:spacing w:after="0"/>
              <w:rPr>
                <w:b/>
              </w:rPr>
            </w:pPr>
            <w:r w:rsidRPr="00473D92">
              <w:rPr>
                <w:b/>
              </w:rPr>
              <w:t>Schedule 1</w:t>
            </w:r>
          </w:p>
        </w:tc>
        <w:tc>
          <w:tcPr>
            <w:tcW w:w="6945" w:type="dxa"/>
            <w:vAlign w:val="center"/>
          </w:tcPr>
          <w:p w:rsidR="0040744E" w:rsidRPr="00473D92" w:rsidRDefault="00C44308" w:rsidP="0040744E">
            <w:pPr>
              <w:pStyle w:val="BodyText"/>
              <w:spacing w:after="0"/>
            </w:pPr>
            <w:r w:rsidRPr="00473D92">
              <w:t>Starting Prices</w:t>
            </w:r>
          </w:p>
        </w:tc>
        <w:tc>
          <w:tcPr>
            <w:tcW w:w="567" w:type="dxa"/>
            <w:vAlign w:val="center"/>
          </w:tcPr>
          <w:p w:rsidR="0040744E" w:rsidRPr="00473D92" w:rsidRDefault="0045571B" w:rsidP="004E2309">
            <w:pPr>
              <w:pStyle w:val="BodyText"/>
              <w:spacing w:after="0"/>
              <w:jc w:val="right"/>
            </w:pPr>
            <w:r>
              <w:t>21</w:t>
            </w:r>
          </w:p>
        </w:tc>
      </w:tr>
      <w:tr w:rsidR="0040744E" w:rsidRPr="00473D92" w:rsidTr="00EF3847">
        <w:trPr>
          <w:trHeight w:val="567"/>
        </w:trPr>
        <w:tc>
          <w:tcPr>
            <w:tcW w:w="1560" w:type="dxa"/>
            <w:vAlign w:val="center"/>
          </w:tcPr>
          <w:p w:rsidR="0040744E" w:rsidRPr="00473D92" w:rsidRDefault="00C44308" w:rsidP="00E57444">
            <w:pPr>
              <w:pStyle w:val="BodyText"/>
              <w:spacing w:after="0"/>
              <w:rPr>
                <w:b/>
              </w:rPr>
            </w:pPr>
            <w:r w:rsidRPr="00473D92">
              <w:rPr>
                <w:b/>
              </w:rPr>
              <w:t>Schedule 2</w:t>
            </w:r>
          </w:p>
        </w:tc>
        <w:tc>
          <w:tcPr>
            <w:tcW w:w="6945" w:type="dxa"/>
            <w:vAlign w:val="center"/>
          </w:tcPr>
          <w:p w:rsidR="0040744E" w:rsidRPr="00473D92" w:rsidRDefault="00C44308" w:rsidP="0040744E">
            <w:pPr>
              <w:pStyle w:val="BodyText"/>
              <w:spacing w:after="0"/>
            </w:pPr>
            <w:r w:rsidRPr="00473D92">
              <w:t>Annual rates of change</w:t>
            </w:r>
          </w:p>
        </w:tc>
        <w:tc>
          <w:tcPr>
            <w:tcW w:w="567" w:type="dxa"/>
            <w:vAlign w:val="center"/>
          </w:tcPr>
          <w:p w:rsidR="0040744E" w:rsidRPr="00473D92" w:rsidRDefault="0045571B" w:rsidP="004E2309">
            <w:pPr>
              <w:pStyle w:val="BodyText"/>
              <w:spacing w:after="0"/>
              <w:jc w:val="right"/>
            </w:pPr>
            <w:r>
              <w:t>22</w:t>
            </w:r>
          </w:p>
        </w:tc>
      </w:tr>
      <w:tr w:rsidR="0040744E" w:rsidRPr="00473D92" w:rsidTr="00EF3847">
        <w:trPr>
          <w:trHeight w:val="567"/>
        </w:trPr>
        <w:tc>
          <w:tcPr>
            <w:tcW w:w="1560" w:type="dxa"/>
            <w:vAlign w:val="center"/>
          </w:tcPr>
          <w:p w:rsidR="0040744E" w:rsidRPr="00473D92" w:rsidRDefault="00C44308" w:rsidP="00E57444">
            <w:pPr>
              <w:pStyle w:val="BodyText"/>
              <w:spacing w:after="0"/>
              <w:rPr>
                <w:b/>
              </w:rPr>
            </w:pPr>
            <w:r w:rsidRPr="00473D92">
              <w:rPr>
                <w:b/>
              </w:rPr>
              <w:t xml:space="preserve">Schedule </w:t>
            </w:r>
            <w:r w:rsidR="006735C4">
              <w:rPr>
                <w:b/>
              </w:rPr>
              <w:t>3</w:t>
            </w:r>
            <w:r w:rsidRPr="00473D92">
              <w:rPr>
                <w:b/>
              </w:rPr>
              <w:t>A</w:t>
            </w:r>
          </w:p>
        </w:tc>
        <w:tc>
          <w:tcPr>
            <w:tcW w:w="6945" w:type="dxa"/>
            <w:vAlign w:val="center"/>
          </w:tcPr>
          <w:p w:rsidR="0040744E" w:rsidRPr="00473D92" w:rsidRDefault="006356F1" w:rsidP="0040744E">
            <w:pPr>
              <w:pStyle w:val="BodyText"/>
              <w:spacing w:after="0"/>
            </w:pPr>
            <w:r>
              <w:t>Calculation of a</w:t>
            </w:r>
            <w:r w:rsidR="00C44308" w:rsidRPr="00473D92">
              <w:t xml:space="preserve">llowable notional revenue for the first </w:t>
            </w:r>
            <w:r w:rsidR="008B5D9C">
              <w:t>A</w:t>
            </w:r>
            <w:r w:rsidR="00C44308" w:rsidRPr="00473D92">
              <w:t xml:space="preserve">ssessment </w:t>
            </w:r>
            <w:r w:rsidR="008B5D9C">
              <w:t>P</w:t>
            </w:r>
            <w:r w:rsidR="00C44308" w:rsidRPr="00473D92">
              <w:t>eriod</w:t>
            </w:r>
          </w:p>
        </w:tc>
        <w:tc>
          <w:tcPr>
            <w:tcW w:w="567" w:type="dxa"/>
            <w:vAlign w:val="center"/>
          </w:tcPr>
          <w:p w:rsidR="0040744E" w:rsidRPr="00473D92" w:rsidRDefault="0045571B" w:rsidP="004E2309">
            <w:pPr>
              <w:pStyle w:val="BodyText"/>
              <w:spacing w:after="0"/>
              <w:jc w:val="right"/>
            </w:pPr>
            <w:r>
              <w:t>23</w:t>
            </w:r>
          </w:p>
        </w:tc>
      </w:tr>
      <w:tr w:rsidR="0040744E" w:rsidRPr="00473D92" w:rsidTr="00EF3847">
        <w:trPr>
          <w:trHeight w:val="567"/>
        </w:trPr>
        <w:tc>
          <w:tcPr>
            <w:tcW w:w="1560" w:type="dxa"/>
            <w:vAlign w:val="center"/>
          </w:tcPr>
          <w:p w:rsidR="0040744E" w:rsidRPr="00473D92" w:rsidRDefault="00C44308" w:rsidP="006735C4">
            <w:pPr>
              <w:pStyle w:val="BodyText"/>
              <w:spacing w:after="0"/>
              <w:rPr>
                <w:b/>
              </w:rPr>
            </w:pPr>
            <w:r w:rsidRPr="00473D92">
              <w:rPr>
                <w:b/>
              </w:rPr>
              <w:t xml:space="preserve">Schedule </w:t>
            </w:r>
            <w:r w:rsidR="006735C4">
              <w:rPr>
                <w:b/>
              </w:rPr>
              <w:t>3</w:t>
            </w:r>
            <w:r w:rsidR="006735C4" w:rsidRPr="00473D92">
              <w:rPr>
                <w:b/>
              </w:rPr>
              <w:t>B</w:t>
            </w:r>
          </w:p>
        </w:tc>
        <w:tc>
          <w:tcPr>
            <w:tcW w:w="6945" w:type="dxa"/>
            <w:vAlign w:val="center"/>
          </w:tcPr>
          <w:p w:rsidR="0040744E" w:rsidRPr="00473D92" w:rsidRDefault="006356F1" w:rsidP="00473D92">
            <w:pPr>
              <w:pStyle w:val="BodyText"/>
              <w:spacing w:after="0"/>
            </w:pPr>
            <w:r>
              <w:t>Calculation of a</w:t>
            </w:r>
            <w:r w:rsidR="00C44308" w:rsidRPr="00473D92">
              <w:t xml:space="preserve">llowable notional revenue </w:t>
            </w:r>
            <w:r>
              <w:t xml:space="preserve">for the </w:t>
            </w:r>
            <w:r w:rsidR="00C44308" w:rsidRPr="00473D92">
              <w:t xml:space="preserve"> </w:t>
            </w:r>
            <w:r w:rsidR="00473D92" w:rsidRPr="00473D92">
              <w:t xml:space="preserve">remaining </w:t>
            </w:r>
            <w:r w:rsidR="00BD0BDC">
              <w:t>A</w:t>
            </w:r>
            <w:r w:rsidR="00C44308" w:rsidRPr="00473D92">
              <w:t xml:space="preserve">ssessment </w:t>
            </w:r>
            <w:r w:rsidR="00BD0BDC">
              <w:t>P</w:t>
            </w:r>
            <w:r w:rsidR="00C44308" w:rsidRPr="00473D92">
              <w:t>eriod</w:t>
            </w:r>
            <w:r w:rsidR="00473D92" w:rsidRPr="00473D92">
              <w:t>s</w:t>
            </w:r>
          </w:p>
        </w:tc>
        <w:tc>
          <w:tcPr>
            <w:tcW w:w="567" w:type="dxa"/>
            <w:vAlign w:val="center"/>
          </w:tcPr>
          <w:p w:rsidR="0040744E" w:rsidRPr="00473D92" w:rsidRDefault="0045571B" w:rsidP="004E2309">
            <w:pPr>
              <w:pStyle w:val="BodyText"/>
              <w:spacing w:after="0"/>
              <w:jc w:val="right"/>
            </w:pPr>
            <w:r>
              <w:t>24</w:t>
            </w:r>
          </w:p>
        </w:tc>
      </w:tr>
      <w:tr w:rsidR="004E2309" w:rsidRPr="00473D92" w:rsidTr="00EF3847">
        <w:trPr>
          <w:trHeight w:val="794"/>
        </w:trPr>
        <w:tc>
          <w:tcPr>
            <w:tcW w:w="1560" w:type="dxa"/>
            <w:vAlign w:val="center"/>
          </w:tcPr>
          <w:p w:rsidR="004E2309" w:rsidRPr="00473D92" w:rsidRDefault="00473D92" w:rsidP="006735C4">
            <w:pPr>
              <w:pStyle w:val="BodyText"/>
              <w:spacing w:after="0"/>
              <w:rPr>
                <w:b/>
              </w:rPr>
            </w:pPr>
            <w:r w:rsidRPr="00473D92">
              <w:rPr>
                <w:b/>
              </w:rPr>
              <w:t>Schedule</w:t>
            </w:r>
            <w:r w:rsidR="004E2309" w:rsidRPr="00473D92">
              <w:rPr>
                <w:b/>
              </w:rPr>
              <w:t xml:space="preserve"> </w:t>
            </w:r>
            <w:r w:rsidR="006735C4">
              <w:rPr>
                <w:b/>
              </w:rPr>
              <w:t>3</w:t>
            </w:r>
            <w:r w:rsidR="006735C4" w:rsidRPr="00473D92">
              <w:rPr>
                <w:b/>
              </w:rPr>
              <w:t>C</w:t>
            </w:r>
          </w:p>
        </w:tc>
        <w:tc>
          <w:tcPr>
            <w:tcW w:w="6945" w:type="dxa"/>
            <w:vAlign w:val="center"/>
          </w:tcPr>
          <w:p w:rsidR="004E2309" w:rsidRPr="00473D92" w:rsidRDefault="00473D92" w:rsidP="006356F1">
            <w:pPr>
              <w:pStyle w:val="BodyText"/>
              <w:spacing w:after="0"/>
            </w:pPr>
            <w:r w:rsidRPr="00473D92">
              <w:t xml:space="preserve">Recalculation of </w:t>
            </w:r>
            <w:r w:rsidR="00DC73FA">
              <w:t xml:space="preserve">the </w:t>
            </w:r>
            <w:r w:rsidR="006356F1">
              <w:t>p</w:t>
            </w:r>
            <w:r w:rsidR="00DC73FA">
              <w:t xml:space="preserve">rice </w:t>
            </w:r>
            <w:r w:rsidR="006356F1">
              <w:t>p</w:t>
            </w:r>
            <w:r w:rsidR="00DC73FA">
              <w:t>ath</w:t>
            </w:r>
            <w:r w:rsidRPr="00473D92">
              <w:t xml:space="preserve"> following a </w:t>
            </w:r>
            <w:r w:rsidR="008B5D9C">
              <w:t>Major Transaction</w:t>
            </w:r>
          </w:p>
        </w:tc>
        <w:tc>
          <w:tcPr>
            <w:tcW w:w="567" w:type="dxa"/>
            <w:vAlign w:val="center"/>
          </w:tcPr>
          <w:p w:rsidR="004E2309" w:rsidRPr="00473D92" w:rsidRDefault="00A01AEA" w:rsidP="0045571B">
            <w:pPr>
              <w:pStyle w:val="BodyText"/>
              <w:spacing w:after="0"/>
              <w:jc w:val="right"/>
            </w:pPr>
            <w:r>
              <w:t>2</w:t>
            </w:r>
            <w:r w:rsidR="0045571B">
              <w:t>5</w:t>
            </w:r>
          </w:p>
        </w:tc>
      </w:tr>
      <w:tr w:rsidR="00A045EF" w:rsidRPr="00473D92" w:rsidTr="00321F81">
        <w:trPr>
          <w:trHeight w:val="567"/>
        </w:trPr>
        <w:tc>
          <w:tcPr>
            <w:tcW w:w="1560" w:type="dxa"/>
            <w:vAlign w:val="center"/>
          </w:tcPr>
          <w:p w:rsidR="00A045EF" w:rsidRPr="00473D92" w:rsidRDefault="00A045EF" w:rsidP="00321F81">
            <w:pPr>
              <w:pStyle w:val="BodyText"/>
              <w:spacing w:after="0"/>
              <w:rPr>
                <w:b/>
              </w:rPr>
            </w:pPr>
            <w:r w:rsidRPr="00473D92">
              <w:rPr>
                <w:b/>
              </w:rPr>
              <w:t xml:space="preserve">Schedule </w:t>
            </w:r>
            <w:r>
              <w:rPr>
                <w:b/>
              </w:rPr>
              <w:t>4</w:t>
            </w:r>
            <w:r w:rsidR="00652B78">
              <w:rPr>
                <w:b/>
              </w:rPr>
              <w:t>A</w:t>
            </w:r>
          </w:p>
        </w:tc>
        <w:tc>
          <w:tcPr>
            <w:tcW w:w="6945" w:type="dxa"/>
            <w:vAlign w:val="center"/>
          </w:tcPr>
          <w:p w:rsidR="00A045EF" w:rsidRPr="00473D92" w:rsidRDefault="00A045EF" w:rsidP="00321F81">
            <w:pPr>
              <w:pStyle w:val="BodyText"/>
              <w:spacing w:after="0"/>
            </w:pPr>
            <w:r w:rsidRPr="00473D92">
              <w:t>Quality standards</w:t>
            </w:r>
          </w:p>
        </w:tc>
        <w:tc>
          <w:tcPr>
            <w:tcW w:w="567" w:type="dxa"/>
            <w:vAlign w:val="center"/>
          </w:tcPr>
          <w:p w:rsidR="00A045EF" w:rsidRPr="00473D92" w:rsidRDefault="006B1165" w:rsidP="00321F81">
            <w:pPr>
              <w:pStyle w:val="BodyText"/>
              <w:spacing w:after="0"/>
              <w:jc w:val="right"/>
            </w:pPr>
            <w:r>
              <w:t>29</w:t>
            </w:r>
          </w:p>
        </w:tc>
      </w:tr>
      <w:tr w:rsidR="00652B78" w:rsidRPr="00473D92" w:rsidTr="00EF3847">
        <w:trPr>
          <w:trHeight w:val="567"/>
        </w:trPr>
        <w:tc>
          <w:tcPr>
            <w:tcW w:w="1560" w:type="dxa"/>
            <w:vAlign w:val="center"/>
          </w:tcPr>
          <w:p w:rsidR="00652B78" w:rsidRPr="00473D92" w:rsidRDefault="00652B78" w:rsidP="00E57444">
            <w:pPr>
              <w:pStyle w:val="BodyText"/>
              <w:spacing w:after="0"/>
              <w:rPr>
                <w:b/>
              </w:rPr>
            </w:pPr>
            <w:r>
              <w:rPr>
                <w:b/>
              </w:rPr>
              <w:t>Schedule 4B</w:t>
            </w:r>
          </w:p>
        </w:tc>
        <w:tc>
          <w:tcPr>
            <w:tcW w:w="6945" w:type="dxa"/>
            <w:vAlign w:val="center"/>
          </w:tcPr>
          <w:p w:rsidR="00652B78" w:rsidRPr="00867817" w:rsidRDefault="00652B78" w:rsidP="0040744E">
            <w:pPr>
              <w:pStyle w:val="BodyText"/>
              <w:spacing w:after="0"/>
            </w:pPr>
            <w:r>
              <w:t>Adjustments to quality standards following a Major Transaction or purchase of System Fixed Assets</w:t>
            </w:r>
          </w:p>
        </w:tc>
        <w:tc>
          <w:tcPr>
            <w:tcW w:w="567" w:type="dxa"/>
            <w:vAlign w:val="center"/>
          </w:tcPr>
          <w:p w:rsidR="00652B78" w:rsidRDefault="006B1165" w:rsidP="004E2309">
            <w:pPr>
              <w:pStyle w:val="BodyText"/>
              <w:spacing w:after="0"/>
              <w:jc w:val="right"/>
            </w:pPr>
            <w:r>
              <w:t>31</w:t>
            </w:r>
          </w:p>
        </w:tc>
      </w:tr>
      <w:tr w:rsidR="00C44308" w:rsidRPr="00473D92" w:rsidTr="00EF3847">
        <w:trPr>
          <w:trHeight w:val="567"/>
        </w:trPr>
        <w:tc>
          <w:tcPr>
            <w:tcW w:w="1560" w:type="dxa"/>
            <w:vAlign w:val="center"/>
          </w:tcPr>
          <w:p w:rsidR="00C44308" w:rsidRPr="00473D92" w:rsidRDefault="003C0120" w:rsidP="00E57444">
            <w:pPr>
              <w:pStyle w:val="BodyText"/>
              <w:spacing w:after="0"/>
              <w:rPr>
                <w:b/>
              </w:rPr>
            </w:pPr>
            <w:r w:rsidRPr="00473D92">
              <w:rPr>
                <w:b/>
              </w:rPr>
              <w:t>Schedule 5</w:t>
            </w:r>
          </w:p>
        </w:tc>
        <w:tc>
          <w:tcPr>
            <w:tcW w:w="6945" w:type="dxa"/>
            <w:vAlign w:val="center"/>
          </w:tcPr>
          <w:p w:rsidR="00C44308" w:rsidRPr="00473D92" w:rsidRDefault="00112FD6" w:rsidP="0040744E">
            <w:pPr>
              <w:pStyle w:val="BodyText"/>
              <w:spacing w:after="0"/>
            </w:pPr>
            <w:r w:rsidRPr="00867817">
              <w:t>Pass-through Costs and Recoverable Costs for a</w:t>
            </w:r>
            <w:r>
              <w:t>n Assessment</w:t>
            </w:r>
            <w:r w:rsidRPr="00867817">
              <w:t xml:space="preserve"> Period</w:t>
            </w:r>
          </w:p>
        </w:tc>
        <w:tc>
          <w:tcPr>
            <w:tcW w:w="567" w:type="dxa"/>
            <w:vAlign w:val="center"/>
          </w:tcPr>
          <w:p w:rsidR="00C44308" w:rsidRPr="00473D92" w:rsidRDefault="0045571B" w:rsidP="006356F1">
            <w:pPr>
              <w:pStyle w:val="BodyText"/>
              <w:spacing w:after="0"/>
              <w:jc w:val="right"/>
            </w:pPr>
            <w:r>
              <w:t>3</w:t>
            </w:r>
            <w:r w:rsidR="006B1165">
              <w:t>6</w:t>
            </w:r>
          </w:p>
        </w:tc>
      </w:tr>
      <w:tr w:rsidR="0037282C" w:rsidRPr="00473D92" w:rsidTr="00EF3847">
        <w:trPr>
          <w:trHeight w:val="567"/>
        </w:trPr>
        <w:tc>
          <w:tcPr>
            <w:tcW w:w="1560" w:type="dxa"/>
            <w:vAlign w:val="center"/>
          </w:tcPr>
          <w:p w:rsidR="0037282C" w:rsidRPr="00473D92" w:rsidRDefault="0037282C" w:rsidP="00E57444">
            <w:pPr>
              <w:pStyle w:val="BodyText"/>
              <w:spacing w:after="0"/>
              <w:rPr>
                <w:b/>
              </w:rPr>
            </w:pPr>
            <w:r>
              <w:rPr>
                <w:b/>
              </w:rPr>
              <w:t>Schedule 5A</w:t>
            </w:r>
          </w:p>
        </w:tc>
        <w:tc>
          <w:tcPr>
            <w:tcW w:w="6945" w:type="dxa"/>
            <w:vAlign w:val="center"/>
          </w:tcPr>
          <w:p w:rsidR="0037282C" w:rsidRDefault="0037282C" w:rsidP="006356F1">
            <w:pPr>
              <w:pStyle w:val="BodyText"/>
              <w:spacing w:after="0"/>
            </w:pPr>
            <w:r>
              <w:t xml:space="preserve">Approval of </w:t>
            </w:r>
            <w:r w:rsidR="006356F1">
              <w:t>E</w:t>
            </w:r>
            <w:r>
              <w:t xml:space="preserve">nergy </w:t>
            </w:r>
            <w:r w:rsidR="006356F1">
              <w:t>E</w:t>
            </w:r>
            <w:r>
              <w:t xml:space="preserve">fficiency and </w:t>
            </w:r>
            <w:r w:rsidR="006356F1">
              <w:t>D</w:t>
            </w:r>
            <w:r>
              <w:t xml:space="preserve">emand </w:t>
            </w:r>
            <w:r w:rsidR="006356F1">
              <w:t>I</w:t>
            </w:r>
            <w:r>
              <w:t xml:space="preserve">ncentives </w:t>
            </w:r>
            <w:r w:rsidR="006356F1">
              <w:t>A</w:t>
            </w:r>
            <w:r>
              <w:t>llowances</w:t>
            </w:r>
          </w:p>
        </w:tc>
        <w:tc>
          <w:tcPr>
            <w:tcW w:w="567" w:type="dxa"/>
            <w:vAlign w:val="center"/>
          </w:tcPr>
          <w:p w:rsidR="0037282C" w:rsidRDefault="006B1165" w:rsidP="004E2309">
            <w:pPr>
              <w:pStyle w:val="BodyText"/>
              <w:spacing w:after="0"/>
              <w:jc w:val="right"/>
            </w:pPr>
            <w:r>
              <w:t>37</w:t>
            </w:r>
          </w:p>
        </w:tc>
      </w:tr>
      <w:tr w:rsidR="0037282C" w:rsidRPr="00473D92" w:rsidTr="00EF3847">
        <w:trPr>
          <w:trHeight w:val="567"/>
        </w:trPr>
        <w:tc>
          <w:tcPr>
            <w:tcW w:w="1560" w:type="dxa"/>
            <w:vAlign w:val="center"/>
          </w:tcPr>
          <w:p w:rsidR="0037282C" w:rsidRPr="00473D92" w:rsidRDefault="0037282C" w:rsidP="00E57444">
            <w:pPr>
              <w:pStyle w:val="BodyText"/>
              <w:spacing w:after="0"/>
              <w:rPr>
                <w:b/>
              </w:rPr>
            </w:pPr>
            <w:r>
              <w:rPr>
                <w:b/>
              </w:rPr>
              <w:t>Schedule 5B</w:t>
            </w:r>
          </w:p>
        </w:tc>
        <w:tc>
          <w:tcPr>
            <w:tcW w:w="6945" w:type="dxa"/>
            <w:vAlign w:val="center"/>
          </w:tcPr>
          <w:p w:rsidR="0037282C" w:rsidRDefault="0037282C" w:rsidP="00112FD6">
            <w:pPr>
              <w:pStyle w:val="BodyText"/>
              <w:spacing w:after="0"/>
            </w:pPr>
            <w:r>
              <w:t>How to calculate the Quality Incentive Adjustment</w:t>
            </w:r>
          </w:p>
        </w:tc>
        <w:tc>
          <w:tcPr>
            <w:tcW w:w="567" w:type="dxa"/>
            <w:vAlign w:val="center"/>
          </w:tcPr>
          <w:p w:rsidR="0037282C" w:rsidRDefault="006B1165" w:rsidP="006356F1">
            <w:pPr>
              <w:pStyle w:val="BodyText"/>
              <w:spacing w:after="0"/>
              <w:jc w:val="right"/>
            </w:pPr>
            <w:r>
              <w:t>39</w:t>
            </w:r>
          </w:p>
        </w:tc>
      </w:tr>
      <w:tr w:rsidR="0037282C" w:rsidRPr="00473D92" w:rsidTr="00EF3847">
        <w:trPr>
          <w:trHeight w:val="567"/>
        </w:trPr>
        <w:tc>
          <w:tcPr>
            <w:tcW w:w="1560" w:type="dxa"/>
            <w:vAlign w:val="center"/>
          </w:tcPr>
          <w:p w:rsidR="0037282C" w:rsidRPr="00473D92" w:rsidRDefault="0037282C" w:rsidP="00E57444">
            <w:pPr>
              <w:pStyle w:val="BodyText"/>
              <w:spacing w:after="0"/>
              <w:rPr>
                <w:b/>
              </w:rPr>
            </w:pPr>
            <w:r>
              <w:rPr>
                <w:b/>
              </w:rPr>
              <w:lastRenderedPageBreak/>
              <w:t>Schedule 5C</w:t>
            </w:r>
          </w:p>
        </w:tc>
        <w:tc>
          <w:tcPr>
            <w:tcW w:w="6945" w:type="dxa"/>
            <w:vAlign w:val="center"/>
          </w:tcPr>
          <w:p w:rsidR="0037282C" w:rsidRDefault="0037282C" w:rsidP="00112FD6">
            <w:pPr>
              <w:pStyle w:val="BodyText"/>
              <w:spacing w:after="0"/>
            </w:pPr>
            <w:r>
              <w:t>Claw-back</w:t>
            </w:r>
          </w:p>
        </w:tc>
        <w:tc>
          <w:tcPr>
            <w:tcW w:w="567" w:type="dxa"/>
            <w:vAlign w:val="center"/>
          </w:tcPr>
          <w:p w:rsidR="0037282C" w:rsidRDefault="0045571B" w:rsidP="006B1165">
            <w:pPr>
              <w:pStyle w:val="BodyText"/>
              <w:spacing w:after="0"/>
              <w:jc w:val="right"/>
            </w:pPr>
            <w:r>
              <w:t>4</w:t>
            </w:r>
            <w:r w:rsidR="006B1165">
              <w:t>3</w:t>
            </w:r>
          </w:p>
        </w:tc>
      </w:tr>
      <w:tr w:rsidR="0037282C" w:rsidRPr="00473D92" w:rsidTr="00517E58">
        <w:trPr>
          <w:trHeight w:val="567"/>
        </w:trPr>
        <w:tc>
          <w:tcPr>
            <w:tcW w:w="1560" w:type="dxa"/>
            <w:vAlign w:val="center"/>
          </w:tcPr>
          <w:p w:rsidR="0037282C" w:rsidRPr="00473D92" w:rsidRDefault="0037282C" w:rsidP="00517E58">
            <w:pPr>
              <w:pStyle w:val="BodyText"/>
              <w:spacing w:after="0"/>
              <w:rPr>
                <w:b/>
              </w:rPr>
            </w:pPr>
            <w:r>
              <w:rPr>
                <w:b/>
              </w:rPr>
              <w:t>Schedule 5D</w:t>
            </w:r>
          </w:p>
        </w:tc>
        <w:tc>
          <w:tcPr>
            <w:tcW w:w="6945" w:type="dxa"/>
            <w:vAlign w:val="center"/>
          </w:tcPr>
          <w:p w:rsidR="0037282C" w:rsidRDefault="0037282C" w:rsidP="00517E58">
            <w:pPr>
              <w:pStyle w:val="BodyText"/>
              <w:spacing w:after="0"/>
            </w:pPr>
            <w:r>
              <w:t>NPV Wash-Up Allowance</w:t>
            </w:r>
            <w:r w:rsidR="006356F1">
              <w:t>s</w:t>
            </w:r>
          </w:p>
        </w:tc>
        <w:tc>
          <w:tcPr>
            <w:tcW w:w="567" w:type="dxa"/>
            <w:vAlign w:val="center"/>
          </w:tcPr>
          <w:p w:rsidR="0037282C" w:rsidRDefault="0045571B" w:rsidP="006B1165">
            <w:pPr>
              <w:pStyle w:val="BodyText"/>
              <w:spacing w:after="0"/>
              <w:jc w:val="right"/>
            </w:pPr>
            <w:r>
              <w:t>4</w:t>
            </w:r>
            <w:r w:rsidR="006B1165">
              <w:t>4</w:t>
            </w:r>
          </w:p>
        </w:tc>
      </w:tr>
      <w:tr w:rsidR="0037282C" w:rsidRPr="00473D92" w:rsidTr="00517E58">
        <w:trPr>
          <w:trHeight w:val="567"/>
        </w:trPr>
        <w:tc>
          <w:tcPr>
            <w:tcW w:w="1560" w:type="dxa"/>
            <w:vAlign w:val="center"/>
          </w:tcPr>
          <w:p w:rsidR="0037282C" w:rsidRPr="00473D92" w:rsidRDefault="0037282C" w:rsidP="00517E58">
            <w:pPr>
              <w:pStyle w:val="BodyText"/>
              <w:spacing w:after="0"/>
              <w:rPr>
                <w:b/>
              </w:rPr>
            </w:pPr>
            <w:r>
              <w:rPr>
                <w:b/>
              </w:rPr>
              <w:t>Schedule 5E</w:t>
            </w:r>
          </w:p>
        </w:tc>
        <w:tc>
          <w:tcPr>
            <w:tcW w:w="6945" w:type="dxa"/>
            <w:vAlign w:val="center"/>
          </w:tcPr>
          <w:p w:rsidR="0037282C" w:rsidRDefault="00FE0BAC" w:rsidP="00517E58">
            <w:pPr>
              <w:pStyle w:val="BodyText"/>
              <w:spacing w:after="0"/>
            </w:pPr>
            <w:r>
              <w:t>Avoided transmission charges</w:t>
            </w:r>
          </w:p>
        </w:tc>
        <w:tc>
          <w:tcPr>
            <w:tcW w:w="567" w:type="dxa"/>
            <w:vAlign w:val="center"/>
          </w:tcPr>
          <w:p w:rsidR="0037282C" w:rsidRDefault="0045571B" w:rsidP="006B1165">
            <w:pPr>
              <w:pStyle w:val="BodyText"/>
              <w:spacing w:after="0"/>
              <w:jc w:val="right"/>
            </w:pPr>
            <w:r>
              <w:t>4</w:t>
            </w:r>
            <w:r w:rsidR="006B1165">
              <w:t>5</w:t>
            </w:r>
          </w:p>
        </w:tc>
      </w:tr>
      <w:tr w:rsidR="0037282C" w:rsidRPr="00473D92" w:rsidTr="00517E58">
        <w:trPr>
          <w:trHeight w:val="567"/>
        </w:trPr>
        <w:tc>
          <w:tcPr>
            <w:tcW w:w="1560" w:type="dxa"/>
            <w:vAlign w:val="center"/>
          </w:tcPr>
          <w:p w:rsidR="0037282C" w:rsidRPr="00473D92" w:rsidRDefault="0037282C" w:rsidP="00517E58">
            <w:pPr>
              <w:pStyle w:val="BodyText"/>
              <w:spacing w:after="0"/>
              <w:rPr>
                <w:b/>
              </w:rPr>
            </w:pPr>
            <w:r>
              <w:rPr>
                <w:b/>
              </w:rPr>
              <w:t>Schedule 5F</w:t>
            </w:r>
          </w:p>
        </w:tc>
        <w:tc>
          <w:tcPr>
            <w:tcW w:w="6945" w:type="dxa"/>
            <w:vAlign w:val="center"/>
          </w:tcPr>
          <w:p w:rsidR="0037282C" w:rsidRDefault="006B1165" w:rsidP="00517E58">
            <w:pPr>
              <w:pStyle w:val="BodyText"/>
              <w:spacing w:after="0"/>
            </w:pPr>
            <w:r>
              <w:t>Transmission</w:t>
            </w:r>
            <w:r w:rsidR="0037282C">
              <w:t xml:space="preserve"> Asset Wash-up Adjustment</w:t>
            </w:r>
            <w:r w:rsidR="006356F1">
              <w:t>s</w:t>
            </w:r>
          </w:p>
        </w:tc>
        <w:tc>
          <w:tcPr>
            <w:tcW w:w="567" w:type="dxa"/>
            <w:vAlign w:val="center"/>
          </w:tcPr>
          <w:p w:rsidR="0037282C" w:rsidRDefault="0045571B" w:rsidP="006B1165">
            <w:pPr>
              <w:pStyle w:val="BodyText"/>
              <w:spacing w:after="0"/>
              <w:jc w:val="right"/>
            </w:pPr>
            <w:r>
              <w:t>4</w:t>
            </w:r>
            <w:r w:rsidR="006B1165">
              <w:t>6</w:t>
            </w:r>
          </w:p>
        </w:tc>
      </w:tr>
      <w:tr w:rsidR="0037282C" w:rsidRPr="00473D92" w:rsidTr="00EF3847">
        <w:trPr>
          <w:trHeight w:val="567"/>
        </w:trPr>
        <w:tc>
          <w:tcPr>
            <w:tcW w:w="1560" w:type="dxa"/>
            <w:vAlign w:val="center"/>
          </w:tcPr>
          <w:p w:rsidR="0037282C" w:rsidRPr="00473D92" w:rsidRDefault="0037282C" w:rsidP="00E57444">
            <w:pPr>
              <w:pStyle w:val="BodyText"/>
              <w:spacing w:after="0"/>
              <w:rPr>
                <w:b/>
              </w:rPr>
            </w:pPr>
            <w:r>
              <w:rPr>
                <w:b/>
              </w:rPr>
              <w:t>Schedule 5G</w:t>
            </w:r>
          </w:p>
        </w:tc>
        <w:tc>
          <w:tcPr>
            <w:tcW w:w="6945" w:type="dxa"/>
            <w:vAlign w:val="center"/>
          </w:tcPr>
          <w:p w:rsidR="0037282C" w:rsidRDefault="0037282C" w:rsidP="00112FD6">
            <w:pPr>
              <w:pStyle w:val="BodyText"/>
              <w:spacing w:after="0"/>
            </w:pPr>
            <w:r>
              <w:t>How to calculate recoverable costs for the incremental rolling incentive scheme</w:t>
            </w:r>
          </w:p>
        </w:tc>
        <w:tc>
          <w:tcPr>
            <w:tcW w:w="567" w:type="dxa"/>
            <w:vAlign w:val="center"/>
          </w:tcPr>
          <w:p w:rsidR="0037282C" w:rsidRDefault="006356F1" w:rsidP="006B1165">
            <w:pPr>
              <w:pStyle w:val="BodyText"/>
              <w:spacing w:after="0"/>
              <w:jc w:val="right"/>
            </w:pPr>
            <w:r>
              <w:t>4</w:t>
            </w:r>
            <w:r w:rsidR="006B1165">
              <w:t>8</w:t>
            </w:r>
          </w:p>
        </w:tc>
      </w:tr>
      <w:tr w:rsidR="00BE47C5" w:rsidRPr="00473D92" w:rsidTr="00EF3847">
        <w:trPr>
          <w:trHeight w:val="567"/>
        </w:trPr>
        <w:tc>
          <w:tcPr>
            <w:tcW w:w="1560" w:type="dxa"/>
            <w:vAlign w:val="center"/>
          </w:tcPr>
          <w:p w:rsidR="00BE47C5" w:rsidRPr="00473D92" w:rsidRDefault="00BE47C5" w:rsidP="00E57444">
            <w:pPr>
              <w:pStyle w:val="BodyText"/>
              <w:spacing w:after="0"/>
              <w:rPr>
                <w:b/>
              </w:rPr>
            </w:pPr>
            <w:r>
              <w:rPr>
                <w:b/>
              </w:rPr>
              <w:t>Schedule 5H</w:t>
            </w:r>
          </w:p>
        </w:tc>
        <w:tc>
          <w:tcPr>
            <w:tcW w:w="6945" w:type="dxa"/>
            <w:vAlign w:val="center"/>
          </w:tcPr>
          <w:p w:rsidR="00BE47C5" w:rsidRDefault="00BE47C5" w:rsidP="00112FD6">
            <w:pPr>
              <w:pStyle w:val="BodyText"/>
              <w:spacing w:after="0"/>
            </w:pPr>
            <w:r>
              <w:t>Approval of Extended Reserves Allowance</w:t>
            </w:r>
            <w:r w:rsidR="006356F1">
              <w:t>s</w:t>
            </w:r>
          </w:p>
        </w:tc>
        <w:tc>
          <w:tcPr>
            <w:tcW w:w="567" w:type="dxa"/>
            <w:vAlign w:val="center"/>
          </w:tcPr>
          <w:p w:rsidR="00BE47C5" w:rsidRDefault="006B1165" w:rsidP="004E2309">
            <w:pPr>
              <w:pStyle w:val="BodyText"/>
              <w:spacing w:after="0"/>
              <w:jc w:val="right"/>
            </w:pPr>
            <w:r>
              <w:t>49</w:t>
            </w:r>
          </w:p>
        </w:tc>
      </w:tr>
      <w:tr w:rsidR="00C44308" w:rsidRPr="00473D92" w:rsidTr="00EF3847">
        <w:trPr>
          <w:trHeight w:val="567"/>
        </w:trPr>
        <w:tc>
          <w:tcPr>
            <w:tcW w:w="1560" w:type="dxa"/>
            <w:vAlign w:val="center"/>
          </w:tcPr>
          <w:p w:rsidR="00C44308" w:rsidRPr="00473D92" w:rsidRDefault="003C0120" w:rsidP="00E57444">
            <w:pPr>
              <w:pStyle w:val="BodyText"/>
              <w:spacing w:after="0"/>
              <w:rPr>
                <w:b/>
              </w:rPr>
            </w:pPr>
            <w:r w:rsidRPr="00473D92">
              <w:rPr>
                <w:b/>
              </w:rPr>
              <w:t>Schedule 6</w:t>
            </w:r>
          </w:p>
        </w:tc>
        <w:tc>
          <w:tcPr>
            <w:tcW w:w="6945" w:type="dxa"/>
            <w:vAlign w:val="center"/>
          </w:tcPr>
          <w:p w:rsidR="00C44308" w:rsidRPr="00473D92" w:rsidRDefault="00112FD6" w:rsidP="00112FD6">
            <w:pPr>
              <w:pStyle w:val="BodyText"/>
              <w:spacing w:after="0"/>
            </w:pPr>
            <w:r>
              <w:t xml:space="preserve">Form of </w:t>
            </w:r>
            <w:r w:rsidR="00C44308" w:rsidRPr="00473D92">
              <w:t xml:space="preserve">Director’s </w:t>
            </w:r>
            <w:r>
              <w:t>C</w:t>
            </w:r>
            <w:r w:rsidR="00C44308" w:rsidRPr="00473D92">
              <w:t>ertificate</w:t>
            </w:r>
          </w:p>
        </w:tc>
        <w:tc>
          <w:tcPr>
            <w:tcW w:w="567" w:type="dxa"/>
            <w:vAlign w:val="center"/>
          </w:tcPr>
          <w:p w:rsidR="00C44308" w:rsidRPr="00473D92" w:rsidRDefault="006B1165" w:rsidP="004E2309">
            <w:pPr>
              <w:pStyle w:val="BodyText"/>
              <w:spacing w:after="0"/>
              <w:jc w:val="right"/>
            </w:pPr>
            <w:r>
              <w:t>50</w:t>
            </w:r>
          </w:p>
        </w:tc>
      </w:tr>
      <w:tr w:rsidR="00C44308" w:rsidRPr="00473D92" w:rsidTr="00EF3847">
        <w:trPr>
          <w:trHeight w:val="567"/>
        </w:trPr>
        <w:tc>
          <w:tcPr>
            <w:tcW w:w="1560" w:type="dxa"/>
            <w:vAlign w:val="center"/>
          </w:tcPr>
          <w:p w:rsidR="00C44308" w:rsidRPr="00473D92" w:rsidRDefault="003C0120" w:rsidP="00E57444">
            <w:pPr>
              <w:pStyle w:val="BodyText"/>
              <w:spacing w:after="0"/>
              <w:rPr>
                <w:b/>
              </w:rPr>
            </w:pPr>
            <w:r w:rsidRPr="00473D92">
              <w:rPr>
                <w:b/>
              </w:rPr>
              <w:t>Schedule 7</w:t>
            </w:r>
          </w:p>
        </w:tc>
        <w:tc>
          <w:tcPr>
            <w:tcW w:w="6945" w:type="dxa"/>
            <w:vAlign w:val="center"/>
          </w:tcPr>
          <w:p w:rsidR="00C44308" w:rsidRPr="00473D92" w:rsidRDefault="00D631C6" w:rsidP="00112FD6">
            <w:pPr>
              <w:pStyle w:val="BodyText"/>
              <w:spacing w:after="0"/>
            </w:pPr>
            <w:r>
              <w:t xml:space="preserve">Independent </w:t>
            </w:r>
            <w:r w:rsidR="00C44308" w:rsidRPr="00473D92">
              <w:t xml:space="preserve">Auditor’s </w:t>
            </w:r>
            <w:r w:rsidR="00112FD6">
              <w:t xml:space="preserve">report on </w:t>
            </w:r>
            <w:r w:rsidR="00540F57">
              <w:t xml:space="preserve">Annual </w:t>
            </w:r>
            <w:r w:rsidR="00112FD6">
              <w:t>Compliance Statement</w:t>
            </w:r>
          </w:p>
        </w:tc>
        <w:tc>
          <w:tcPr>
            <w:tcW w:w="567" w:type="dxa"/>
            <w:vAlign w:val="center"/>
          </w:tcPr>
          <w:p w:rsidR="00C44308" w:rsidRPr="00473D92" w:rsidRDefault="006B1165" w:rsidP="004E2309">
            <w:pPr>
              <w:pStyle w:val="BodyText"/>
              <w:spacing w:after="0"/>
              <w:jc w:val="right"/>
            </w:pPr>
            <w:r>
              <w:t>51</w:t>
            </w:r>
          </w:p>
        </w:tc>
      </w:tr>
    </w:tbl>
    <w:p w:rsidR="008A216E" w:rsidRDefault="008A216E" w:rsidP="00EF3847">
      <w:pPr>
        <w:jc w:val="right"/>
        <w:rPr>
          <w:b/>
          <w:sz w:val="28"/>
        </w:rPr>
      </w:pPr>
      <w:r>
        <w:br w:type="page"/>
      </w:r>
    </w:p>
    <w:p w:rsidR="00496931" w:rsidRDefault="00496931" w:rsidP="00496931">
      <w:pPr>
        <w:pStyle w:val="BodyText"/>
      </w:pPr>
      <w:bookmarkStart w:id="0" w:name="_Ref392776990"/>
      <w:r>
        <w:lastRenderedPageBreak/>
        <w:t>Pursuant to Part 4 of the Commerce Act 1986, the Commerce Commission makes the following determination:</w:t>
      </w:r>
    </w:p>
    <w:p w:rsidR="00184541" w:rsidRPr="00F337D6" w:rsidRDefault="00520A09" w:rsidP="00046A9A">
      <w:pPr>
        <w:pStyle w:val="ClauseTitle"/>
        <w:rPr>
          <w:szCs w:val="24"/>
        </w:rPr>
      </w:pPr>
      <w:r w:rsidRPr="00F337D6">
        <w:rPr>
          <w:szCs w:val="24"/>
        </w:rPr>
        <w:t>Short Title</w:t>
      </w:r>
      <w:bookmarkEnd w:id="0"/>
    </w:p>
    <w:p w:rsidR="00046A9A" w:rsidRPr="00F337D6" w:rsidRDefault="00520A09" w:rsidP="00802375">
      <w:pPr>
        <w:pStyle w:val="Subclause1"/>
        <w:numPr>
          <w:ilvl w:val="0"/>
          <w:numId w:val="0"/>
        </w:numPr>
      </w:pPr>
      <w:r w:rsidRPr="00F337D6">
        <w:t>This determination is the Electricity Distribution Services Default Price-Quality Path Determination 2015.</w:t>
      </w:r>
    </w:p>
    <w:p w:rsidR="00046A9A" w:rsidRPr="00F337D6" w:rsidRDefault="003B0678" w:rsidP="00046A9A">
      <w:pPr>
        <w:pStyle w:val="ClauseTitle"/>
        <w:rPr>
          <w:szCs w:val="24"/>
        </w:rPr>
      </w:pPr>
      <w:bookmarkStart w:id="1" w:name="_Ref392777007"/>
      <w:r w:rsidRPr="00F337D6">
        <w:rPr>
          <w:szCs w:val="24"/>
        </w:rPr>
        <w:t>Commencement</w:t>
      </w:r>
      <w:bookmarkEnd w:id="1"/>
    </w:p>
    <w:p w:rsidR="00046A9A" w:rsidRDefault="004C206E" w:rsidP="00802375">
      <w:pPr>
        <w:pStyle w:val="Subclause1"/>
        <w:numPr>
          <w:ilvl w:val="0"/>
          <w:numId w:val="0"/>
        </w:numPr>
      </w:pPr>
      <w:r w:rsidRPr="004C206E">
        <w:rPr>
          <w:color w:val="1F497D" w:themeColor="text2"/>
          <w:u w:val="single"/>
        </w:rPr>
        <w:t>2.1</w:t>
      </w:r>
      <w:r w:rsidRPr="004C206E">
        <w:rPr>
          <w:color w:val="1F497D" w:themeColor="text2"/>
          <w:u w:val="single"/>
        </w:rPr>
        <w:tab/>
      </w:r>
      <w:r w:rsidR="003B0678" w:rsidRPr="00F337D6">
        <w:t>This determination comes into force on 1 April 2015.</w:t>
      </w:r>
    </w:p>
    <w:p w:rsidR="004C206E" w:rsidRPr="004C206E" w:rsidRDefault="004C206E" w:rsidP="00802375">
      <w:pPr>
        <w:pStyle w:val="Subclause1"/>
        <w:numPr>
          <w:ilvl w:val="0"/>
          <w:numId w:val="0"/>
        </w:numPr>
        <w:rPr>
          <w:color w:val="1F497D" w:themeColor="text2"/>
          <w:u w:val="single"/>
        </w:rPr>
      </w:pPr>
      <w:r w:rsidRPr="004C206E">
        <w:rPr>
          <w:color w:val="1F497D" w:themeColor="text2"/>
          <w:u w:val="single"/>
        </w:rPr>
        <w:t>2.2</w:t>
      </w:r>
      <w:r w:rsidRPr="004C206E">
        <w:rPr>
          <w:color w:val="1F497D" w:themeColor="text2"/>
          <w:u w:val="single"/>
        </w:rPr>
        <w:tab/>
        <w:t xml:space="preserve">The </w:t>
      </w:r>
      <w:r w:rsidRPr="00BA0E3E">
        <w:rPr>
          <w:color w:val="1F497D" w:themeColor="text2"/>
          <w:u w:val="single"/>
        </w:rPr>
        <w:t>Base Year</w:t>
      </w:r>
      <w:r w:rsidRPr="004C206E">
        <w:rPr>
          <w:color w:val="1F497D" w:themeColor="text2"/>
          <w:u w:val="single"/>
        </w:rPr>
        <w:t xml:space="preserve"> is 1 April 2013 to 31 March 2014.  </w:t>
      </w:r>
    </w:p>
    <w:p w:rsidR="003B0678" w:rsidRPr="00F337D6" w:rsidRDefault="003B0678" w:rsidP="003B0678">
      <w:pPr>
        <w:pStyle w:val="ClauseTitle"/>
        <w:rPr>
          <w:szCs w:val="24"/>
        </w:rPr>
      </w:pPr>
      <w:bookmarkStart w:id="2" w:name="_Ref392777014"/>
      <w:r w:rsidRPr="00F337D6">
        <w:rPr>
          <w:szCs w:val="24"/>
        </w:rPr>
        <w:t>Application</w:t>
      </w:r>
      <w:bookmarkEnd w:id="2"/>
    </w:p>
    <w:p w:rsidR="003B0678" w:rsidRPr="00767342" w:rsidRDefault="003B0678" w:rsidP="00802375">
      <w:pPr>
        <w:pStyle w:val="Subclause1"/>
        <w:tabs>
          <w:tab w:val="clear" w:pos="1418"/>
        </w:tabs>
        <w:ind w:left="709"/>
      </w:pPr>
      <w:r w:rsidRPr="00767342">
        <w:t>This determination applies to all Non-exempt EDBs</w:t>
      </w:r>
      <w:r w:rsidR="003951AE">
        <w:t>, except as provided in clause 3.2</w:t>
      </w:r>
      <w:r w:rsidRPr="00767342">
        <w:t>.</w:t>
      </w:r>
    </w:p>
    <w:p w:rsidR="003B0678" w:rsidRPr="00DA5CFE" w:rsidRDefault="003B0678" w:rsidP="00802375">
      <w:pPr>
        <w:pStyle w:val="Subclause1"/>
        <w:tabs>
          <w:tab w:val="clear" w:pos="1418"/>
        </w:tabs>
        <w:ind w:left="709"/>
      </w:pPr>
      <w:r w:rsidRPr="00767342">
        <w:t xml:space="preserve">This determination does not apply to Orion until the expiration of the </w:t>
      </w:r>
      <w:r w:rsidRPr="00096814">
        <w:rPr>
          <w:i/>
        </w:rPr>
        <w:t xml:space="preserve">Orion New Zealand Limited Customised Price-Quality Path Determination 2013 </w:t>
      </w:r>
      <w:r w:rsidRPr="00767342">
        <w:t>[2013] NZCC 21.</w:t>
      </w:r>
    </w:p>
    <w:p w:rsidR="003B0678" w:rsidRPr="00F337D6" w:rsidRDefault="003B0678" w:rsidP="003B0678">
      <w:pPr>
        <w:pStyle w:val="ClauseTitle"/>
        <w:rPr>
          <w:szCs w:val="24"/>
        </w:rPr>
      </w:pPr>
      <w:bookmarkStart w:id="3" w:name="_Ref392777019"/>
      <w:r w:rsidRPr="00F337D6">
        <w:rPr>
          <w:szCs w:val="24"/>
        </w:rPr>
        <w:t>Interpretation</w:t>
      </w:r>
      <w:bookmarkEnd w:id="3"/>
    </w:p>
    <w:p w:rsidR="003B0678" w:rsidRPr="00F337D6" w:rsidRDefault="003B0678" w:rsidP="00802375">
      <w:pPr>
        <w:pStyle w:val="Subclause1"/>
        <w:tabs>
          <w:tab w:val="clear" w:pos="1418"/>
        </w:tabs>
        <w:ind w:left="709"/>
      </w:pPr>
      <w:r w:rsidRPr="00F337D6">
        <w:t>Unless the context otherwise requires</w:t>
      </w:r>
      <w:r w:rsidR="00E57444">
        <w:t>:</w:t>
      </w:r>
    </w:p>
    <w:p w:rsidR="003B0678" w:rsidRPr="007E21B1" w:rsidRDefault="003B0678" w:rsidP="003D0C9B">
      <w:pPr>
        <w:pStyle w:val="Subclause2"/>
        <w:ind w:left="1418" w:hanging="709"/>
      </w:pPr>
      <w:r w:rsidRPr="007E21B1">
        <w:t>terms used in this determination that are defined in the Act but not in this determination have the same meanings as in the Act;</w:t>
      </w:r>
    </w:p>
    <w:p w:rsidR="003B0678" w:rsidRPr="007E21B1" w:rsidRDefault="003B0678" w:rsidP="003D0C9B">
      <w:pPr>
        <w:pStyle w:val="Subclause2"/>
        <w:ind w:left="1418" w:hanging="709"/>
      </w:pPr>
      <w:r w:rsidRPr="007E21B1">
        <w:t>terms used in this determination that are defined in the IM Determination but not in this determination have the same meanings as in the IM Determination;</w:t>
      </w:r>
    </w:p>
    <w:p w:rsidR="003B0678" w:rsidRPr="007E21B1" w:rsidRDefault="003B0678" w:rsidP="003D0C9B">
      <w:pPr>
        <w:pStyle w:val="Subclause2"/>
        <w:ind w:left="1418" w:hanging="709"/>
      </w:pPr>
      <w:r w:rsidRPr="007E21B1">
        <w:t>words appearing in this determination with capitalised initial letters that are defined in clause 4.2 bear the meaning given to them in clause 4.2;</w:t>
      </w:r>
      <w:r w:rsidR="00E57444" w:rsidRPr="007E21B1">
        <w:t xml:space="preserve"> and</w:t>
      </w:r>
    </w:p>
    <w:p w:rsidR="003B0678" w:rsidRPr="007E21B1" w:rsidRDefault="003B0678" w:rsidP="003D0C9B">
      <w:pPr>
        <w:pStyle w:val="Subclause2"/>
        <w:ind w:left="1418" w:hanging="709"/>
      </w:pPr>
      <w:proofErr w:type="gramStart"/>
      <w:r w:rsidRPr="007E21B1">
        <w:t>a</w:t>
      </w:r>
      <w:proofErr w:type="gramEnd"/>
      <w:r w:rsidRPr="007E21B1">
        <w:t xml:space="preserve"> word which denotes the singular also denotes the plural and vice versa.</w:t>
      </w:r>
    </w:p>
    <w:p w:rsidR="003B0678" w:rsidRDefault="003B0678" w:rsidP="0094773C">
      <w:pPr>
        <w:pStyle w:val="Subclause1"/>
        <w:tabs>
          <w:tab w:val="clear" w:pos="1418"/>
        </w:tabs>
        <w:ind w:left="709"/>
      </w:pPr>
      <w:r w:rsidRPr="00F337D6">
        <w:t>In this determination, unless the context otherwise requires, –</w:t>
      </w:r>
    </w:p>
    <w:p w:rsidR="00C238ED" w:rsidRPr="00C238ED" w:rsidRDefault="00C238ED" w:rsidP="00C238ED">
      <w:pPr>
        <w:pStyle w:val="Quotation"/>
        <w:rPr>
          <w:rFonts w:asciiTheme="minorHAnsi" w:hAnsiTheme="minorHAnsi"/>
          <w:bCs/>
          <w:sz w:val="24"/>
          <w:szCs w:val="24"/>
        </w:rPr>
      </w:pPr>
      <w:r w:rsidRPr="00C238ED">
        <w:rPr>
          <w:rFonts w:asciiTheme="minorHAnsi" w:hAnsiTheme="minorHAnsi"/>
          <w:b/>
          <w:bCs/>
          <w:sz w:val="24"/>
          <w:szCs w:val="24"/>
        </w:rPr>
        <w:t>2013-15 NPV Wash-up</w:t>
      </w:r>
      <w:r w:rsidRPr="00C238ED">
        <w:rPr>
          <w:rFonts w:asciiTheme="minorHAnsi" w:hAnsiTheme="minorHAnsi"/>
          <w:sz w:val="24"/>
          <w:szCs w:val="24"/>
        </w:rPr>
        <w:t xml:space="preserve"> </w:t>
      </w:r>
      <w:r w:rsidRPr="00C238ED">
        <w:rPr>
          <w:rFonts w:asciiTheme="minorHAnsi" w:hAnsiTheme="minorHAnsi"/>
          <w:b/>
          <w:bCs/>
          <w:sz w:val="24"/>
          <w:szCs w:val="24"/>
        </w:rPr>
        <w:t>Allowance</w:t>
      </w:r>
      <w:r w:rsidRPr="00C238ED">
        <w:rPr>
          <w:rFonts w:asciiTheme="minorHAnsi" w:hAnsiTheme="minorHAnsi"/>
          <w:bCs/>
          <w:sz w:val="24"/>
          <w:szCs w:val="24"/>
        </w:rPr>
        <w:t xml:space="preserve"> has the meaning given in clause 1.1.4(2) of the IM Determination</w:t>
      </w:r>
      <w:r w:rsidR="007619F1">
        <w:rPr>
          <w:rFonts w:asciiTheme="minorHAnsi" w:hAnsiTheme="minorHAnsi"/>
          <w:bCs/>
          <w:sz w:val="24"/>
          <w:szCs w:val="24"/>
        </w:rPr>
        <w:t>,</w:t>
      </w:r>
      <w:r w:rsidRPr="00C238ED">
        <w:rPr>
          <w:rFonts w:asciiTheme="minorHAnsi" w:hAnsiTheme="minorHAnsi"/>
          <w:bCs/>
          <w:sz w:val="24"/>
          <w:szCs w:val="24"/>
        </w:rPr>
        <w:t xml:space="preserve"> and is </w:t>
      </w:r>
      <w:r w:rsidRPr="005A11A4">
        <w:rPr>
          <w:rFonts w:asciiTheme="minorHAnsi" w:hAnsiTheme="minorHAnsi"/>
          <w:bCs/>
          <w:sz w:val="24"/>
          <w:szCs w:val="24"/>
        </w:rPr>
        <w:t xml:space="preserve">specified in </w:t>
      </w:r>
      <w:r w:rsidR="003951AE" w:rsidRPr="005A11A4">
        <w:rPr>
          <w:rFonts w:asciiTheme="minorHAnsi" w:hAnsiTheme="minorHAnsi"/>
          <w:bCs/>
          <w:sz w:val="24"/>
          <w:szCs w:val="24"/>
        </w:rPr>
        <w:t>S</w:t>
      </w:r>
      <w:r w:rsidRPr="005A11A4">
        <w:rPr>
          <w:rFonts w:asciiTheme="minorHAnsi" w:hAnsiTheme="minorHAnsi"/>
          <w:bCs/>
          <w:sz w:val="24"/>
          <w:szCs w:val="24"/>
        </w:rPr>
        <w:t>che</w:t>
      </w:r>
      <w:r w:rsidR="003C0120" w:rsidRPr="005A11A4">
        <w:rPr>
          <w:rFonts w:asciiTheme="minorHAnsi" w:hAnsiTheme="minorHAnsi"/>
          <w:bCs/>
          <w:sz w:val="24"/>
          <w:szCs w:val="24"/>
        </w:rPr>
        <w:t>dule 5</w:t>
      </w:r>
      <w:r w:rsidR="00762493">
        <w:rPr>
          <w:rFonts w:asciiTheme="minorHAnsi" w:hAnsiTheme="minorHAnsi"/>
          <w:bCs/>
          <w:sz w:val="24"/>
          <w:szCs w:val="24"/>
        </w:rPr>
        <w:t>D</w:t>
      </w:r>
    </w:p>
    <w:p w:rsidR="00C238ED" w:rsidRPr="00C238ED" w:rsidRDefault="00C238ED" w:rsidP="00C238ED">
      <w:pPr>
        <w:pStyle w:val="UnnumberedL2"/>
        <w:rPr>
          <w:rFonts w:asciiTheme="minorHAnsi" w:hAnsiTheme="minorHAnsi"/>
        </w:rPr>
      </w:pPr>
      <w:r w:rsidRPr="00C238ED">
        <w:rPr>
          <w:rStyle w:val="Emphasis-Bold"/>
          <w:rFonts w:asciiTheme="minorHAnsi" w:hAnsiTheme="minorHAnsi"/>
        </w:rPr>
        <w:t>Act</w:t>
      </w:r>
      <w:r w:rsidRPr="00C238ED">
        <w:rPr>
          <w:rFonts w:asciiTheme="minorHAnsi" w:hAnsiTheme="minorHAnsi"/>
        </w:rPr>
        <w:t xml:space="preserve"> means the Commerce Act 1986</w:t>
      </w:r>
    </w:p>
    <w:p w:rsidR="003951AE" w:rsidRPr="00E91B3E" w:rsidRDefault="003951AE" w:rsidP="003951AE">
      <w:pPr>
        <w:pStyle w:val="Quotation"/>
        <w:rPr>
          <w:sz w:val="24"/>
          <w:szCs w:val="24"/>
        </w:rPr>
      </w:pPr>
      <w:r w:rsidRPr="00E91B3E">
        <w:rPr>
          <w:b/>
          <w:sz w:val="24"/>
          <w:szCs w:val="24"/>
        </w:rPr>
        <w:t>Amalgamate</w:t>
      </w:r>
      <w:r w:rsidRPr="00E91B3E">
        <w:rPr>
          <w:sz w:val="24"/>
          <w:szCs w:val="24"/>
        </w:rPr>
        <w:t xml:space="preserve"> and </w:t>
      </w:r>
      <w:r w:rsidRPr="00E91B3E">
        <w:rPr>
          <w:b/>
          <w:sz w:val="24"/>
          <w:szCs w:val="24"/>
        </w:rPr>
        <w:t>Amalgamation</w:t>
      </w:r>
      <w:r w:rsidRPr="00E91B3E">
        <w:rPr>
          <w:sz w:val="24"/>
          <w:szCs w:val="24"/>
        </w:rPr>
        <w:t xml:space="preserve"> ha</w:t>
      </w:r>
      <w:r w:rsidR="006412E7">
        <w:rPr>
          <w:sz w:val="24"/>
          <w:szCs w:val="24"/>
        </w:rPr>
        <w:t>s</w:t>
      </w:r>
      <w:r w:rsidRPr="00E91B3E">
        <w:rPr>
          <w:sz w:val="24"/>
          <w:szCs w:val="24"/>
        </w:rPr>
        <w:t xml:space="preserve"> the meaning</w:t>
      </w:r>
      <w:r w:rsidR="006412E7">
        <w:rPr>
          <w:sz w:val="24"/>
          <w:szCs w:val="24"/>
        </w:rPr>
        <w:t xml:space="preserve"> given in</w:t>
      </w:r>
      <w:r w:rsidRPr="00E91B3E">
        <w:rPr>
          <w:sz w:val="24"/>
          <w:szCs w:val="24"/>
        </w:rPr>
        <w:t xml:space="preserve"> clause 1.1.4</w:t>
      </w:r>
      <w:r w:rsidR="001922A6">
        <w:rPr>
          <w:sz w:val="24"/>
          <w:szCs w:val="24"/>
        </w:rPr>
        <w:t>(2)</w:t>
      </w:r>
      <w:r w:rsidRPr="00E91B3E">
        <w:rPr>
          <w:sz w:val="24"/>
          <w:szCs w:val="24"/>
        </w:rPr>
        <w:t xml:space="preserve"> of the IM Determination</w:t>
      </w:r>
    </w:p>
    <w:p w:rsidR="00C238ED" w:rsidRPr="00C238ED" w:rsidRDefault="00C238ED" w:rsidP="00C238ED">
      <w:pPr>
        <w:pStyle w:val="UnnumberedL2"/>
        <w:rPr>
          <w:rFonts w:asciiTheme="minorHAnsi" w:hAnsiTheme="minorHAnsi"/>
        </w:rPr>
      </w:pPr>
      <w:r w:rsidRPr="00C238ED">
        <w:rPr>
          <w:rStyle w:val="Emphasis-Bold"/>
          <w:rFonts w:asciiTheme="minorHAnsi" w:hAnsiTheme="minorHAnsi"/>
        </w:rPr>
        <w:t>Annual Compliance Statement</w:t>
      </w:r>
      <w:r w:rsidRPr="00C238ED">
        <w:rPr>
          <w:rFonts w:asciiTheme="minorHAnsi" w:hAnsiTheme="minorHAnsi"/>
        </w:rPr>
        <w:t xml:space="preserve"> means a written statement made by a Non-exempt EDB under </w:t>
      </w:r>
      <w:r w:rsidRPr="003951AE">
        <w:rPr>
          <w:rFonts w:asciiTheme="minorHAnsi" w:hAnsiTheme="minorHAnsi"/>
        </w:rPr>
        <w:t>clause 11</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lastRenderedPageBreak/>
        <w:t>Assessment Period</w:t>
      </w:r>
      <w:r w:rsidRPr="00C238ED">
        <w:rPr>
          <w:rFonts w:asciiTheme="minorHAnsi" w:hAnsiTheme="minorHAnsi"/>
          <w:sz w:val="24"/>
          <w:szCs w:val="24"/>
        </w:rPr>
        <w:t xml:space="preserve"> means a 12 month period commencing 1 April and ending on 31 March of the following year for which compliance with </w:t>
      </w:r>
      <w:r w:rsidR="003C6895">
        <w:rPr>
          <w:rFonts w:asciiTheme="minorHAnsi" w:hAnsiTheme="minorHAnsi"/>
          <w:sz w:val="24"/>
          <w:szCs w:val="24"/>
        </w:rPr>
        <w:t>a</w:t>
      </w:r>
      <w:r w:rsidR="003C6895" w:rsidRPr="00C238ED">
        <w:rPr>
          <w:rFonts w:asciiTheme="minorHAnsi" w:hAnsiTheme="minorHAnsi"/>
          <w:sz w:val="24"/>
          <w:szCs w:val="24"/>
        </w:rPr>
        <w:t xml:space="preserve"> </w:t>
      </w:r>
      <w:r w:rsidRPr="00C238ED">
        <w:rPr>
          <w:rFonts w:asciiTheme="minorHAnsi" w:hAnsiTheme="minorHAnsi"/>
          <w:sz w:val="24"/>
          <w:szCs w:val="24"/>
        </w:rPr>
        <w:t>price-quality path must be demonstrated</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 xml:space="preserve">Capex Incentive </w:t>
      </w:r>
      <w:r w:rsidRPr="00CD4177">
        <w:rPr>
          <w:rFonts w:asciiTheme="minorHAnsi" w:hAnsiTheme="minorHAnsi"/>
          <w:b/>
          <w:strike/>
          <w:color w:val="1F497D" w:themeColor="text2"/>
          <w:sz w:val="24"/>
          <w:szCs w:val="24"/>
        </w:rPr>
        <w:t>Adjustment</w:t>
      </w:r>
      <w:r w:rsidRPr="00CD4177">
        <w:rPr>
          <w:rFonts w:asciiTheme="minorHAnsi" w:hAnsiTheme="minorHAnsi"/>
          <w:color w:val="1F497D" w:themeColor="text2"/>
          <w:sz w:val="24"/>
          <w:szCs w:val="24"/>
        </w:rPr>
        <w:t xml:space="preserve"> </w:t>
      </w:r>
      <w:r w:rsidR="00D84470">
        <w:rPr>
          <w:rFonts w:asciiTheme="minorHAnsi" w:hAnsiTheme="minorHAnsi"/>
          <w:b/>
          <w:color w:val="1F497D" w:themeColor="text2"/>
          <w:sz w:val="24"/>
          <w:szCs w:val="24"/>
          <w:u w:val="single"/>
        </w:rPr>
        <w:t>Amount</w:t>
      </w:r>
      <w:r w:rsidR="00C568AB" w:rsidRPr="00CD4177">
        <w:rPr>
          <w:rFonts w:asciiTheme="minorHAnsi" w:hAnsiTheme="minorHAnsi"/>
          <w:color w:val="1F497D" w:themeColor="text2"/>
          <w:sz w:val="24"/>
          <w:szCs w:val="24"/>
        </w:rPr>
        <w:t xml:space="preserve"> </w:t>
      </w:r>
      <w:r w:rsidRPr="00C238ED">
        <w:rPr>
          <w:rFonts w:asciiTheme="minorHAnsi" w:hAnsiTheme="minorHAnsi"/>
          <w:sz w:val="24"/>
          <w:szCs w:val="24"/>
        </w:rPr>
        <w:t>has the meaning given in clause 1.1.4(2) of the IM Determination</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Catastrophic Event</w:t>
      </w:r>
      <w:r w:rsidRPr="00C238ED">
        <w:rPr>
          <w:rFonts w:asciiTheme="minorHAnsi" w:hAnsiTheme="minorHAnsi"/>
          <w:sz w:val="24"/>
          <w:szCs w:val="24"/>
        </w:rPr>
        <w:t xml:space="preserve"> has the meaning given in clause 5.6.1 of the IM Determination</w:t>
      </w:r>
    </w:p>
    <w:p w:rsidR="001853E2" w:rsidRPr="001853E2" w:rsidRDefault="001853E2" w:rsidP="00C238ED">
      <w:pPr>
        <w:pStyle w:val="Quotation"/>
        <w:rPr>
          <w:rStyle w:val="Emphasis-Bold"/>
          <w:rFonts w:asciiTheme="minorHAnsi" w:hAnsiTheme="minorHAnsi"/>
          <w:color w:val="1F497D" w:themeColor="text2"/>
          <w:sz w:val="24"/>
          <w:szCs w:val="24"/>
        </w:rPr>
      </w:pPr>
      <w:r w:rsidRPr="001853E2">
        <w:rPr>
          <w:rStyle w:val="Emphasis-Bold"/>
          <w:rFonts w:asciiTheme="minorHAnsi" w:hAnsiTheme="minorHAnsi"/>
          <w:color w:val="1F497D" w:themeColor="text2"/>
          <w:sz w:val="24"/>
          <w:szCs w:val="24"/>
        </w:rPr>
        <w:t xml:space="preserve">Change Event </w:t>
      </w:r>
      <w:r w:rsidRPr="001853E2">
        <w:rPr>
          <w:rStyle w:val="Emphasis-Bold"/>
          <w:rFonts w:asciiTheme="minorHAnsi" w:hAnsiTheme="minorHAnsi"/>
          <w:b w:val="0"/>
          <w:color w:val="1F497D" w:themeColor="text2"/>
          <w:sz w:val="24"/>
          <w:szCs w:val="24"/>
        </w:rPr>
        <w:t>has the</w:t>
      </w:r>
      <w:r w:rsidRPr="001853E2">
        <w:rPr>
          <w:rStyle w:val="Emphasis-Bold"/>
          <w:rFonts w:asciiTheme="minorHAnsi" w:hAnsiTheme="minorHAnsi"/>
          <w:color w:val="1F497D" w:themeColor="text2"/>
          <w:sz w:val="24"/>
          <w:szCs w:val="24"/>
        </w:rPr>
        <w:t xml:space="preserve"> </w:t>
      </w:r>
      <w:r w:rsidRPr="001853E2">
        <w:rPr>
          <w:rStyle w:val="Emphasis-Bold"/>
          <w:rFonts w:asciiTheme="minorHAnsi" w:hAnsiTheme="minorHAnsi"/>
          <w:b w:val="0"/>
          <w:color w:val="1F497D" w:themeColor="text2"/>
          <w:sz w:val="24"/>
          <w:szCs w:val="24"/>
        </w:rPr>
        <w:t xml:space="preserve">meaning </w:t>
      </w:r>
      <w:r>
        <w:rPr>
          <w:rStyle w:val="Emphasis-Bold"/>
          <w:rFonts w:asciiTheme="minorHAnsi" w:hAnsiTheme="minorHAnsi"/>
          <w:b w:val="0"/>
          <w:color w:val="1F497D" w:themeColor="text2"/>
          <w:sz w:val="24"/>
          <w:szCs w:val="24"/>
        </w:rPr>
        <w:t>given</w:t>
      </w:r>
      <w:r w:rsidRPr="001853E2">
        <w:rPr>
          <w:rStyle w:val="Emphasis-Bold"/>
          <w:rFonts w:asciiTheme="minorHAnsi" w:hAnsiTheme="minorHAnsi"/>
          <w:b w:val="0"/>
          <w:color w:val="1F497D" w:themeColor="text2"/>
          <w:sz w:val="24"/>
          <w:szCs w:val="24"/>
        </w:rPr>
        <w:t xml:space="preserve"> in clause [to be confirmed] of the IM Determination</w:t>
      </w:r>
    </w:p>
    <w:p w:rsidR="00C238ED" w:rsidRPr="00C238ED" w:rsidRDefault="00C238ED" w:rsidP="00C238ED">
      <w:pPr>
        <w:pStyle w:val="Quotation"/>
        <w:rPr>
          <w:rFonts w:asciiTheme="minorHAnsi" w:hAnsiTheme="minorHAnsi"/>
          <w:sz w:val="24"/>
          <w:szCs w:val="24"/>
        </w:rPr>
      </w:pPr>
      <w:r w:rsidRPr="00C238ED">
        <w:rPr>
          <w:rStyle w:val="Emphasis-Bold"/>
          <w:rFonts w:asciiTheme="minorHAnsi" w:hAnsiTheme="minorHAnsi"/>
          <w:sz w:val="24"/>
          <w:szCs w:val="24"/>
        </w:rPr>
        <w:t>Class B Interruptions</w:t>
      </w:r>
      <w:r w:rsidRPr="00C238ED">
        <w:rPr>
          <w:rFonts w:asciiTheme="minorHAnsi" w:hAnsiTheme="minorHAnsi"/>
          <w:sz w:val="24"/>
          <w:szCs w:val="24"/>
        </w:rPr>
        <w:t xml:space="preserve"> means </w:t>
      </w:r>
      <w:r w:rsidR="001A737D">
        <w:rPr>
          <w:rFonts w:asciiTheme="minorHAnsi" w:hAnsiTheme="minorHAnsi"/>
          <w:sz w:val="24"/>
          <w:szCs w:val="24"/>
        </w:rPr>
        <w:t>P</w:t>
      </w:r>
      <w:r w:rsidR="001A737D" w:rsidRPr="00C238ED">
        <w:rPr>
          <w:rFonts w:asciiTheme="minorHAnsi" w:hAnsiTheme="minorHAnsi"/>
          <w:sz w:val="24"/>
          <w:szCs w:val="24"/>
        </w:rPr>
        <w:t xml:space="preserve">lanned </w:t>
      </w:r>
      <w:r w:rsidRPr="00C238ED">
        <w:rPr>
          <w:rFonts w:asciiTheme="minorHAnsi" w:hAnsiTheme="minorHAnsi"/>
          <w:sz w:val="24"/>
          <w:szCs w:val="24"/>
        </w:rPr>
        <w:t>Interruptions by a Non-exempt EDB</w:t>
      </w:r>
    </w:p>
    <w:p w:rsidR="00C238ED" w:rsidRPr="00C238ED" w:rsidRDefault="00C238ED" w:rsidP="00C238ED">
      <w:pPr>
        <w:pStyle w:val="Quotation"/>
        <w:rPr>
          <w:rFonts w:asciiTheme="minorHAnsi" w:hAnsiTheme="minorHAnsi"/>
          <w:sz w:val="24"/>
          <w:szCs w:val="24"/>
        </w:rPr>
      </w:pPr>
      <w:r w:rsidRPr="00C238ED">
        <w:rPr>
          <w:rStyle w:val="Emphasis-Bold"/>
          <w:rFonts w:asciiTheme="minorHAnsi" w:hAnsiTheme="minorHAnsi"/>
          <w:sz w:val="24"/>
          <w:szCs w:val="24"/>
        </w:rPr>
        <w:t>Class C Interruptions</w:t>
      </w:r>
      <w:r w:rsidRPr="00C238ED">
        <w:rPr>
          <w:rFonts w:asciiTheme="minorHAnsi" w:hAnsiTheme="minorHAnsi"/>
          <w:sz w:val="24"/>
          <w:szCs w:val="24"/>
        </w:rPr>
        <w:t xml:space="preserve"> means Unplanned Interruptions originating within the System Fixed Assets of a Non-exempt EDB</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Commission</w:t>
      </w:r>
      <w:r w:rsidRPr="00C238ED">
        <w:rPr>
          <w:rFonts w:asciiTheme="minorHAnsi" w:hAnsiTheme="minorHAnsi"/>
          <w:sz w:val="24"/>
          <w:szCs w:val="24"/>
        </w:rPr>
        <w:t xml:space="preserve"> means the Commerce Commission as defined in s</w:t>
      </w:r>
      <w:r w:rsidR="003C0120">
        <w:rPr>
          <w:rFonts w:asciiTheme="minorHAnsi" w:hAnsiTheme="minorHAnsi"/>
          <w:sz w:val="24"/>
          <w:szCs w:val="24"/>
        </w:rPr>
        <w:t>ection</w:t>
      </w:r>
      <w:r w:rsidRPr="00C238ED">
        <w:rPr>
          <w:rFonts w:asciiTheme="minorHAnsi" w:hAnsiTheme="minorHAnsi"/>
          <w:sz w:val="24"/>
          <w:szCs w:val="24"/>
        </w:rPr>
        <w:t xml:space="preserve"> 2 of the Act </w:t>
      </w:r>
    </w:p>
    <w:p w:rsidR="00C238ED" w:rsidRPr="00C238ED" w:rsidRDefault="00C238ED" w:rsidP="00C238ED">
      <w:pPr>
        <w:pStyle w:val="Quotation"/>
        <w:rPr>
          <w:rStyle w:val="Emphasis-Remove"/>
          <w:rFonts w:asciiTheme="minorHAnsi" w:hAnsiTheme="minorHAnsi"/>
          <w:sz w:val="24"/>
          <w:szCs w:val="24"/>
        </w:rPr>
      </w:pPr>
      <w:r w:rsidRPr="00C238ED">
        <w:rPr>
          <w:rStyle w:val="Emphasis-Bold"/>
          <w:rFonts w:asciiTheme="minorHAnsi" w:hAnsiTheme="minorHAnsi"/>
          <w:sz w:val="24"/>
          <w:szCs w:val="24"/>
        </w:rPr>
        <w:t>Consumer</w:t>
      </w:r>
      <w:r w:rsidRPr="00C238ED">
        <w:rPr>
          <w:rFonts w:asciiTheme="minorHAnsi" w:hAnsiTheme="minorHAnsi"/>
          <w:sz w:val="24"/>
          <w:szCs w:val="24"/>
        </w:rPr>
        <w:t xml:space="preserve"> has the meaning </w:t>
      </w:r>
      <w:r w:rsidR="003951AE">
        <w:rPr>
          <w:rFonts w:asciiTheme="minorHAnsi" w:hAnsiTheme="minorHAnsi"/>
          <w:sz w:val="24"/>
          <w:szCs w:val="24"/>
        </w:rPr>
        <w:t>given in</w:t>
      </w:r>
      <w:r w:rsidR="003951AE" w:rsidRPr="00C238ED">
        <w:rPr>
          <w:rFonts w:asciiTheme="minorHAnsi" w:hAnsiTheme="minorHAnsi"/>
          <w:sz w:val="24"/>
          <w:szCs w:val="24"/>
        </w:rPr>
        <w:t xml:space="preserve"> </w:t>
      </w:r>
      <w:r w:rsidRPr="00C238ED">
        <w:rPr>
          <w:rFonts w:asciiTheme="minorHAnsi" w:hAnsiTheme="minorHAnsi"/>
          <w:sz w:val="24"/>
          <w:szCs w:val="24"/>
        </w:rPr>
        <w:t>clause 1.1.4</w:t>
      </w:r>
      <w:r w:rsidR="00E01D02">
        <w:rPr>
          <w:rFonts w:asciiTheme="minorHAnsi" w:hAnsiTheme="minorHAnsi"/>
          <w:sz w:val="24"/>
          <w:szCs w:val="24"/>
        </w:rPr>
        <w:t>(2)</w:t>
      </w:r>
      <w:r w:rsidRPr="00C238ED">
        <w:rPr>
          <w:rFonts w:asciiTheme="minorHAnsi" w:hAnsiTheme="minorHAnsi"/>
          <w:sz w:val="24"/>
          <w:szCs w:val="24"/>
        </w:rPr>
        <w:t xml:space="preserve"> of </w:t>
      </w:r>
      <w:r w:rsidRPr="00C238ED">
        <w:rPr>
          <w:rStyle w:val="Emphasis-Remove"/>
          <w:rFonts w:asciiTheme="minorHAnsi" w:hAnsiTheme="minorHAnsi"/>
          <w:sz w:val="24"/>
          <w:szCs w:val="24"/>
        </w:rPr>
        <w:t>the IM Determination</w:t>
      </w:r>
    </w:p>
    <w:p w:rsidR="00B502DF" w:rsidRPr="00B502DF" w:rsidRDefault="00B502DF" w:rsidP="00C238ED">
      <w:pPr>
        <w:pStyle w:val="Quotation"/>
        <w:rPr>
          <w:rFonts w:asciiTheme="minorHAnsi" w:hAnsiTheme="minorHAnsi"/>
          <w:sz w:val="24"/>
          <w:szCs w:val="24"/>
        </w:rPr>
      </w:pPr>
      <w:r>
        <w:rPr>
          <w:rFonts w:asciiTheme="minorHAnsi" w:hAnsiTheme="minorHAnsi"/>
          <w:b/>
          <w:sz w:val="24"/>
          <w:szCs w:val="24"/>
        </w:rPr>
        <w:t>Consumer Group</w:t>
      </w:r>
      <w:r>
        <w:rPr>
          <w:rFonts w:asciiTheme="minorHAnsi" w:hAnsiTheme="minorHAnsi"/>
          <w:sz w:val="24"/>
          <w:szCs w:val="24"/>
        </w:rPr>
        <w:t xml:space="preserve"> means the category of Consumer used by a Non-exempt EDB for the purpose of setting Prices</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CPI</w:t>
      </w:r>
      <w:r w:rsidRPr="00C238ED">
        <w:rPr>
          <w:rFonts w:asciiTheme="minorHAnsi" w:hAnsiTheme="minorHAnsi"/>
          <w:sz w:val="24"/>
          <w:szCs w:val="24"/>
        </w:rPr>
        <w:t xml:space="preserve"> has the meaning given in clause 1.1.4(2) of the IM Determination</w:t>
      </w:r>
    </w:p>
    <w:p w:rsidR="00C238ED" w:rsidRDefault="00C238ED" w:rsidP="00C238ED">
      <w:pPr>
        <w:pStyle w:val="Quotation"/>
        <w:rPr>
          <w:rFonts w:asciiTheme="minorHAnsi" w:hAnsiTheme="minorHAnsi"/>
          <w:sz w:val="24"/>
          <w:szCs w:val="24"/>
        </w:rPr>
      </w:pPr>
      <w:r w:rsidRPr="003951AE">
        <w:rPr>
          <w:rFonts w:asciiTheme="minorHAnsi" w:hAnsiTheme="minorHAnsi"/>
          <w:b/>
          <w:sz w:val="24"/>
          <w:szCs w:val="24"/>
        </w:rPr>
        <w:t>CPP Regulatory Period</w:t>
      </w:r>
      <w:r w:rsidRPr="003951AE">
        <w:rPr>
          <w:rFonts w:asciiTheme="minorHAnsi" w:hAnsiTheme="minorHAnsi"/>
          <w:sz w:val="24"/>
          <w:szCs w:val="24"/>
        </w:rPr>
        <w:t xml:space="preserve"> means </w:t>
      </w:r>
      <w:r w:rsidR="004F466D">
        <w:rPr>
          <w:rFonts w:asciiTheme="minorHAnsi" w:hAnsiTheme="minorHAnsi"/>
          <w:sz w:val="24"/>
          <w:szCs w:val="24"/>
        </w:rPr>
        <w:t xml:space="preserve">the </w:t>
      </w:r>
      <w:r w:rsidRPr="003951AE">
        <w:rPr>
          <w:rFonts w:asciiTheme="minorHAnsi" w:hAnsiTheme="minorHAnsi"/>
          <w:sz w:val="24"/>
          <w:szCs w:val="24"/>
        </w:rPr>
        <w:t xml:space="preserve">period </w:t>
      </w:r>
      <w:r w:rsidR="004F466D">
        <w:rPr>
          <w:rFonts w:asciiTheme="minorHAnsi" w:hAnsiTheme="minorHAnsi"/>
          <w:sz w:val="24"/>
          <w:szCs w:val="24"/>
        </w:rPr>
        <w:t xml:space="preserve">during which </w:t>
      </w:r>
      <w:r w:rsidRPr="003951AE">
        <w:rPr>
          <w:rFonts w:asciiTheme="minorHAnsi" w:hAnsiTheme="minorHAnsi"/>
          <w:sz w:val="24"/>
          <w:szCs w:val="24"/>
        </w:rPr>
        <w:t xml:space="preserve">a Non-exempt EDB </w:t>
      </w:r>
      <w:r w:rsidR="004F466D">
        <w:rPr>
          <w:rFonts w:asciiTheme="minorHAnsi" w:hAnsiTheme="minorHAnsi"/>
          <w:sz w:val="24"/>
          <w:szCs w:val="24"/>
        </w:rPr>
        <w:t xml:space="preserve">is </w:t>
      </w:r>
      <w:r w:rsidRPr="003951AE">
        <w:rPr>
          <w:rFonts w:asciiTheme="minorHAnsi" w:hAnsiTheme="minorHAnsi"/>
          <w:sz w:val="24"/>
          <w:szCs w:val="24"/>
        </w:rPr>
        <w:t>subject to a customised price-quality path</w:t>
      </w:r>
    </w:p>
    <w:p w:rsidR="002B5E88" w:rsidRPr="002B5E88" w:rsidRDefault="002B5E88" w:rsidP="00C238ED">
      <w:pPr>
        <w:pStyle w:val="Quotation"/>
        <w:rPr>
          <w:rFonts w:asciiTheme="minorHAnsi" w:hAnsiTheme="minorHAnsi"/>
          <w:sz w:val="24"/>
          <w:szCs w:val="24"/>
        </w:rPr>
      </w:pPr>
      <w:r>
        <w:rPr>
          <w:rFonts w:asciiTheme="minorHAnsi" w:hAnsiTheme="minorHAnsi"/>
          <w:b/>
          <w:sz w:val="24"/>
          <w:szCs w:val="24"/>
        </w:rPr>
        <w:t>Cost of Debt</w:t>
      </w:r>
      <w:r>
        <w:rPr>
          <w:rFonts w:asciiTheme="minorHAnsi" w:hAnsiTheme="minorHAnsi"/>
          <w:sz w:val="24"/>
          <w:szCs w:val="24"/>
        </w:rPr>
        <w:t xml:space="preserve"> means the amount, determined </w:t>
      </w:r>
      <w:r w:rsidR="00A950D2">
        <w:rPr>
          <w:rFonts w:asciiTheme="minorHAnsi" w:hAnsiTheme="minorHAnsi"/>
          <w:sz w:val="24"/>
          <w:szCs w:val="24"/>
        </w:rPr>
        <w:t xml:space="preserve">by the Commission </w:t>
      </w:r>
      <w:r>
        <w:rPr>
          <w:rFonts w:asciiTheme="minorHAnsi" w:hAnsiTheme="minorHAnsi"/>
          <w:sz w:val="24"/>
          <w:szCs w:val="24"/>
        </w:rPr>
        <w:t>in accordance with the IM Determination, applicable to a Regulatory Period or CPP Regulatory Period</w:t>
      </w:r>
    </w:p>
    <w:p w:rsidR="00C238ED" w:rsidRPr="00C238ED" w:rsidRDefault="00C238ED" w:rsidP="00C238ED">
      <w:pPr>
        <w:pStyle w:val="UnnumberedL2"/>
        <w:rPr>
          <w:rFonts w:asciiTheme="minorHAnsi" w:hAnsiTheme="minorHAnsi"/>
        </w:rPr>
      </w:pPr>
      <w:r w:rsidRPr="00C238ED">
        <w:rPr>
          <w:rStyle w:val="Emphasis-Bold"/>
          <w:rFonts w:asciiTheme="minorHAnsi" w:hAnsiTheme="minorHAnsi"/>
        </w:rPr>
        <w:t>Director</w:t>
      </w:r>
      <w:r w:rsidRPr="00C238ED">
        <w:rPr>
          <w:rFonts w:asciiTheme="minorHAnsi" w:hAnsiTheme="minorHAnsi"/>
        </w:rPr>
        <w:t xml:space="preserve"> has the meaning </w:t>
      </w:r>
      <w:r w:rsidR="003951AE">
        <w:rPr>
          <w:rFonts w:asciiTheme="minorHAnsi" w:hAnsiTheme="minorHAnsi"/>
        </w:rPr>
        <w:t>given in</w:t>
      </w:r>
      <w:r w:rsidR="003951AE" w:rsidRPr="00C238ED">
        <w:rPr>
          <w:rFonts w:asciiTheme="minorHAnsi" w:hAnsiTheme="minorHAnsi"/>
        </w:rPr>
        <w:t xml:space="preserve"> </w:t>
      </w:r>
      <w:r w:rsidRPr="00C238ED">
        <w:rPr>
          <w:rFonts w:asciiTheme="minorHAnsi" w:hAnsiTheme="minorHAnsi"/>
        </w:rPr>
        <w:t>clause 1.1.4</w:t>
      </w:r>
      <w:r w:rsidR="00E01D02">
        <w:rPr>
          <w:rFonts w:asciiTheme="minorHAnsi" w:hAnsiTheme="minorHAnsi"/>
        </w:rPr>
        <w:t>(2)</w:t>
      </w:r>
      <w:r w:rsidRPr="00C238ED">
        <w:rPr>
          <w:rFonts w:asciiTheme="minorHAnsi" w:hAnsiTheme="minorHAnsi"/>
        </w:rPr>
        <w:t xml:space="preserve"> of the IM Determination</w:t>
      </w:r>
    </w:p>
    <w:p w:rsidR="008D2869" w:rsidRDefault="00B6712E" w:rsidP="00C238ED">
      <w:pPr>
        <w:pStyle w:val="UnnumberedL2"/>
        <w:rPr>
          <w:rFonts w:asciiTheme="minorHAnsi" w:hAnsiTheme="minorHAnsi"/>
        </w:rPr>
      </w:pPr>
      <w:r>
        <w:rPr>
          <w:rFonts w:asciiTheme="minorHAnsi" w:hAnsiTheme="minorHAnsi"/>
          <w:b/>
        </w:rPr>
        <w:t>Distribution Prices</w:t>
      </w:r>
      <w:r>
        <w:rPr>
          <w:rFonts w:asciiTheme="minorHAnsi" w:hAnsiTheme="minorHAnsi"/>
        </w:rPr>
        <w:t xml:space="preserve"> has the meaning given in clause 1.1.4(2) of the IM Determination</w:t>
      </w:r>
    </w:p>
    <w:p w:rsidR="00C238ED" w:rsidRPr="00C238ED" w:rsidRDefault="00C238ED" w:rsidP="00C238ED">
      <w:pPr>
        <w:pStyle w:val="UnnumberedL2"/>
        <w:rPr>
          <w:rFonts w:asciiTheme="minorHAnsi" w:hAnsiTheme="minorHAnsi"/>
        </w:rPr>
      </w:pPr>
      <w:r w:rsidRPr="00C238ED">
        <w:rPr>
          <w:rStyle w:val="Emphasis-Bold"/>
          <w:rFonts w:asciiTheme="minorHAnsi" w:hAnsiTheme="minorHAnsi"/>
        </w:rPr>
        <w:t>EDB</w:t>
      </w:r>
      <w:r w:rsidRPr="00C238ED">
        <w:rPr>
          <w:rFonts w:asciiTheme="minorHAnsi" w:hAnsiTheme="minorHAnsi"/>
        </w:rPr>
        <w:t xml:space="preserve"> means a supplier of Electricity Lines Services other than Transpower</w:t>
      </w:r>
    </w:p>
    <w:p w:rsidR="00C238ED" w:rsidRPr="00C238ED" w:rsidRDefault="00C238ED" w:rsidP="00C238ED">
      <w:pPr>
        <w:pStyle w:val="UnnumberedL2"/>
        <w:rPr>
          <w:rFonts w:asciiTheme="minorHAnsi" w:hAnsiTheme="minorHAnsi"/>
        </w:rPr>
      </w:pPr>
      <w:r w:rsidRPr="00C238ED">
        <w:rPr>
          <w:rStyle w:val="Emphasis-Bold"/>
          <w:rFonts w:asciiTheme="minorHAnsi" w:hAnsiTheme="minorHAnsi"/>
        </w:rPr>
        <w:t>Electricity Distribution Services</w:t>
      </w:r>
      <w:r w:rsidRPr="00C238ED">
        <w:rPr>
          <w:rFonts w:asciiTheme="minorHAnsi" w:hAnsiTheme="minorHAnsi"/>
        </w:rPr>
        <w:t xml:space="preserve"> has the meaning </w:t>
      </w:r>
      <w:r w:rsidR="006412E7">
        <w:rPr>
          <w:rFonts w:asciiTheme="minorHAnsi" w:hAnsiTheme="minorHAnsi"/>
        </w:rPr>
        <w:t>given in</w:t>
      </w:r>
      <w:r w:rsidR="006412E7" w:rsidRPr="00C238ED">
        <w:rPr>
          <w:rFonts w:asciiTheme="minorHAnsi" w:hAnsiTheme="minorHAnsi"/>
        </w:rPr>
        <w:t xml:space="preserve"> </w:t>
      </w:r>
      <w:r w:rsidRPr="00C238ED">
        <w:rPr>
          <w:rFonts w:asciiTheme="minorHAnsi" w:hAnsiTheme="minorHAnsi"/>
        </w:rPr>
        <w:t>clause 1.1.4</w:t>
      </w:r>
      <w:r w:rsidR="00E01D02">
        <w:rPr>
          <w:rFonts w:asciiTheme="minorHAnsi" w:hAnsiTheme="minorHAnsi"/>
        </w:rPr>
        <w:t>(2)</w:t>
      </w:r>
      <w:r w:rsidRPr="00C238ED">
        <w:rPr>
          <w:rFonts w:asciiTheme="minorHAnsi" w:hAnsiTheme="minorHAnsi"/>
        </w:rPr>
        <w:t xml:space="preserve"> of the IM Determination</w:t>
      </w:r>
    </w:p>
    <w:p w:rsidR="00C238ED" w:rsidRPr="00C238ED" w:rsidRDefault="00C238ED" w:rsidP="00C238ED">
      <w:pPr>
        <w:pStyle w:val="UnnumberedL2"/>
        <w:rPr>
          <w:rFonts w:asciiTheme="minorHAnsi" w:hAnsiTheme="minorHAnsi"/>
        </w:rPr>
      </w:pPr>
      <w:r w:rsidRPr="00C238ED">
        <w:rPr>
          <w:rStyle w:val="Emphasis-Bold"/>
          <w:rFonts w:asciiTheme="minorHAnsi" w:hAnsiTheme="minorHAnsi"/>
        </w:rPr>
        <w:t>Electricity Lines Services</w:t>
      </w:r>
      <w:r w:rsidRPr="00C238ED">
        <w:rPr>
          <w:rFonts w:asciiTheme="minorHAnsi" w:hAnsiTheme="minorHAnsi"/>
        </w:rPr>
        <w:t xml:space="preserve"> has the meaning set out in section 54C of the Act</w:t>
      </w:r>
    </w:p>
    <w:p w:rsidR="00C238ED" w:rsidRDefault="00C238ED" w:rsidP="00C238ED">
      <w:pPr>
        <w:pStyle w:val="Quotation"/>
        <w:rPr>
          <w:rFonts w:asciiTheme="minorHAnsi" w:hAnsiTheme="minorHAnsi"/>
          <w:sz w:val="24"/>
          <w:szCs w:val="24"/>
        </w:rPr>
      </w:pPr>
      <w:r w:rsidRPr="00C238ED">
        <w:rPr>
          <w:rFonts w:asciiTheme="minorHAnsi" w:hAnsiTheme="minorHAnsi"/>
          <w:b/>
          <w:sz w:val="24"/>
          <w:szCs w:val="24"/>
        </w:rPr>
        <w:t xml:space="preserve">Energy Efficiency and Demand Incentive </w:t>
      </w:r>
      <w:r w:rsidR="003951AE" w:rsidRPr="00C238ED">
        <w:rPr>
          <w:rFonts w:asciiTheme="minorHAnsi" w:hAnsiTheme="minorHAnsi"/>
          <w:b/>
          <w:sz w:val="24"/>
          <w:szCs w:val="24"/>
        </w:rPr>
        <w:t>A</w:t>
      </w:r>
      <w:r w:rsidR="003951AE">
        <w:rPr>
          <w:rFonts w:asciiTheme="minorHAnsi" w:hAnsiTheme="minorHAnsi"/>
          <w:b/>
          <w:sz w:val="24"/>
          <w:szCs w:val="24"/>
        </w:rPr>
        <w:t>llowance</w:t>
      </w:r>
      <w:r w:rsidR="003951AE" w:rsidRPr="00C238ED">
        <w:rPr>
          <w:rFonts w:asciiTheme="minorHAnsi" w:hAnsiTheme="minorHAnsi"/>
          <w:sz w:val="24"/>
          <w:szCs w:val="24"/>
        </w:rPr>
        <w:t xml:space="preserve"> </w:t>
      </w:r>
      <w:r w:rsidR="003951AE">
        <w:rPr>
          <w:rFonts w:asciiTheme="minorHAnsi" w:hAnsiTheme="minorHAnsi"/>
          <w:sz w:val="24"/>
          <w:szCs w:val="24"/>
        </w:rPr>
        <w:t>has the meaning given in clause 1.1.4(2) of the IM Determination</w:t>
      </w:r>
      <w:r w:rsidR="00CF1D93">
        <w:rPr>
          <w:rFonts w:asciiTheme="minorHAnsi" w:hAnsiTheme="minorHAnsi"/>
          <w:sz w:val="24"/>
          <w:szCs w:val="24"/>
        </w:rPr>
        <w:t>,</w:t>
      </w:r>
      <w:r w:rsidR="003951AE">
        <w:rPr>
          <w:rFonts w:asciiTheme="minorHAnsi" w:hAnsiTheme="minorHAnsi"/>
          <w:sz w:val="24"/>
          <w:szCs w:val="24"/>
        </w:rPr>
        <w:t xml:space="preserve"> and is the amount approved by the Commission </w:t>
      </w:r>
      <w:r w:rsidRPr="00C238ED">
        <w:rPr>
          <w:rFonts w:asciiTheme="minorHAnsi" w:hAnsiTheme="minorHAnsi"/>
          <w:sz w:val="24"/>
          <w:szCs w:val="24"/>
        </w:rPr>
        <w:t xml:space="preserve">in accordance with </w:t>
      </w:r>
      <w:r w:rsidR="003951AE" w:rsidRPr="003D0C9B">
        <w:rPr>
          <w:rFonts w:asciiTheme="minorHAnsi" w:hAnsiTheme="minorHAnsi"/>
          <w:sz w:val="24"/>
          <w:szCs w:val="24"/>
        </w:rPr>
        <w:t>S</w:t>
      </w:r>
      <w:r w:rsidR="008648F5" w:rsidRPr="003D0C9B">
        <w:rPr>
          <w:rFonts w:asciiTheme="minorHAnsi" w:hAnsiTheme="minorHAnsi"/>
          <w:sz w:val="24"/>
          <w:szCs w:val="24"/>
        </w:rPr>
        <w:t>chedule 5</w:t>
      </w:r>
      <w:r w:rsidR="00FF0D8F">
        <w:rPr>
          <w:rFonts w:asciiTheme="minorHAnsi" w:hAnsiTheme="minorHAnsi"/>
          <w:sz w:val="24"/>
          <w:szCs w:val="24"/>
        </w:rPr>
        <w:t>A</w:t>
      </w:r>
    </w:p>
    <w:p w:rsidR="00CD50E1" w:rsidRPr="00CD50E1" w:rsidRDefault="00CD50E1" w:rsidP="00C238ED">
      <w:pPr>
        <w:pStyle w:val="Quotation"/>
        <w:rPr>
          <w:rFonts w:asciiTheme="minorHAnsi" w:hAnsiTheme="minorHAnsi"/>
          <w:sz w:val="24"/>
          <w:szCs w:val="24"/>
        </w:rPr>
      </w:pPr>
      <w:r>
        <w:rPr>
          <w:rFonts w:asciiTheme="minorHAnsi" w:hAnsiTheme="minorHAnsi"/>
          <w:b/>
          <w:sz w:val="24"/>
          <w:szCs w:val="24"/>
        </w:rPr>
        <w:lastRenderedPageBreak/>
        <w:t>Exempt EDB</w:t>
      </w:r>
      <w:r>
        <w:rPr>
          <w:rFonts w:asciiTheme="minorHAnsi" w:hAnsiTheme="minorHAnsi"/>
          <w:sz w:val="24"/>
          <w:szCs w:val="24"/>
        </w:rPr>
        <w:t xml:space="preserve"> means an EDB other than a Non-exempt EDB</w:t>
      </w:r>
    </w:p>
    <w:p w:rsidR="00353E28" w:rsidRPr="00353E28" w:rsidRDefault="00353E28" w:rsidP="00C238ED">
      <w:pPr>
        <w:pStyle w:val="Quotation"/>
        <w:rPr>
          <w:rFonts w:asciiTheme="minorHAnsi" w:hAnsiTheme="minorHAnsi"/>
          <w:sz w:val="24"/>
          <w:szCs w:val="24"/>
        </w:rPr>
      </w:pPr>
      <w:r>
        <w:rPr>
          <w:rFonts w:asciiTheme="minorHAnsi" w:hAnsiTheme="minorHAnsi"/>
          <w:b/>
          <w:sz w:val="24"/>
          <w:szCs w:val="24"/>
        </w:rPr>
        <w:t>Extended Reserves Allowance</w:t>
      </w:r>
      <w:r>
        <w:rPr>
          <w:rFonts w:asciiTheme="minorHAnsi" w:hAnsiTheme="minorHAnsi"/>
          <w:sz w:val="24"/>
          <w:szCs w:val="24"/>
        </w:rPr>
        <w:t xml:space="preserve"> has the meaning given in clause 1.1.4(2) of the IM Determination</w:t>
      </w:r>
    </w:p>
    <w:p w:rsidR="00AA7ECC" w:rsidRPr="00AA7ECC" w:rsidRDefault="00AA7ECC" w:rsidP="00C238ED">
      <w:pPr>
        <w:pStyle w:val="Quotation"/>
        <w:rPr>
          <w:rFonts w:asciiTheme="minorHAnsi" w:hAnsiTheme="minorHAnsi"/>
          <w:sz w:val="24"/>
          <w:szCs w:val="24"/>
        </w:rPr>
      </w:pPr>
      <w:r w:rsidRPr="0094773C">
        <w:rPr>
          <w:rFonts w:asciiTheme="minorHAnsi" w:hAnsiTheme="minorHAnsi"/>
          <w:b/>
          <w:sz w:val="24"/>
          <w:szCs w:val="24"/>
        </w:rPr>
        <w:t>ICP</w:t>
      </w:r>
      <w:r>
        <w:rPr>
          <w:rFonts w:asciiTheme="minorHAnsi" w:hAnsiTheme="minorHAnsi"/>
          <w:sz w:val="24"/>
          <w:szCs w:val="24"/>
        </w:rPr>
        <w:t xml:space="preserve"> means</w:t>
      </w:r>
      <w:r w:rsidRPr="00AA7ECC">
        <w:rPr>
          <w:rFonts w:asciiTheme="minorHAnsi" w:hAnsiTheme="minorHAnsi"/>
          <w:sz w:val="24"/>
          <w:szCs w:val="24"/>
        </w:rPr>
        <w:t xml:space="preserve"> a point of connection which the </w:t>
      </w:r>
      <w:r w:rsidRPr="00762493">
        <w:rPr>
          <w:rFonts w:asciiTheme="minorHAnsi" w:hAnsiTheme="minorHAnsi"/>
          <w:sz w:val="24"/>
          <w:szCs w:val="24"/>
        </w:rPr>
        <w:t xml:space="preserve">EDB </w:t>
      </w:r>
      <w:r w:rsidRPr="00AA7ECC">
        <w:rPr>
          <w:rFonts w:asciiTheme="minorHAnsi" w:hAnsiTheme="minorHAnsi"/>
          <w:sz w:val="24"/>
          <w:szCs w:val="24"/>
        </w:rPr>
        <w:t xml:space="preserve">nominates as the point at which an </w:t>
      </w:r>
      <w:r w:rsidRPr="0094773C">
        <w:rPr>
          <w:rFonts w:asciiTheme="minorHAnsi" w:hAnsiTheme="minorHAnsi"/>
          <w:sz w:val="24"/>
          <w:szCs w:val="24"/>
        </w:rPr>
        <w:t xml:space="preserve">electricity retailer </w:t>
      </w:r>
      <w:r w:rsidRPr="00AA7ECC">
        <w:rPr>
          <w:rFonts w:asciiTheme="minorHAnsi" w:hAnsiTheme="minorHAnsi"/>
          <w:sz w:val="24"/>
          <w:szCs w:val="24"/>
        </w:rPr>
        <w:t xml:space="preserve">will be deemed to supply electricity to </w:t>
      </w:r>
      <w:r w:rsidR="0094773C" w:rsidRPr="0094773C">
        <w:rPr>
          <w:rFonts w:asciiTheme="minorHAnsi" w:hAnsiTheme="minorHAnsi"/>
          <w:sz w:val="24"/>
          <w:szCs w:val="24"/>
        </w:rPr>
        <w:t>a consumer</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IM Determination</w:t>
      </w:r>
      <w:r w:rsidRPr="00C238ED">
        <w:rPr>
          <w:rFonts w:asciiTheme="minorHAnsi" w:hAnsiTheme="minorHAnsi"/>
          <w:sz w:val="24"/>
          <w:szCs w:val="24"/>
        </w:rPr>
        <w:t xml:space="preserve"> means the </w:t>
      </w:r>
      <w:r w:rsidRPr="00C238ED">
        <w:rPr>
          <w:rFonts w:asciiTheme="minorHAnsi" w:hAnsiTheme="minorHAnsi"/>
          <w:i/>
          <w:sz w:val="24"/>
          <w:szCs w:val="24"/>
        </w:rPr>
        <w:t>Electricity Distribution Services Input Methodologies Determination 2012</w:t>
      </w:r>
      <w:r w:rsidRPr="00C238ED">
        <w:rPr>
          <w:rFonts w:asciiTheme="minorHAnsi" w:hAnsiTheme="minorHAnsi"/>
          <w:sz w:val="24"/>
          <w:szCs w:val="24"/>
        </w:rPr>
        <w:t xml:space="preserve"> [2012] NZCC 26</w:t>
      </w:r>
      <w:r w:rsidR="004B635A">
        <w:rPr>
          <w:rFonts w:asciiTheme="minorHAnsi" w:hAnsiTheme="minorHAnsi"/>
          <w:sz w:val="24"/>
          <w:szCs w:val="24"/>
        </w:rPr>
        <w:t>, including, for the avoidance of doubt, any amendment in effect at the time of determination of a default price-quality path or customised price-quality path</w:t>
      </w:r>
    </w:p>
    <w:p w:rsidR="00CA361B" w:rsidRPr="00CA361B" w:rsidRDefault="00CA361B" w:rsidP="00CA361B">
      <w:pPr>
        <w:pStyle w:val="Quotation"/>
        <w:ind w:left="720"/>
        <w:rPr>
          <w:rFonts w:asciiTheme="minorHAnsi" w:hAnsiTheme="minorHAnsi"/>
          <w:color w:val="1F497D" w:themeColor="text2"/>
          <w:sz w:val="24"/>
          <w:szCs w:val="24"/>
          <w:u w:val="single"/>
        </w:rPr>
      </w:pPr>
      <w:r w:rsidRPr="00CA361B">
        <w:rPr>
          <w:rFonts w:asciiTheme="minorHAnsi" w:hAnsiTheme="minorHAnsi"/>
          <w:b/>
          <w:color w:val="1F497D" w:themeColor="text2"/>
          <w:sz w:val="24"/>
          <w:szCs w:val="24"/>
          <w:u w:val="single"/>
        </w:rPr>
        <w:t xml:space="preserve">Incentive Rate </w:t>
      </w:r>
      <w:r w:rsidRPr="00CA361B">
        <w:rPr>
          <w:rFonts w:asciiTheme="minorHAnsi" w:hAnsiTheme="minorHAnsi"/>
          <w:color w:val="1F497D" w:themeColor="text2"/>
          <w:sz w:val="24"/>
          <w:szCs w:val="24"/>
          <w:u w:val="single"/>
        </w:rPr>
        <w:t xml:space="preserve">means the incremental financial reward or penalty attributable to a </w:t>
      </w:r>
      <w:r w:rsidRPr="00BA0E3E">
        <w:rPr>
          <w:rFonts w:asciiTheme="minorHAnsi" w:hAnsiTheme="minorHAnsi"/>
          <w:color w:val="1F497D" w:themeColor="text2"/>
          <w:sz w:val="24"/>
          <w:szCs w:val="24"/>
          <w:u w:val="single"/>
        </w:rPr>
        <w:t>non-exempt EDB’s performance against the quality standards specified in a DPP or CPP, as specified in a DPP determination or CPP determination</w:t>
      </w:r>
      <w:r w:rsidRPr="00CA361B">
        <w:rPr>
          <w:rFonts w:asciiTheme="minorHAnsi" w:hAnsiTheme="minorHAnsi"/>
          <w:color w:val="1F497D" w:themeColor="text2"/>
          <w:sz w:val="24"/>
          <w:szCs w:val="24"/>
          <w:u w:val="single"/>
        </w:rPr>
        <w:t xml:space="preserve"> </w:t>
      </w:r>
    </w:p>
    <w:p w:rsidR="00A11234" w:rsidRPr="00C238ED" w:rsidRDefault="00A11234" w:rsidP="00A11234">
      <w:pPr>
        <w:pStyle w:val="Quotation"/>
        <w:ind w:left="1440" w:hanging="720"/>
        <w:rPr>
          <w:rStyle w:val="Emphasis-Remove"/>
          <w:rFonts w:asciiTheme="minorHAnsi" w:hAnsiTheme="minorHAnsi"/>
          <w:sz w:val="24"/>
          <w:szCs w:val="24"/>
        </w:rPr>
      </w:pPr>
      <w:r>
        <w:rPr>
          <w:rFonts w:asciiTheme="minorHAnsi" w:hAnsiTheme="minorHAnsi"/>
          <w:b/>
          <w:sz w:val="24"/>
          <w:szCs w:val="24"/>
        </w:rPr>
        <w:t xml:space="preserve">Independent </w:t>
      </w:r>
      <w:r w:rsidRPr="00C238ED">
        <w:rPr>
          <w:rFonts w:asciiTheme="minorHAnsi" w:hAnsiTheme="minorHAnsi"/>
          <w:b/>
          <w:sz w:val="24"/>
          <w:szCs w:val="24"/>
        </w:rPr>
        <w:t>Auditor</w:t>
      </w:r>
      <w:r w:rsidRPr="00C238ED">
        <w:rPr>
          <w:rFonts w:asciiTheme="minorHAnsi" w:hAnsiTheme="minorHAnsi"/>
          <w:sz w:val="24"/>
          <w:szCs w:val="24"/>
        </w:rPr>
        <w:t xml:space="preserve"> means</w:t>
      </w:r>
      <w:r w:rsidRPr="00C238ED">
        <w:rPr>
          <w:rStyle w:val="Emphasis-Remove"/>
          <w:rFonts w:asciiTheme="minorHAnsi" w:hAnsiTheme="minorHAnsi"/>
          <w:sz w:val="24"/>
          <w:szCs w:val="24"/>
        </w:rPr>
        <w:t xml:space="preserve"> a person who</w:t>
      </w:r>
      <w:r>
        <w:rPr>
          <w:rStyle w:val="Emphasis-Remove"/>
          <w:rFonts w:asciiTheme="minorHAnsi" w:hAnsiTheme="minorHAnsi"/>
          <w:sz w:val="24"/>
          <w:szCs w:val="24"/>
        </w:rPr>
        <w:t>–</w:t>
      </w:r>
    </w:p>
    <w:p w:rsidR="00A11234" w:rsidRPr="006539A3" w:rsidRDefault="00A11234" w:rsidP="00B87C77">
      <w:pPr>
        <w:pStyle w:val="Subclause2"/>
        <w:numPr>
          <w:ilvl w:val="0"/>
          <w:numId w:val="42"/>
        </w:numPr>
        <w:ind w:left="1418" w:hanging="709"/>
        <w:rPr>
          <w:rStyle w:val="Emphasis-Remove"/>
          <w:rFonts w:asciiTheme="minorHAnsi" w:hAnsiTheme="minorHAnsi"/>
        </w:rPr>
      </w:pPr>
      <w:r w:rsidRPr="006539A3">
        <w:rPr>
          <w:rStyle w:val="Emphasis-Remove"/>
          <w:rFonts w:asciiTheme="minorHAnsi" w:hAnsiTheme="minorHAnsi"/>
        </w:rPr>
        <w:t>is qualified for appointment as auditor of a company under the Companies Act 1993</w:t>
      </w:r>
      <w:r w:rsidRPr="00D631C6">
        <w:t xml:space="preserve"> </w:t>
      </w:r>
      <w:r w:rsidRPr="00604256">
        <w:t xml:space="preserve">or, where the </w:t>
      </w:r>
      <w:r>
        <w:t xml:space="preserve">Non-exempt </w:t>
      </w:r>
      <w:r w:rsidRPr="00D631C6">
        <w:t>EDB</w:t>
      </w:r>
      <w:r w:rsidRPr="00604256">
        <w:t xml:space="preserve"> is a public entity (as defined in s 4 of the Public Audit Act 2001), is the Auditor-General</w:t>
      </w:r>
      <w:r w:rsidRPr="006539A3">
        <w:rPr>
          <w:rStyle w:val="Emphasis-Remove"/>
          <w:rFonts w:asciiTheme="minorHAnsi" w:hAnsiTheme="minorHAnsi"/>
        </w:rPr>
        <w:t>; and</w:t>
      </w:r>
    </w:p>
    <w:p w:rsidR="00A11234" w:rsidRPr="00C238ED" w:rsidRDefault="00A11234" w:rsidP="00A11234">
      <w:pPr>
        <w:pStyle w:val="Subclause2"/>
        <w:ind w:left="1418" w:hanging="709"/>
        <w:rPr>
          <w:rStyle w:val="Emphasis-Remove"/>
          <w:rFonts w:asciiTheme="minorHAnsi" w:hAnsiTheme="minorHAnsi"/>
        </w:rPr>
      </w:pPr>
      <w:r w:rsidRPr="00C238ED">
        <w:rPr>
          <w:rStyle w:val="Emphasis-Remove"/>
          <w:rFonts w:asciiTheme="minorHAnsi" w:hAnsiTheme="minorHAnsi"/>
        </w:rPr>
        <w:t>has no relationship with, or interest in, the Non-exempt EDB being audited that is likely to involve the person</w:t>
      </w:r>
      <w:r>
        <w:rPr>
          <w:rStyle w:val="Emphasis-Remove"/>
          <w:rFonts w:asciiTheme="minorHAnsi" w:hAnsiTheme="minorHAnsi"/>
        </w:rPr>
        <w:t xml:space="preserve"> in a conflict of interest; and</w:t>
      </w:r>
    </w:p>
    <w:p w:rsidR="00A11234" w:rsidRPr="00C238ED" w:rsidRDefault="00A11234" w:rsidP="00A11234">
      <w:pPr>
        <w:pStyle w:val="Subclause2"/>
        <w:ind w:left="1418" w:hanging="709"/>
        <w:rPr>
          <w:rStyle w:val="Emphasis-Remove"/>
          <w:rFonts w:asciiTheme="minorHAnsi" w:hAnsiTheme="minorHAnsi"/>
        </w:rPr>
      </w:pPr>
      <w:r w:rsidRPr="00C238ED">
        <w:rPr>
          <w:rStyle w:val="Emphasis-Remove"/>
          <w:rFonts w:asciiTheme="minorHAnsi" w:hAnsiTheme="minorHAnsi"/>
        </w:rPr>
        <w:t xml:space="preserve">has not assisted with the preparation of the </w:t>
      </w:r>
      <w:r>
        <w:rPr>
          <w:rStyle w:val="Emphasis-Remove"/>
          <w:rFonts w:asciiTheme="minorHAnsi" w:hAnsiTheme="minorHAnsi"/>
        </w:rPr>
        <w:t xml:space="preserve">Annual </w:t>
      </w:r>
      <w:r w:rsidRPr="00C238ED">
        <w:rPr>
          <w:rStyle w:val="Emphasis-Remove"/>
          <w:rFonts w:asciiTheme="minorHAnsi" w:hAnsiTheme="minorHAnsi"/>
        </w:rPr>
        <w:t>Compliance Statement or provided advice or opinions (other than in relation to audit reports) on the methodologies or processes used in preparing</w:t>
      </w:r>
      <w:r>
        <w:rPr>
          <w:rStyle w:val="Emphasis-Remove"/>
          <w:rFonts w:asciiTheme="minorHAnsi" w:hAnsiTheme="minorHAnsi"/>
        </w:rPr>
        <w:t xml:space="preserve"> the Annual Compliance Statement; and</w:t>
      </w:r>
    </w:p>
    <w:p w:rsidR="00A11234" w:rsidRPr="003951AE" w:rsidRDefault="00A11234" w:rsidP="00A11234">
      <w:pPr>
        <w:pStyle w:val="Subclause2"/>
        <w:ind w:left="1418" w:hanging="709"/>
        <w:rPr>
          <w:rStyle w:val="Emphasis-Remove"/>
          <w:rFonts w:asciiTheme="minorHAnsi" w:hAnsiTheme="minorHAnsi"/>
        </w:rPr>
      </w:pPr>
      <w:r w:rsidRPr="00C238ED">
        <w:rPr>
          <w:rStyle w:val="Emphasis-Remove"/>
          <w:rFonts w:asciiTheme="minorHAnsi" w:hAnsiTheme="minorHAnsi"/>
        </w:rPr>
        <w:t xml:space="preserve">has the necessary expertise to properly undertake an audit </w:t>
      </w:r>
      <w:r>
        <w:rPr>
          <w:rStyle w:val="Emphasis-Remove"/>
          <w:rFonts w:asciiTheme="minorHAnsi" w:hAnsiTheme="minorHAnsi"/>
        </w:rPr>
        <w:t xml:space="preserve">required </w:t>
      </w:r>
      <w:r w:rsidRPr="003951AE">
        <w:rPr>
          <w:rStyle w:val="Emphasis-Remove"/>
          <w:rFonts w:asciiTheme="minorHAnsi" w:hAnsiTheme="minorHAnsi"/>
        </w:rPr>
        <w:t>by clause 11.3(b); but</w:t>
      </w:r>
    </w:p>
    <w:p w:rsidR="00A11234" w:rsidRPr="00C238ED" w:rsidRDefault="00A11234" w:rsidP="00A11234">
      <w:pPr>
        <w:pStyle w:val="Subclause2"/>
        <w:ind w:left="1418" w:hanging="709"/>
        <w:rPr>
          <w:rStyle w:val="Emphasis-Remove"/>
          <w:rFonts w:asciiTheme="minorHAnsi" w:hAnsiTheme="minorHAnsi"/>
        </w:rPr>
      </w:pPr>
      <w:r w:rsidRPr="00C238ED">
        <w:rPr>
          <w:rStyle w:val="Emphasis-Remove"/>
          <w:rFonts w:asciiTheme="minorHAnsi" w:hAnsiTheme="minorHAnsi"/>
        </w:rPr>
        <w:t>need not be the same person as the person who audits the Non-exempt EDB’s accounts for any other purpose</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Interruption</w:t>
      </w:r>
      <w:r w:rsidRPr="00C238ED">
        <w:rPr>
          <w:rFonts w:asciiTheme="minorHAnsi" w:hAnsiTheme="minorHAnsi"/>
          <w:sz w:val="24"/>
          <w:szCs w:val="24"/>
        </w:rPr>
        <w:t xml:space="preserve"> means, in relation to the conveyance of electricity to a Consumer by means of a Prescribed Voltage Electric Line, the cessation of conveyance of electricity to that Consumer for a period of 1 minute or longer, other than </w:t>
      </w:r>
      <w:r w:rsidR="002A1239" w:rsidRPr="002A1239">
        <w:rPr>
          <w:rFonts w:asciiTheme="minorHAnsi" w:hAnsiTheme="minorHAnsi"/>
          <w:sz w:val="24"/>
          <w:szCs w:val="24"/>
        </w:rPr>
        <w:t xml:space="preserve">in accordance with any extended reserves regulation made under the Electricity Industry Act 2010, or </w:t>
      </w:r>
      <w:r w:rsidRPr="00C238ED">
        <w:rPr>
          <w:rFonts w:asciiTheme="minorHAnsi" w:hAnsiTheme="minorHAnsi"/>
          <w:sz w:val="24"/>
          <w:szCs w:val="24"/>
        </w:rPr>
        <w:t>by reason of disconnection of that Consumer—</w:t>
      </w:r>
    </w:p>
    <w:p w:rsidR="00C238ED" w:rsidRPr="00CF357C" w:rsidRDefault="00C238ED" w:rsidP="00B87C77">
      <w:pPr>
        <w:pStyle w:val="Subclause2"/>
        <w:numPr>
          <w:ilvl w:val="0"/>
          <w:numId w:val="43"/>
        </w:numPr>
        <w:ind w:left="1418" w:hanging="709"/>
      </w:pPr>
      <w:r w:rsidRPr="00CF357C">
        <w:t>for breach of the contract under which the electricity is conveyed; o</w:t>
      </w:r>
      <w:r w:rsidR="008648F5" w:rsidRPr="00CF357C">
        <w:t>r</w:t>
      </w:r>
    </w:p>
    <w:p w:rsidR="00C238ED" w:rsidRPr="00CF357C" w:rsidRDefault="00C238ED" w:rsidP="008D2869">
      <w:pPr>
        <w:pStyle w:val="Subclause2"/>
        <w:ind w:left="1418" w:hanging="709"/>
      </w:pPr>
      <w:r w:rsidRPr="00CF357C">
        <w:t>as a result of a request from the Consumer; or</w:t>
      </w:r>
    </w:p>
    <w:p w:rsidR="00C238ED" w:rsidRPr="00CF357C" w:rsidRDefault="00C238ED" w:rsidP="008D2869">
      <w:pPr>
        <w:pStyle w:val="Subclause2"/>
        <w:ind w:left="1418" w:hanging="709"/>
      </w:pPr>
      <w:r w:rsidRPr="00CF357C">
        <w:t>as a result of a request by the Consumer’s electricity retailer; or</w:t>
      </w:r>
    </w:p>
    <w:p w:rsidR="002A1239" w:rsidRPr="00CF357C" w:rsidRDefault="00C238ED" w:rsidP="008D2869">
      <w:pPr>
        <w:pStyle w:val="Subclause2"/>
        <w:ind w:left="1418" w:hanging="709"/>
      </w:pPr>
      <w:r w:rsidRPr="00CF357C">
        <w:lastRenderedPageBreak/>
        <w:t>for the purpose of isolating an unsafe installation</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Major Event Day</w:t>
      </w:r>
      <w:r w:rsidRPr="00C238ED">
        <w:rPr>
          <w:rFonts w:asciiTheme="minorHAnsi" w:hAnsiTheme="minorHAnsi"/>
          <w:sz w:val="24"/>
          <w:szCs w:val="24"/>
        </w:rPr>
        <w:t xml:space="preserve"> means any day where the </w:t>
      </w:r>
      <w:r w:rsidRPr="00CD4177">
        <w:rPr>
          <w:rFonts w:asciiTheme="minorHAnsi" w:hAnsiTheme="minorHAnsi"/>
          <w:strike/>
          <w:color w:val="1F497D" w:themeColor="text2"/>
          <w:sz w:val="24"/>
          <w:szCs w:val="24"/>
        </w:rPr>
        <w:t>SAIDI Assessed Value</w:t>
      </w:r>
      <w:r w:rsidR="00E64797" w:rsidRPr="00CD4177">
        <w:rPr>
          <w:rFonts w:asciiTheme="minorHAnsi" w:hAnsiTheme="minorHAnsi"/>
          <w:color w:val="1F497D" w:themeColor="text2"/>
          <w:sz w:val="24"/>
          <w:szCs w:val="24"/>
          <w:u w:val="single"/>
        </w:rPr>
        <w:t xml:space="preserve"> daily SAIDI Value for Class C interruptions</w:t>
      </w:r>
      <w:r w:rsidRPr="00CD4177">
        <w:rPr>
          <w:rFonts w:asciiTheme="minorHAnsi" w:hAnsiTheme="minorHAnsi"/>
          <w:color w:val="1F497D" w:themeColor="text2"/>
          <w:sz w:val="24"/>
          <w:szCs w:val="24"/>
        </w:rPr>
        <w:t xml:space="preserve"> </w:t>
      </w:r>
      <w:r w:rsidRPr="00C238ED">
        <w:rPr>
          <w:rFonts w:asciiTheme="minorHAnsi" w:hAnsiTheme="minorHAnsi"/>
          <w:sz w:val="24"/>
          <w:szCs w:val="24"/>
        </w:rPr>
        <w:t xml:space="preserve">or </w:t>
      </w:r>
      <w:r w:rsidRPr="00CD4177">
        <w:rPr>
          <w:rFonts w:asciiTheme="minorHAnsi" w:hAnsiTheme="minorHAnsi"/>
          <w:strike/>
          <w:color w:val="1F497D" w:themeColor="text2"/>
          <w:sz w:val="24"/>
          <w:szCs w:val="24"/>
        </w:rPr>
        <w:t>SAIFI Assessed Value</w:t>
      </w:r>
      <w:r w:rsidR="00E64797" w:rsidRPr="00CD4177">
        <w:rPr>
          <w:rFonts w:asciiTheme="minorHAnsi" w:hAnsiTheme="minorHAnsi"/>
          <w:color w:val="1F497D" w:themeColor="text2"/>
          <w:sz w:val="24"/>
          <w:szCs w:val="24"/>
        </w:rPr>
        <w:t xml:space="preserve"> </w:t>
      </w:r>
      <w:r w:rsidR="00E64797" w:rsidRPr="00CD4177">
        <w:rPr>
          <w:rFonts w:asciiTheme="minorHAnsi" w:hAnsiTheme="minorHAnsi"/>
          <w:color w:val="1F497D" w:themeColor="text2"/>
          <w:sz w:val="24"/>
          <w:szCs w:val="24"/>
          <w:u w:val="single"/>
        </w:rPr>
        <w:t>daily SAIFI Value for Class C interruptions</w:t>
      </w:r>
      <w:r w:rsidRPr="00C238ED">
        <w:rPr>
          <w:rFonts w:asciiTheme="minorHAnsi" w:hAnsiTheme="minorHAnsi"/>
          <w:sz w:val="24"/>
          <w:szCs w:val="24"/>
        </w:rPr>
        <w:t xml:space="preserve"> exceeds the applicable</w:t>
      </w:r>
      <w:r w:rsidR="0069105B">
        <w:rPr>
          <w:rFonts w:asciiTheme="minorHAnsi" w:hAnsiTheme="minorHAnsi"/>
          <w:sz w:val="24"/>
          <w:szCs w:val="24"/>
        </w:rPr>
        <w:t xml:space="preserve"> SAIDI </w:t>
      </w:r>
      <w:r w:rsidR="002A1239">
        <w:rPr>
          <w:rFonts w:asciiTheme="minorHAnsi" w:hAnsiTheme="minorHAnsi"/>
          <w:sz w:val="24"/>
          <w:szCs w:val="24"/>
        </w:rPr>
        <w:t xml:space="preserve">Unplanned Boundary </w:t>
      </w:r>
      <w:r w:rsidR="0069105B">
        <w:rPr>
          <w:rFonts w:asciiTheme="minorHAnsi" w:hAnsiTheme="minorHAnsi"/>
          <w:sz w:val="24"/>
          <w:szCs w:val="24"/>
        </w:rPr>
        <w:t xml:space="preserve">Value or SAIFI </w:t>
      </w:r>
      <w:r w:rsidR="002A1239">
        <w:rPr>
          <w:rFonts w:asciiTheme="minorHAnsi" w:hAnsiTheme="minorHAnsi"/>
          <w:sz w:val="24"/>
          <w:szCs w:val="24"/>
        </w:rPr>
        <w:t xml:space="preserve">Unplanned Boundary </w:t>
      </w:r>
      <w:r w:rsidR="0069105B">
        <w:rPr>
          <w:rFonts w:asciiTheme="minorHAnsi" w:hAnsiTheme="minorHAnsi"/>
          <w:sz w:val="24"/>
          <w:szCs w:val="24"/>
        </w:rPr>
        <w:t>Value</w:t>
      </w:r>
    </w:p>
    <w:p w:rsidR="003951AE" w:rsidRPr="0069105B" w:rsidRDefault="003951AE" w:rsidP="003951AE">
      <w:pPr>
        <w:pStyle w:val="Quotation"/>
        <w:rPr>
          <w:sz w:val="24"/>
          <w:szCs w:val="24"/>
        </w:rPr>
      </w:pPr>
      <w:r w:rsidRPr="0069105B">
        <w:rPr>
          <w:b/>
          <w:sz w:val="24"/>
          <w:szCs w:val="24"/>
        </w:rPr>
        <w:t>Major Transaction</w:t>
      </w:r>
      <w:r w:rsidRPr="0069105B">
        <w:rPr>
          <w:sz w:val="24"/>
          <w:szCs w:val="24"/>
        </w:rPr>
        <w:t xml:space="preserve"> means any transaction</w:t>
      </w:r>
      <w:r w:rsidR="002F14D4">
        <w:rPr>
          <w:sz w:val="24"/>
          <w:szCs w:val="24"/>
        </w:rPr>
        <w:t xml:space="preserve"> </w:t>
      </w:r>
      <w:r w:rsidR="002F14D4" w:rsidRPr="002F14D4">
        <w:rPr>
          <w:sz w:val="24"/>
          <w:szCs w:val="24"/>
        </w:rPr>
        <w:t>(other than an Amalgamation or a Merger</w:t>
      </w:r>
      <w:r w:rsidR="00D07E0C">
        <w:rPr>
          <w:sz w:val="24"/>
          <w:szCs w:val="24"/>
        </w:rPr>
        <w:t xml:space="preserve"> between Non-exempt EDBs</w:t>
      </w:r>
      <w:r w:rsidR="002F14D4" w:rsidRPr="002F14D4">
        <w:rPr>
          <w:sz w:val="24"/>
          <w:szCs w:val="24"/>
        </w:rPr>
        <w:t>) involving a transfer of assets that, as a result of that transfer, results in any Consumer being supplied Electricity Lines Services by a different EDB</w:t>
      </w:r>
      <w:r w:rsidRPr="0069105B">
        <w:rPr>
          <w:sz w:val="24"/>
          <w:szCs w:val="24"/>
        </w:rPr>
        <w:t xml:space="preserve"> </w:t>
      </w:r>
    </w:p>
    <w:p w:rsidR="00C238ED" w:rsidRPr="00C238ED" w:rsidRDefault="00C238ED" w:rsidP="00C238ED">
      <w:pPr>
        <w:pStyle w:val="UnnumberedL2"/>
        <w:rPr>
          <w:rFonts w:asciiTheme="minorHAnsi" w:hAnsiTheme="minorHAnsi"/>
        </w:rPr>
      </w:pPr>
      <w:r w:rsidRPr="00C238ED">
        <w:rPr>
          <w:rStyle w:val="Emphasis-Bold"/>
          <w:rFonts w:asciiTheme="minorHAnsi" w:hAnsiTheme="minorHAnsi"/>
        </w:rPr>
        <w:t>Merger</w:t>
      </w:r>
      <w:r w:rsidRPr="00C238ED">
        <w:rPr>
          <w:rFonts w:asciiTheme="minorHAnsi" w:hAnsiTheme="minorHAnsi"/>
        </w:rPr>
        <w:t xml:space="preserve"> means a transaction whereby a Non-exempt EDB takes over, or otherwise merges with, another Non-exempt EDB other than by an amalgamation under Part 13 of the Companies Act 1993, which without limitation includes:</w:t>
      </w:r>
    </w:p>
    <w:p w:rsidR="00C238ED" w:rsidRPr="00C238ED" w:rsidRDefault="00C238ED" w:rsidP="00B87C77">
      <w:pPr>
        <w:pStyle w:val="Subclause2"/>
        <w:numPr>
          <w:ilvl w:val="0"/>
          <w:numId w:val="44"/>
        </w:numPr>
        <w:ind w:left="1418" w:hanging="709"/>
      </w:pPr>
      <w:r w:rsidRPr="00C238ED">
        <w:t>the purchase of all the assets of another Non-exempt EDB;</w:t>
      </w:r>
    </w:p>
    <w:p w:rsidR="00C238ED" w:rsidRPr="00C238ED" w:rsidRDefault="00C238ED" w:rsidP="008D2869">
      <w:pPr>
        <w:pStyle w:val="Subclause2"/>
        <w:ind w:left="1418" w:hanging="709"/>
      </w:pPr>
      <w:r w:rsidRPr="00C238ED">
        <w:t>the acquisition of sufficient shares in another Non-exempt EDB to have an interest in the other Non-exempt EDB sufficient to enable it, whether directly or indirectly, to exert a substantial degree of influence over the activities of the other Non-exempt EDB</w:t>
      </w:r>
      <w:r w:rsidR="003951AE">
        <w:t>; or</w:t>
      </w:r>
    </w:p>
    <w:p w:rsidR="00C238ED" w:rsidRPr="00C238ED" w:rsidRDefault="00C238ED" w:rsidP="008D2869">
      <w:pPr>
        <w:pStyle w:val="Subclause2"/>
        <w:ind w:left="1418" w:hanging="709"/>
      </w:pPr>
      <w:r w:rsidRPr="00C238ED">
        <w:t>a scheme of arrangement under Part 15 of the Companies Act 1993 having like effect</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Non-exempt EDB</w:t>
      </w:r>
      <w:r w:rsidRPr="00C238ED">
        <w:rPr>
          <w:rFonts w:asciiTheme="minorHAnsi" w:hAnsiTheme="minorHAnsi"/>
          <w:sz w:val="24"/>
          <w:szCs w:val="24"/>
        </w:rPr>
        <w:t xml:space="preserve"> has the meaning given in clause 1.1.4</w:t>
      </w:r>
      <w:r w:rsidR="00E01D02">
        <w:rPr>
          <w:rFonts w:asciiTheme="minorHAnsi" w:hAnsiTheme="minorHAnsi"/>
          <w:sz w:val="24"/>
          <w:szCs w:val="24"/>
        </w:rPr>
        <w:t>(2)</w:t>
      </w:r>
      <w:r w:rsidRPr="00C238ED">
        <w:rPr>
          <w:rFonts w:asciiTheme="minorHAnsi" w:hAnsiTheme="minorHAnsi"/>
          <w:sz w:val="24"/>
          <w:szCs w:val="24"/>
        </w:rPr>
        <w:t xml:space="preserve"> of the IM Determination</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 xml:space="preserve">Opex Incentive </w:t>
      </w:r>
      <w:r w:rsidRPr="00CD4177">
        <w:rPr>
          <w:rFonts w:asciiTheme="minorHAnsi" w:hAnsiTheme="minorHAnsi"/>
          <w:b/>
          <w:strike/>
          <w:color w:val="1F497D" w:themeColor="text2"/>
          <w:sz w:val="24"/>
          <w:szCs w:val="24"/>
        </w:rPr>
        <w:t>Adjustment</w:t>
      </w:r>
      <w:r w:rsidRPr="00CD4177">
        <w:rPr>
          <w:rFonts w:asciiTheme="minorHAnsi" w:hAnsiTheme="minorHAnsi"/>
          <w:color w:val="1F497D" w:themeColor="text2"/>
          <w:sz w:val="24"/>
          <w:szCs w:val="24"/>
        </w:rPr>
        <w:t xml:space="preserve"> </w:t>
      </w:r>
      <w:r w:rsidR="00D84470">
        <w:rPr>
          <w:rFonts w:asciiTheme="minorHAnsi" w:hAnsiTheme="minorHAnsi"/>
          <w:b/>
          <w:color w:val="1F497D" w:themeColor="text2"/>
          <w:sz w:val="24"/>
          <w:szCs w:val="24"/>
          <w:u w:val="single"/>
        </w:rPr>
        <w:t>Amount</w:t>
      </w:r>
      <w:r w:rsidR="00C568AB" w:rsidRPr="00CD4177">
        <w:rPr>
          <w:rFonts w:asciiTheme="minorHAnsi" w:hAnsiTheme="minorHAnsi"/>
          <w:color w:val="1F497D" w:themeColor="text2"/>
          <w:sz w:val="24"/>
          <w:szCs w:val="24"/>
        </w:rPr>
        <w:t xml:space="preserve"> </w:t>
      </w:r>
      <w:r w:rsidRPr="00C238ED">
        <w:rPr>
          <w:rFonts w:asciiTheme="minorHAnsi" w:hAnsiTheme="minorHAnsi"/>
          <w:sz w:val="24"/>
          <w:szCs w:val="24"/>
        </w:rPr>
        <w:t>has the same meaning as given in clause 1.1.4(2) of the IM Determination</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Orion</w:t>
      </w:r>
      <w:r w:rsidRPr="00C238ED">
        <w:rPr>
          <w:rFonts w:asciiTheme="minorHAnsi" w:hAnsiTheme="minorHAnsi"/>
          <w:sz w:val="24"/>
          <w:szCs w:val="24"/>
        </w:rPr>
        <w:t xml:space="preserve"> means Orion New Zealand Limited</w:t>
      </w:r>
    </w:p>
    <w:p w:rsidR="00C238ED" w:rsidRDefault="00C238ED" w:rsidP="00C238ED">
      <w:pPr>
        <w:pStyle w:val="Quotation"/>
        <w:rPr>
          <w:rFonts w:asciiTheme="minorHAnsi" w:hAnsiTheme="minorHAnsi"/>
          <w:sz w:val="24"/>
          <w:szCs w:val="24"/>
        </w:rPr>
      </w:pPr>
      <w:r w:rsidRPr="00C238ED">
        <w:rPr>
          <w:rFonts w:asciiTheme="minorHAnsi" w:hAnsiTheme="minorHAnsi"/>
          <w:b/>
          <w:sz w:val="24"/>
          <w:szCs w:val="24"/>
        </w:rPr>
        <w:t>Pass-through Costs</w:t>
      </w:r>
      <w:r w:rsidRPr="00C238ED">
        <w:rPr>
          <w:rFonts w:asciiTheme="minorHAnsi" w:hAnsiTheme="minorHAnsi"/>
          <w:sz w:val="24"/>
          <w:szCs w:val="24"/>
        </w:rPr>
        <w:t xml:space="preserve"> has the meaning given in clause 1.1.4(2) of the IM Determination, and </w:t>
      </w:r>
      <w:r w:rsidR="0069105B">
        <w:rPr>
          <w:rFonts w:asciiTheme="minorHAnsi" w:hAnsiTheme="minorHAnsi"/>
          <w:sz w:val="24"/>
          <w:szCs w:val="24"/>
        </w:rPr>
        <w:t>apply to an Assessment Period</w:t>
      </w:r>
      <w:r w:rsidRPr="00C238ED">
        <w:rPr>
          <w:rFonts w:asciiTheme="minorHAnsi" w:hAnsiTheme="minorHAnsi"/>
          <w:sz w:val="24"/>
          <w:szCs w:val="24"/>
        </w:rPr>
        <w:t xml:space="preserve"> in accordance wit</w:t>
      </w:r>
      <w:r w:rsidRPr="0069105B">
        <w:rPr>
          <w:rFonts w:asciiTheme="minorHAnsi" w:hAnsiTheme="minorHAnsi"/>
          <w:sz w:val="24"/>
          <w:szCs w:val="24"/>
        </w:rPr>
        <w:t>h Schedule 5</w:t>
      </w:r>
    </w:p>
    <w:p w:rsidR="00174C10" w:rsidRPr="00174C10" w:rsidRDefault="00174C10" w:rsidP="00C238ED">
      <w:pPr>
        <w:pStyle w:val="Quotation"/>
        <w:rPr>
          <w:rFonts w:asciiTheme="minorHAnsi" w:hAnsiTheme="minorHAnsi"/>
          <w:sz w:val="24"/>
          <w:szCs w:val="24"/>
        </w:rPr>
      </w:pPr>
      <w:r>
        <w:rPr>
          <w:rFonts w:asciiTheme="minorHAnsi" w:hAnsiTheme="minorHAnsi"/>
          <w:b/>
          <w:sz w:val="24"/>
          <w:szCs w:val="24"/>
        </w:rPr>
        <w:t>Pass-through Balance</w:t>
      </w:r>
      <w:r>
        <w:rPr>
          <w:rFonts w:asciiTheme="minorHAnsi" w:hAnsiTheme="minorHAnsi"/>
          <w:sz w:val="24"/>
          <w:szCs w:val="24"/>
        </w:rPr>
        <w:t xml:space="preserve"> is the </w:t>
      </w:r>
      <w:r w:rsidR="00824E9F">
        <w:rPr>
          <w:rFonts w:asciiTheme="minorHAnsi" w:hAnsiTheme="minorHAnsi"/>
          <w:sz w:val="24"/>
          <w:szCs w:val="24"/>
        </w:rPr>
        <w:t xml:space="preserve">cumulative </w:t>
      </w:r>
      <w:r>
        <w:rPr>
          <w:rFonts w:asciiTheme="minorHAnsi" w:hAnsiTheme="minorHAnsi"/>
          <w:sz w:val="24"/>
          <w:szCs w:val="24"/>
        </w:rPr>
        <w:t xml:space="preserve">difference between </w:t>
      </w:r>
      <w:r w:rsidR="00824E9F">
        <w:rPr>
          <w:rFonts w:asciiTheme="minorHAnsi" w:hAnsiTheme="minorHAnsi"/>
          <w:sz w:val="24"/>
          <w:szCs w:val="24"/>
        </w:rPr>
        <w:t xml:space="preserve">the revenue from </w:t>
      </w:r>
      <w:r>
        <w:rPr>
          <w:rFonts w:asciiTheme="minorHAnsi" w:hAnsiTheme="minorHAnsi"/>
          <w:sz w:val="24"/>
          <w:szCs w:val="24"/>
        </w:rPr>
        <w:t xml:space="preserve">Pass-through Prices and the sum of Pass-through Costs and Recoverable Costs, and is calculated in accordance </w:t>
      </w:r>
      <w:r w:rsidR="0038111A">
        <w:rPr>
          <w:rFonts w:asciiTheme="minorHAnsi" w:hAnsiTheme="minorHAnsi"/>
          <w:sz w:val="24"/>
          <w:szCs w:val="24"/>
        </w:rPr>
        <w:t xml:space="preserve">with </w:t>
      </w:r>
      <w:r>
        <w:rPr>
          <w:rFonts w:asciiTheme="minorHAnsi" w:hAnsiTheme="minorHAnsi"/>
          <w:sz w:val="24"/>
          <w:szCs w:val="24"/>
        </w:rPr>
        <w:t xml:space="preserve">clause </w:t>
      </w:r>
      <w:r w:rsidR="0038111A">
        <w:rPr>
          <w:rFonts w:asciiTheme="minorHAnsi" w:hAnsiTheme="minorHAnsi"/>
          <w:sz w:val="24"/>
          <w:szCs w:val="24"/>
        </w:rPr>
        <w:fldChar w:fldCharType="begin"/>
      </w:r>
      <w:r w:rsidR="0038111A">
        <w:rPr>
          <w:rFonts w:asciiTheme="minorHAnsi" w:hAnsiTheme="minorHAnsi"/>
          <w:sz w:val="24"/>
          <w:szCs w:val="24"/>
        </w:rPr>
        <w:instrText xml:space="preserve"> REF _Ref400440828 \r \h </w:instrText>
      </w:r>
      <w:r w:rsidR="0038111A">
        <w:rPr>
          <w:rFonts w:asciiTheme="minorHAnsi" w:hAnsiTheme="minorHAnsi"/>
          <w:sz w:val="24"/>
          <w:szCs w:val="24"/>
        </w:rPr>
      </w:r>
      <w:r w:rsidR="0038111A">
        <w:rPr>
          <w:rFonts w:asciiTheme="minorHAnsi" w:hAnsiTheme="minorHAnsi"/>
          <w:sz w:val="24"/>
          <w:szCs w:val="24"/>
        </w:rPr>
        <w:fldChar w:fldCharType="separate"/>
      </w:r>
      <w:r w:rsidR="00B56D36">
        <w:rPr>
          <w:rFonts w:asciiTheme="minorHAnsi" w:hAnsiTheme="minorHAnsi"/>
          <w:sz w:val="24"/>
          <w:szCs w:val="24"/>
        </w:rPr>
        <w:t>8.6</w:t>
      </w:r>
      <w:r w:rsidR="0038111A">
        <w:rPr>
          <w:rFonts w:asciiTheme="minorHAnsi" w:hAnsiTheme="minorHAnsi"/>
          <w:sz w:val="24"/>
          <w:szCs w:val="24"/>
        </w:rPr>
        <w:fldChar w:fldCharType="end"/>
      </w:r>
    </w:p>
    <w:p w:rsidR="004D1C0F" w:rsidRPr="004D1C0F" w:rsidRDefault="004D1C0F" w:rsidP="00C238ED">
      <w:pPr>
        <w:pStyle w:val="Quotation"/>
        <w:rPr>
          <w:rFonts w:asciiTheme="minorHAnsi" w:hAnsiTheme="minorHAnsi"/>
          <w:sz w:val="24"/>
          <w:szCs w:val="24"/>
        </w:rPr>
      </w:pPr>
      <w:r>
        <w:rPr>
          <w:rFonts w:asciiTheme="minorHAnsi" w:hAnsiTheme="minorHAnsi"/>
          <w:b/>
          <w:sz w:val="24"/>
          <w:szCs w:val="24"/>
        </w:rPr>
        <w:t>Pass-through Prices</w:t>
      </w:r>
      <w:r>
        <w:rPr>
          <w:rFonts w:asciiTheme="minorHAnsi" w:hAnsiTheme="minorHAnsi"/>
          <w:sz w:val="24"/>
          <w:szCs w:val="24"/>
        </w:rPr>
        <w:t xml:space="preserve"> has the meaning given in clause 1.1.4(2) of the IM Determination</w:t>
      </w:r>
    </w:p>
    <w:p w:rsidR="00C238ED" w:rsidRPr="00C238ED" w:rsidRDefault="00C238ED" w:rsidP="00C238ED">
      <w:pPr>
        <w:pStyle w:val="UnnumberedL2"/>
        <w:rPr>
          <w:rFonts w:asciiTheme="minorHAnsi" w:hAnsiTheme="minorHAnsi"/>
        </w:rPr>
      </w:pPr>
      <w:r w:rsidRPr="00C238ED">
        <w:rPr>
          <w:rStyle w:val="Emphasis-Bold"/>
          <w:rFonts w:asciiTheme="minorHAnsi" w:hAnsiTheme="minorHAnsi"/>
        </w:rPr>
        <w:t>Person</w:t>
      </w:r>
      <w:r w:rsidRPr="00C238ED">
        <w:rPr>
          <w:rFonts w:asciiTheme="minorHAnsi" w:hAnsiTheme="minorHAnsi"/>
        </w:rPr>
        <w:t xml:space="preserve"> includes a corporation sole, a body corporate, and an unincorporated body</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Planned Interruption</w:t>
      </w:r>
      <w:r w:rsidRPr="00C238ED">
        <w:rPr>
          <w:rFonts w:asciiTheme="minorHAnsi" w:hAnsiTheme="minorHAnsi"/>
          <w:sz w:val="24"/>
          <w:szCs w:val="24"/>
        </w:rPr>
        <w:t xml:space="preserve"> means any Interruption other than an Unplanned Interruption</w:t>
      </w:r>
    </w:p>
    <w:p w:rsidR="00C238ED" w:rsidRPr="00C238ED" w:rsidRDefault="00C238ED" w:rsidP="00C238ED">
      <w:pPr>
        <w:pStyle w:val="Quotation"/>
        <w:rPr>
          <w:rFonts w:asciiTheme="minorHAnsi" w:hAnsiTheme="minorHAnsi"/>
          <w:sz w:val="24"/>
          <w:szCs w:val="24"/>
        </w:rPr>
      </w:pPr>
      <w:r w:rsidRPr="00C238ED">
        <w:rPr>
          <w:rStyle w:val="Emphasis-Bold"/>
          <w:rFonts w:asciiTheme="minorHAnsi" w:hAnsiTheme="minorHAnsi"/>
          <w:sz w:val="24"/>
          <w:szCs w:val="24"/>
        </w:rPr>
        <w:lastRenderedPageBreak/>
        <w:t>Prescribed Voltage Electric Line</w:t>
      </w:r>
      <w:r w:rsidRPr="00C238ED">
        <w:rPr>
          <w:rFonts w:asciiTheme="minorHAnsi" w:hAnsiTheme="minorHAnsi"/>
          <w:sz w:val="24"/>
          <w:szCs w:val="24"/>
        </w:rPr>
        <w:t xml:space="preserve"> means an electric line that is capable of conveying electricity at a voltage equal to or greater than 3.3 kilovolts</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Prices</w:t>
      </w:r>
      <w:r w:rsidRPr="00C238ED">
        <w:rPr>
          <w:rFonts w:asciiTheme="minorHAnsi" w:hAnsiTheme="minorHAnsi"/>
          <w:sz w:val="24"/>
          <w:szCs w:val="24"/>
        </w:rPr>
        <w:t xml:space="preserve"> has the meaning given in clause </w:t>
      </w:r>
      <w:r w:rsidR="004F3590">
        <w:rPr>
          <w:rFonts w:asciiTheme="minorHAnsi" w:hAnsiTheme="minorHAnsi"/>
          <w:sz w:val="24"/>
          <w:szCs w:val="24"/>
        </w:rPr>
        <w:t>3.1.1(4)</w:t>
      </w:r>
      <w:r w:rsidRPr="00C238ED">
        <w:rPr>
          <w:rFonts w:asciiTheme="minorHAnsi" w:hAnsiTheme="minorHAnsi"/>
          <w:sz w:val="24"/>
          <w:szCs w:val="24"/>
        </w:rPr>
        <w:t xml:space="preserve"> of the IM Determination</w:t>
      </w:r>
      <w:r w:rsidR="004F3590">
        <w:rPr>
          <w:rFonts w:asciiTheme="minorHAnsi" w:hAnsiTheme="minorHAnsi"/>
          <w:sz w:val="24"/>
          <w:szCs w:val="24"/>
        </w:rPr>
        <w:t xml:space="preserve"> and </w:t>
      </w:r>
      <w:r w:rsidR="0038111A" w:rsidRPr="00CD4177">
        <w:rPr>
          <w:rFonts w:asciiTheme="minorHAnsi" w:hAnsiTheme="minorHAnsi"/>
          <w:strike/>
          <w:color w:val="1F497D" w:themeColor="text2"/>
          <w:sz w:val="24"/>
          <w:szCs w:val="24"/>
        </w:rPr>
        <w:t>consists of</w:t>
      </w:r>
      <w:r w:rsidR="00E64797" w:rsidRPr="00CD4177">
        <w:rPr>
          <w:rFonts w:asciiTheme="minorHAnsi" w:hAnsiTheme="minorHAnsi"/>
          <w:color w:val="1F497D" w:themeColor="text2"/>
          <w:sz w:val="24"/>
          <w:szCs w:val="24"/>
        </w:rPr>
        <w:t xml:space="preserve"> </w:t>
      </w:r>
      <w:r w:rsidR="00C568AB" w:rsidRPr="00CD4177">
        <w:rPr>
          <w:rFonts w:asciiTheme="minorHAnsi" w:hAnsiTheme="minorHAnsi"/>
          <w:color w:val="1F497D" w:themeColor="text2"/>
          <w:sz w:val="24"/>
          <w:szCs w:val="24"/>
          <w:u w:val="single"/>
        </w:rPr>
        <w:t>includes</w:t>
      </w:r>
      <w:r w:rsidR="0038111A" w:rsidRPr="00CD4177">
        <w:rPr>
          <w:rFonts w:asciiTheme="minorHAnsi" w:hAnsiTheme="minorHAnsi"/>
          <w:color w:val="1F497D" w:themeColor="text2"/>
          <w:sz w:val="24"/>
          <w:szCs w:val="24"/>
        </w:rPr>
        <w:t xml:space="preserve"> </w:t>
      </w:r>
      <w:r w:rsidR="004F3590">
        <w:rPr>
          <w:rFonts w:asciiTheme="minorHAnsi" w:hAnsiTheme="minorHAnsi"/>
          <w:sz w:val="24"/>
          <w:szCs w:val="24"/>
        </w:rPr>
        <w:t xml:space="preserve">Distribution Prices and </w:t>
      </w:r>
      <w:r w:rsidR="0030438A">
        <w:rPr>
          <w:rFonts w:asciiTheme="minorHAnsi" w:hAnsiTheme="minorHAnsi"/>
          <w:sz w:val="24"/>
          <w:szCs w:val="24"/>
        </w:rPr>
        <w:t xml:space="preserve">Pass-through </w:t>
      </w:r>
      <w:r w:rsidR="004F3590">
        <w:rPr>
          <w:rFonts w:asciiTheme="minorHAnsi" w:hAnsiTheme="minorHAnsi"/>
          <w:sz w:val="24"/>
          <w:szCs w:val="24"/>
        </w:rPr>
        <w:t>Prices</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Quality Incentive Adjustment</w:t>
      </w:r>
      <w:r w:rsidRPr="00C238ED">
        <w:rPr>
          <w:rFonts w:asciiTheme="minorHAnsi" w:hAnsiTheme="minorHAnsi"/>
          <w:sz w:val="24"/>
          <w:szCs w:val="24"/>
        </w:rPr>
        <w:t xml:space="preserve"> has the meaning given in clause 1.1.4(2) of the IM Determination, and is calculated in accordance with </w:t>
      </w:r>
      <w:r w:rsidR="008648F5" w:rsidRPr="00837BB4">
        <w:rPr>
          <w:rFonts w:asciiTheme="minorHAnsi" w:hAnsiTheme="minorHAnsi"/>
          <w:sz w:val="24"/>
          <w:szCs w:val="24"/>
        </w:rPr>
        <w:t>Schedule 5</w:t>
      </w:r>
      <w:r w:rsidR="00FF0D8F">
        <w:rPr>
          <w:rFonts w:asciiTheme="minorHAnsi" w:hAnsiTheme="minorHAnsi"/>
          <w:sz w:val="24"/>
          <w:szCs w:val="24"/>
        </w:rPr>
        <w:t>B</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Quantities</w:t>
      </w:r>
      <w:r w:rsidRPr="00C238ED">
        <w:rPr>
          <w:rFonts w:asciiTheme="minorHAnsi" w:hAnsiTheme="minorHAnsi"/>
          <w:sz w:val="24"/>
          <w:szCs w:val="24"/>
        </w:rPr>
        <w:t xml:space="preserve"> means the amount supplied (other than forecast) of </w:t>
      </w:r>
      <w:r w:rsidRPr="008648F5">
        <w:rPr>
          <w:rFonts w:asciiTheme="minorHAnsi" w:hAnsiTheme="minorHAnsi"/>
          <w:sz w:val="24"/>
          <w:szCs w:val="24"/>
        </w:rPr>
        <w:t xml:space="preserve">Electricity Distribution Services </w:t>
      </w:r>
      <w:r w:rsidRPr="00C238ED">
        <w:rPr>
          <w:rFonts w:asciiTheme="minorHAnsi" w:hAnsiTheme="minorHAnsi"/>
          <w:sz w:val="24"/>
          <w:szCs w:val="24"/>
        </w:rPr>
        <w:t xml:space="preserve">corresponding to the extent practicable to a Price (which may include, but is not limited to, kWh, </w:t>
      </w:r>
      <w:r w:rsidR="0063484B">
        <w:rPr>
          <w:rFonts w:asciiTheme="minorHAnsi" w:hAnsiTheme="minorHAnsi"/>
          <w:sz w:val="24"/>
          <w:szCs w:val="24"/>
        </w:rPr>
        <w:t>k</w:t>
      </w:r>
      <w:r w:rsidRPr="00C238ED">
        <w:rPr>
          <w:rFonts w:asciiTheme="minorHAnsi" w:hAnsiTheme="minorHAnsi"/>
          <w:sz w:val="24"/>
          <w:szCs w:val="24"/>
        </w:rPr>
        <w:t>VA, kW, and day)</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Recoverable Costs</w:t>
      </w:r>
      <w:r w:rsidRPr="00C238ED">
        <w:rPr>
          <w:rFonts w:asciiTheme="minorHAnsi" w:hAnsiTheme="minorHAnsi"/>
          <w:sz w:val="24"/>
          <w:szCs w:val="24"/>
        </w:rPr>
        <w:t xml:space="preserve"> has the meaning given in clause 1.1.4(2) of the IM Determination, and </w:t>
      </w:r>
      <w:r w:rsidR="0069105B">
        <w:rPr>
          <w:rFonts w:asciiTheme="minorHAnsi" w:hAnsiTheme="minorHAnsi"/>
          <w:sz w:val="24"/>
          <w:szCs w:val="24"/>
        </w:rPr>
        <w:t>apply to an Assessment Period</w:t>
      </w:r>
      <w:r w:rsidRPr="00C238ED">
        <w:rPr>
          <w:rFonts w:asciiTheme="minorHAnsi" w:hAnsiTheme="minorHAnsi"/>
          <w:sz w:val="24"/>
          <w:szCs w:val="24"/>
        </w:rPr>
        <w:t xml:space="preserve"> in accordance with </w:t>
      </w:r>
      <w:r w:rsidRPr="0069105B">
        <w:rPr>
          <w:rFonts w:asciiTheme="minorHAnsi" w:hAnsiTheme="minorHAnsi"/>
          <w:sz w:val="24"/>
          <w:szCs w:val="24"/>
        </w:rPr>
        <w:t>Schedule 5</w:t>
      </w:r>
    </w:p>
    <w:p w:rsidR="00C238ED" w:rsidRPr="00C238ED" w:rsidRDefault="00C238ED" w:rsidP="00C238ED">
      <w:pPr>
        <w:pStyle w:val="Quotation"/>
        <w:rPr>
          <w:rFonts w:asciiTheme="minorHAnsi" w:hAnsiTheme="minorHAnsi"/>
          <w:sz w:val="24"/>
          <w:szCs w:val="24"/>
        </w:rPr>
      </w:pPr>
      <w:r w:rsidRPr="00837BB4">
        <w:rPr>
          <w:rFonts w:asciiTheme="minorHAnsi" w:hAnsiTheme="minorHAnsi"/>
          <w:b/>
          <w:sz w:val="24"/>
          <w:szCs w:val="24"/>
        </w:rPr>
        <w:t xml:space="preserve">Regulatory Period </w:t>
      </w:r>
      <w:r w:rsidRPr="00837BB4">
        <w:rPr>
          <w:rFonts w:asciiTheme="minorHAnsi" w:hAnsiTheme="minorHAnsi"/>
          <w:sz w:val="24"/>
          <w:szCs w:val="24"/>
        </w:rPr>
        <w:t xml:space="preserve">means </w:t>
      </w:r>
      <w:r w:rsidR="004F466D">
        <w:rPr>
          <w:rFonts w:asciiTheme="minorHAnsi" w:hAnsiTheme="minorHAnsi"/>
          <w:sz w:val="24"/>
          <w:szCs w:val="24"/>
        </w:rPr>
        <w:t>the</w:t>
      </w:r>
      <w:r w:rsidR="004F466D" w:rsidRPr="00837BB4">
        <w:rPr>
          <w:rFonts w:asciiTheme="minorHAnsi" w:hAnsiTheme="minorHAnsi"/>
          <w:sz w:val="24"/>
          <w:szCs w:val="24"/>
        </w:rPr>
        <w:t xml:space="preserve"> </w:t>
      </w:r>
      <w:r w:rsidRPr="00837BB4">
        <w:rPr>
          <w:rFonts w:asciiTheme="minorHAnsi" w:hAnsiTheme="minorHAnsi"/>
          <w:sz w:val="24"/>
          <w:szCs w:val="24"/>
        </w:rPr>
        <w:t xml:space="preserve">period </w:t>
      </w:r>
      <w:r w:rsidR="004F466D">
        <w:rPr>
          <w:rFonts w:asciiTheme="minorHAnsi" w:hAnsiTheme="minorHAnsi"/>
          <w:sz w:val="24"/>
          <w:szCs w:val="24"/>
        </w:rPr>
        <w:t>during which a</w:t>
      </w:r>
      <w:r w:rsidRPr="00837BB4">
        <w:rPr>
          <w:rFonts w:asciiTheme="minorHAnsi" w:hAnsiTheme="minorHAnsi"/>
          <w:sz w:val="24"/>
          <w:szCs w:val="24"/>
        </w:rPr>
        <w:t xml:space="preserve"> Non-exempt EDB</w:t>
      </w:r>
      <w:r w:rsidR="004F466D">
        <w:rPr>
          <w:rFonts w:asciiTheme="minorHAnsi" w:hAnsiTheme="minorHAnsi"/>
          <w:sz w:val="24"/>
          <w:szCs w:val="24"/>
        </w:rPr>
        <w:t xml:space="preserve"> i</w:t>
      </w:r>
      <w:r w:rsidRPr="00837BB4">
        <w:rPr>
          <w:rFonts w:asciiTheme="minorHAnsi" w:hAnsiTheme="minorHAnsi"/>
          <w:sz w:val="24"/>
          <w:szCs w:val="24"/>
        </w:rPr>
        <w:t>s subject to a default price-quality path</w:t>
      </w:r>
    </w:p>
    <w:p w:rsidR="003951AE" w:rsidRPr="003951AE" w:rsidRDefault="003951AE" w:rsidP="003951AE">
      <w:pPr>
        <w:pStyle w:val="Quotation"/>
        <w:rPr>
          <w:sz w:val="24"/>
          <w:szCs w:val="24"/>
        </w:rPr>
      </w:pPr>
      <w:r w:rsidRPr="003951AE">
        <w:rPr>
          <w:b/>
          <w:sz w:val="24"/>
          <w:szCs w:val="24"/>
        </w:rPr>
        <w:t>Regulatory Investment Value</w:t>
      </w:r>
      <w:r w:rsidRPr="003951AE">
        <w:rPr>
          <w:sz w:val="24"/>
          <w:szCs w:val="24"/>
        </w:rPr>
        <w:t xml:space="preserve"> means the total opening </w:t>
      </w:r>
      <w:r w:rsidRPr="00837BB4">
        <w:rPr>
          <w:sz w:val="24"/>
          <w:szCs w:val="24"/>
        </w:rPr>
        <w:t>RAB</w:t>
      </w:r>
      <w:r w:rsidRPr="003951AE">
        <w:rPr>
          <w:sz w:val="24"/>
          <w:szCs w:val="24"/>
        </w:rPr>
        <w:t xml:space="preserve"> values plus the opening deferred tax as reported in accordance with the ID Determination applicable for an Assessment Period in which a Major Transaction occurs</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 xml:space="preserve">Restructure of </w:t>
      </w:r>
      <w:r w:rsidR="0069105B">
        <w:rPr>
          <w:rFonts w:asciiTheme="minorHAnsi" w:hAnsiTheme="minorHAnsi"/>
          <w:b/>
          <w:sz w:val="24"/>
          <w:szCs w:val="24"/>
        </w:rPr>
        <w:t>P</w:t>
      </w:r>
      <w:r w:rsidR="0069105B" w:rsidRPr="00C238ED">
        <w:rPr>
          <w:rFonts w:asciiTheme="minorHAnsi" w:hAnsiTheme="minorHAnsi"/>
          <w:b/>
          <w:sz w:val="24"/>
          <w:szCs w:val="24"/>
        </w:rPr>
        <w:t xml:space="preserve">rices </w:t>
      </w:r>
      <w:r w:rsidRPr="00C238ED">
        <w:rPr>
          <w:rFonts w:asciiTheme="minorHAnsi" w:hAnsiTheme="minorHAnsi"/>
          <w:sz w:val="24"/>
          <w:szCs w:val="24"/>
        </w:rPr>
        <w:t>means</w:t>
      </w:r>
      <w:r w:rsidRPr="00C238ED">
        <w:rPr>
          <w:rFonts w:asciiTheme="minorHAnsi" w:hAnsiTheme="minorHAnsi"/>
          <w:b/>
          <w:sz w:val="24"/>
          <w:szCs w:val="24"/>
        </w:rPr>
        <w:t xml:space="preserve"> </w:t>
      </w:r>
      <w:r w:rsidRPr="00C238ED">
        <w:rPr>
          <w:rFonts w:asciiTheme="minorHAnsi" w:hAnsiTheme="minorHAnsi"/>
          <w:sz w:val="24"/>
          <w:szCs w:val="24"/>
        </w:rPr>
        <w:t xml:space="preserve">any change in the allocation of connections to </w:t>
      </w:r>
      <w:r w:rsidR="00B502DF">
        <w:rPr>
          <w:rFonts w:asciiTheme="minorHAnsi" w:hAnsiTheme="minorHAnsi"/>
          <w:sz w:val="24"/>
          <w:szCs w:val="24"/>
        </w:rPr>
        <w:t>Consumer Group</w:t>
      </w:r>
      <w:r w:rsidRPr="00C238ED">
        <w:rPr>
          <w:rFonts w:asciiTheme="minorHAnsi" w:hAnsiTheme="minorHAnsi"/>
          <w:sz w:val="24"/>
          <w:szCs w:val="24"/>
        </w:rPr>
        <w:t xml:space="preserve">s by </w:t>
      </w:r>
      <w:r w:rsidR="006412E7">
        <w:rPr>
          <w:rFonts w:asciiTheme="minorHAnsi" w:hAnsiTheme="minorHAnsi"/>
          <w:sz w:val="24"/>
          <w:szCs w:val="24"/>
        </w:rPr>
        <w:t>a</w:t>
      </w:r>
      <w:r w:rsidR="006412E7" w:rsidRPr="00C238ED">
        <w:rPr>
          <w:rFonts w:asciiTheme="minorHAnsi" w:hAnsiTheme="minorHAnsi"/>
          <w:sz w:val="24"/>
          <w:szCs w:val="24"/>
        </w:rPr>
        <w:t xml:space="preserve"> </w:t>
      </w:r>
      <w:r w:rsidR="0069105B">
        <w:rPr>
          <w:rFonts w:asciiTheme="minorHAnsi" w:hAnsiTheme="minorHAnsi"/>
          <w:sz w:val="24"/>
          <w:szCs w:val="24"/>
        </w:rPr>
        <w:t xml:space="preserve">Non-exempt </w:t>
      </w:r>
      <w:r w:rsidRPr="00C238ED">
        <w:rPr>
          <w:rFonts w:asciiTheme="minorHAnsi" w:hAnsiTheme="minorHAnsi"/>
          <w:sz w:val="24"/>
          <w:szCs w:val="24"/>
        </w:rPr>
        <w:t>EDB</w:t>
      </w:r>
      <w:r w:rsidR="00762493">
        <w:rPr>
          <w:rFonts w:asciiTheme="minorHAnsi" w:hAnsiTheme="minorHAnsi"/>
          <w:sz w:val="24"/>
          <w:szCs w:val="24"/>
        </w:rPr>
        <w:t xml:space="preserve">, the introduction of a new </w:t>
      </w:r>
      <w:r w:rsidR="00B502DF">
        <w:rPr>
          <w:rFonts w:asciiTheme="minorHAnsi" w:hAnsiTheme="minorHAnsi"/>
          <w:sz w:val="24"/>
          <w:szCs w:val="24"/>
        </w:rPr>
        <w:t>Consumer Group</w:t>
      </w:r>
      <w:r w:rsidR="00762493">
        <w:rPr>
          <w:rFonts w:asciiTheme="minorHAnsi" w:hAnsiTheme="minorHAnsi"/>
          <w:sz w:val="24"/>
          <w:szCs w:val="24"/>
        </w:rPr>
        <w:t>,</w:t>
      </w:r>
      <w:r w:rsidRPr="00C238ED">
        <w:rPr>
          <w:rFonts w:asciiTheme="minorHAnsi" w:hAnsiTheme="minorHAnsi"/>
          <w:sz w:val="24"/>
          <w:szCs w:val="24"/>
        </w:rPr>
        <w:t xml:space="preserve"> or any change in</w:t>
      </w:r>
      <w:r w:rsidR="00E85F07">
        <w:rPr>
          <w:rFonts w:asciiTheme="minorHAnsi" w:hAnsiTheme="minorHAnsi"/>
          <w:sz w:val="24"/>
          <w:szCs w:val="24"/>
        </w:rPr>
        <w:t xml:space="preserve"> </w:t>
      </w:r>
      <w:r w:rsidRPr="00C238ED">
        <w:rPr>
          <w:rFonts w:asciiTheme="minorHAnsi" w:hAnsiTheme="minorHAnsi"/>
          <w:sz w:val="24"/>
          <w:szCs w:val="24"/>
        </w:rPr>
        <w:t>Prices</w:t>
      </w:r>
      <w:r w:rsidR="00762493">
        <w:rPr>
          <w:rFonts w:asciiTheme="minorHAnsi" w:hAnsiTheme="minorHAnsi"/>
          <w:sz w:val="24"/>
          <w:szCs w:val="24"/>
        </w:rPr>
        <w:t>,</w:t>
      </w:r>
      <w:r w:rsidRPr="00C238ED">
        <w:rPr>
          <w:rFonts w:asciiTheme="minorHAnsi" w:hAnsiTheme="minorHAnsi"/>
          <w:sz w:val="24"/>
          <w:szCs w:val="24"/>
        </w:rPr>
        <w:t xml:space="preserve"> </w:t>
      </w:r>
      <w:r w:rsidR="00762493">
        <w:rPr>
          <w:rFonts w:asciiTheme="minorHAnsi" w:hAnsiTheme="minorHAnsi"/>
          <w:sz w:val="24"/>
          <w:szCs w:val="24"/>
        </w:rPr>
        <w:t>but excludes</w:t>
      </w:r>
      <w:r w:rsidR="00E57444">
        <w:rPr>
          <w:rFonts w:asciiTheme="minorHAnsi" w:hAnsiTheme="minorHAnsi"/>
          <w:sz w:val="24"/>
          <w:szCs w:val="24"/>
        </w:rPr>
        <w:t>:</w:t>
      </w:r>
    </w:p>
    <w:p w:rsidR="00C238ED" w:rsidRPr="00C238ED" w:rsidRDefault="00C238ED" w:rsidP="00B87C77">
      <w:pPr>
        <w:pStyle w:val="Subclause2"/>
        <w:numPr>
          <w:ilvl w:val="0"/>
          <w:numId w:val="45"/>
        </w:numPr>
        <w:ind w:left="1418" w:hanging="709"/>
      </w:pPr>
      <w:r w:rsidRPr="00C238ED">
        <w:t xml:space="preserve">a change to the value of a Price applicable to an existing </w:t>
      </w:r>
      <w:r w:rsidR="00B502DF">
        <w:t>Consumer Group</w:t>
      </w:r>
      <w:r w:rsidRPr="00C238ED">
        <w:t>; or</w:t>
      </w:r>
    </w:p>
    <w:p w:rsidR="00C238ED" w:rsidRPr="00C238ED" w:rsidRDefault="00C238ED" w:rsidP="008D2869">
      <w:pPr>
        <w:pStyle w:val="Subclause2"/>
        <w:ind w:left="1418" w:hanging="709"/>
      </w:pPr>
      <w:proofErr w:type="gramStart"/>
      <w:r w:rsidRPr="00C238ED">
        <w:t>the</w:t>
      </w:r>
      <w:proofErr w:type="gramEnd"/>
      <w:r w:rsidRPr="00C238ED">
        <w:t xml:space="preserve"> movement of connections between existing </w:t>
      </w:r>
      <w:r w:rsidR="00B502DF">
        <w:t>Consumer Group</w:t>
      </w:r>
      <w:r w:rsidRPr="00C238ED">
        <w:t xml:space="preserve">s at the request of the </w:t>
      </w:r>
      <w:r w:rsidR="00821404">
        <w:t xml:space="preserve">Consumer </w:t>
      </w:r>
      <w:r w:rsidR="00094066">
        <w:t>or retailer</w:t>
      </w:r>
      <w:r w:rsidRPr="00C238ED">
        <w:t>.</w:t>
      </w:r>
    </w:p>
    <w:p w:rsidR="00CA361B" w:rsidRPr="00CA361B" w:rsidRDefault="00CA361B" w:rsidP="00C238ED">
      <w:pPr>
        <w:pStyle w:val="Quotation"/>
        <w:rPr>
          <w:rFonts w:asciiTheme="minorHAnsi" w:hAnsiTheme="minorHAnsi"/>
          <w:color w:val="1F497D" w:themeColor="text2"/>
          <w:sz w:val="24"/>
          <w:szCs w:val="24"/>
          <w:u w:val="single"/>
        </w:rPr>
      </w:pPr>
      <w:r w:rsidRPr="00CA361B">
        <w:rPr>
          <w:rFonts w:asciiTheme="minorHAnsi" w:hAnsiTheme="minorHAnsi"/>
          <w:b/>
          <w:color w:val="1F497D" w:themeColor="text2"/>
          <w:sz w:val="24"/>
          <w:szCs w:val="24"/>
          <w:u w:val="single"/>
        </w:rPr>
        <w:t>Revenue at risk</w:t>
      </w:r>
      <w:r w:rsidRPr="00CA361B">
        <w:rPr>
          <w:rFonts w:asciiTheme="minorHAnsi" w:hAnsiTheme="minorHAnsi"/>
          <w:color w:val="1F497D" w:themeColor="text2"/>
          <w:sz w:val="24"/>
          <w:szCs w:val="24"/>
          <w:u w:val="single"/>
        </w:rPr>
        <w:t xml:space="preserve"> means the maximum financial </w:t>
      </w:r>
      <w:r w:rsidRPr="00BA0E3E">
        <w:rPr>
          <w:rFonts w:asciiTheme="minorHAnsi" w:hAnsiTheme="minorHAnsi"/>
          <w:color w:val="1F497D" w:themeColor="text2"/>
          <w:sz w:val="24"/>
          <w:szCs w:val="24"/>
          <w:u w:val="single"/>
        </w:rPr>
        <w:t>reward or penalty attributable to a non-exempt EDB’s performance against the quality standards as specified in a DPP determination or CPP determination</w:t>
      </w:r>
    </w:p>
    <w:p w:rsidR="00C238ED" w:rsidRPr="00837BB4" w:rsidRDefault="00C238ED" w:rsidP="00C238ED">
      <w:pPr>
        <w:pStyle w:val="Quotation"/>
        <w:rPr>
          <w:rFonts w:asciiTheme="minorHAnsi" w:hAnsiTheme="minorHAnsi"/>
          <w:sz w:val="24"/>
          <w:szCs w:val="24"/>
        </w:rPr>
      </w:pPr>
      <w:r w:rsidRPr="00837BB4">
        <w:rPr>
          <w:rFonts w:asciiTheme="minorHAnsi" w:hAnsiTheme="minorHAnsi"/>
          <w:b/>
          <w:sz w:val="24"/>
          <w:szCs w:val="24"/>
        </w:rPr>
        <w:t>SAIDI Assessed Value</w:t>
      </w:r>
      <w:r w:rsidRPr="00837BB4">
        <w:rPr>
          <w:rFonts w:asciiTheme="minorHAnsi" w:hAnsiTheme="minorHAnsi"/>
          <w:sz w:val="24"/>
          <w:szCs w:val="24"/>
        </w:rPr>
        <w:t xml:space="preserve"> means the sum of </w:t>
      </w:r>
      <w:r w:rsidRPr="00CD4177">
        <w:rPr>
          <w:rFonts w:asciiTheme="minorHAnsi" w:hAnsiTheme="minorHAnsi"/>
          <w:strike/>
          <w:color w:val="1F497D" w:themeColor="text2"/>
          <w:sz w:val="24"/>
          <w:szCs w:val="24"/>
        </w:rPr>
        <w:t>adjusted</w:t>
      </w:r>
      <w:r w:rsidRPr="00CD4177">
        <w:rPr>
          <w:rFonts w:asciiTheme="minorHAnsi" w:hAnsiTheme="minorHAnsi"/>
          <w:color w:val="1F497D" w:themeColor="text2"/>
          <w:sz w:val="24"/>
          <w:szCs w:val="24"/>
        </w:rPr>
        <w:t xml:space="preserve"> </w:t>
      </w:r>
      <w:r w:rsidRPr="00837BB4">
        <w:rPr>
          <w:rFonts w:asciiTheme="minorHAnsi" w:hAnsiTheme="minorHAnsi"/>
          <w:sz w:val="24"/>
          <w:szCs w:val="24"/>
        </w:rPr>
        <w:t xml:space="preserve">SAIDI Values for an Assessment Period calculated in accordance with Schedule </w:t>
      </w:r>
      <w:r w:rsidR="006735C4">
        <w:rPr>
          <w:rFonts w:asciiTheme="minorHAnsi" w:hAnsiTheme="minorHAnsi"/>
          <w:sz w:val="24"/>
          <w:szCs w:val="24"/>
        </w:rPr>
        <w:t>4</w:t>
      </w:r>
      <w:r w:rsidR="00A11234">
        <w:rPr>
          <w:rFonts w:asciiTheme="minorHAnsi" w:hAnsiTheme="minorHAnsi"/>
          <w:sz w:val="24"/>
          <w:szCs w:val="24"/>
        </w:rPr>
        <w:t>A</w:t>
      </w:r>
    </w:p>
    <w:p w:rsidR="006D23B7" w:rsidRDefault="006D23B7" w:rsidP="00C238ED">
      <w:pPr>
        <w:pStyle w:val="Quotation"/>
        <w:rPr>
          <w:rFonts w:asciiTheme="minorHAnsi" w:hAnsiTheme="minorHAnsi"/>
          <w:sz w:val="24"/>
          <w:szCs w:val="24"/>
        </w:rPr>
      </w:pPr>
      <w:r>
        <w:rPr>
          <w:rFonts w:asciiTheme="minorHAnsi" w:hAnsiTheme="minorHAnsi"/>
          <w:b/>
          <w:sz w:val="24"/>
          <w:szCs w:val="24"/>
        </w:rPr>
        <w:t>SAIDI Cap</w:t>
      </w:r>
      <w:r>
        <w:rPr>
          <w:rFonts w:asciiTheme="minorHAnsi" w:hAnsiTheme="minorHAnsi"/>
          <w:sz w:val="24"/>
          <w:szCs w:val="24"/>
        </w:rPr>
        <w:t xml:space="preserve"> means the maximum SAIDI Value used for purposes of calculating </w:t>
      </w:r>
      <w:r w:rsidR="00B53A70">
        <w:rPr>
          <w:rFonts w:asciiTheme="minorHAnsi" w:hAnsiTheme="minorHAnsi"/>
          <w:sz w:val="24"/>
          <w:szCs w:val="24"/>
        </w:rPr>
        <w:t>the Quality Incentive Adjustment</w:t>
      </w:r>
      <w:r>
        <w:rPr>
          <w:rFonts w:asciiTheme="minorHAnsi" w:hAnsiTheme="minorHAnsi"/>
          <w:sz w:val="24"/>
          <w:szCs w:val="24"/>
        </w:rPr>
        <w:t xml:space="preserve">, and is specified in Schedule </w:t>
      </w:r>
      <w:r w:rsidR="00A11234">
        <w:rPr>
          <w:rFonts w:asciiTheme="minorHAnsi" w:hAnsiTheme="minorHAnsi"/>
          <w:sz w:val="24"/>
          <w:szCs w:val="24"/>
        </w:rPr>
        <w:t>5B</w:t>
      </w:r>
    </w:p>
    <w:p w:rsidR="006D23B7" w:rsidRDefault="006D23B7" w:rsidP="00C238ED">
      <w:pPr>
        <w:pStyle w:val="Quotation"/>
        <w:rPr>
          <w:rFonts w:asciiTheme="minorHAnsi" w:hAnsiTheme="minorHAnsi"/>
          <w:sz w:val="24"/>
          <w:szCs w:val="24"/>
        </w:rPr>
      </w:pPr>
      <w:r>
        <w:rPr>
          <w:rFonts w:asciiTheme="minorHAnsi" w:hAnsiTheme="minorHAnsi"/>
          <w:b/>
          <w:sz w:val="24"/>
          <w:szCs w:val="24"/>
        </w:rPr>
        <w:t>SAIDI Collar</w:t>
      </w:r>
      <w:r>
        <w:rPr>
          <w:rFonts w:asciiTheme="minorHAnsi" w:hAnsiTheme="minorHAnsi"/>
          <w:sz w:val="24"/>
          <w:szCs w:val="24"/>
        </w:rPr>
        <w:t xml:space="preserve"> means the minimum SAIDI Value used </w:t>
      </w:r>
      <w:r w:rsidR="00B53A70">
        <w:rPr>
          <w:rFonts w:asciiTheme="minorHAnsi" w:hAnsiTheme="minorHAnsi"/>
          <w:sz w:val="24"/>
          <w:szCs w:val="24"/>
        </w:rPr>
        <w:t>for purposes of calculating the Quality Incentive Adjustment</w:t>
      </w:r>
      <w:r>
        <w:rPr>
          <w:rFonts w:asciiTheme="minorHAnsi" w:hAnsiTheme="minorHAnsi"/>
          <w:sz w:val="24"/>
          <w:szCs w:val="24"/>
        </w:rPr>
        <w:t xml:space="preserve">, and is specified in Schedule </w:t>
      </w:r>
      <w:r w:rsidR="00A11234">
        <w:rPr>
          <w:rFonts w:asciiTheme="minorHAnsi" w:hAnsiTheme="minorHAnsi"/>
          <w:sz w:val="24"/>
          <w:szCs w:val="24"/>
        </w:rPr>
        <w:t>5B</w:t>
      </w:r>
    </w:p>
    <w:p w:rsidR="00A045EF" w:rsidRDefault="00A045EF" w:rsidP="00C238ED">
      <w:pPr>
        <w:pStyle w:val="Quotation"/>
        <w:rPr>
          <w:rFonts w:asciiTheme="minorHAnsi" w:hAnsiTheme="minorHAnsi"/>
          <w:b/>
          <w:sz w:val="24"/>
          <w:szCs w:val="24"/>
        </w:rPr>
      </w:pPr>
      <w:r>
        <w:rPr>
          <w:rFonts w:asciiTheme="minorHAnsi" w:hAnsiTheme="minorHAnsi"/>
          <w:b/>
          <w:sz w:val="24"/>
          <w:szCs w:val="24"/>
        </w:rPr>
        <w:t xml:space="preserve">SAIDI Limit </w:t>
      </w:r>
      <w:r w:rsidRPr="00837BB4">
        <w:rPr>
          <w:rFonts w:asciiTheme="minorHAnsi" w:hAnsiTheme="minorHAnsi"/>
          <w:sz w:val="24"/>
          <w:szCs w:val="24"/>
        </w:rPr>
        <w:t xml:space="preserve">means, for a Non-exempt EDB, the </w:t>
      </w:r>
      <w:r w:rsidRPr="00EE5803">
        <w:rPr>
          <w:sz w:val="24"/>
          <w:szCs w:val="24"/>
        </w:rPr>
        <w:t>SAIDI</w:t>
      </w:r>
      <w:r>
        <w:rPr>
          <w:sz w:val="24"/>
          <w:szCs w:val="24"/>
        </w:rPr>
        <w:t xml:space="preserve"> Value</w:t>
      </w:r>
      <w:r w:rsidRPr="00EE5803">
        <w:rPr>
          <w:sz w:val="24"/>
          <w:szCs w:val="24"/>
        </w:rPr>
        <w:t xml:space="preserve"> against which a Non-exempt EDB’s </w:t>
      </w:r>
      <w:r>
        <w:rPr>
          <w:sz w:val="24"/>
          <w:szCs w:val="24"/>
        </w:rPr>
        <w:t>compliance with the quality standards</w:t>
      </w:r>
      <w:r w:rsidRPr="00EE5803">
        <w:rPr>
          <w:sz w:val="24"/>
          <w:szCs w:val="24"/>
        </w:rPr>
        <w:t xml:space="preserve"> is assessed</w:t>
      </w:r>
      <w:r w:rsidRPr="00837BB4">
        <w:rPr>
          <w:rFonts w:asciiTheme="minorHAnsi" w:hAnsiTheme="minorHAnsi"/>
          <w:sz w:val="24"/>
          <w:szCs w:val="24"/>
        </w:rPr>
        <w:t xml:space="preserve">, </w:t>
      </w:r>
      <w:r>
        <w:rPr>
          <w:rFonts w:asciiTheme="minorHAnsi" w:hAnsiTheme="minorHAnsi"/>
          <w:sz w:val="24"/>
          <w:szCs w:val="24"/>
        </w:rPr>
        <w:t>and i</w:t>
      </w:r>
      <w:r w:rsidRPr="00837BB4">
        <w:rPr>
          <w:rFonts w:asciiTheme="minorHAnsi" w:hAnsiTheme="minorHAnsi"/>
          <w:sz w:val="24"/>
          <w:szCs w:val="24"/>
        </w:rPr>
        <w:t xml:space="preserve">s specified in Schedule </w:t>
      </w:r>
      <w:r>
        <w:rPr>
          <w:rFonts w:asciiTheme="minorHAnsi" w:hAnsiTheme="minorHAnsi"/>
          <w:sz w:val="24"/>
          <w:szCs w:val="24"/>
        </w:rPr>
        <w:t>4</w:t>
      </w:r>
      <w:r w:rsidR="00A11234">
        <w:rPr>
          <w:rFonts w:asciiTheme="minorHAnsi" w:hAnsiTheme="minorHAnsi"/>
          <w:sz w:val="24"/>
          <w:szCs w:val="24"/>
        </w:rPr>
        <w:t>A</w:t>
      </w:r>
    </w:p>
    <w:p w:rsidR="00C238ED" w:rsidRPr="00837BB4" w:rsidRDefault="00C238ED" w:rsidP="00C238ED">
      <w:pPr>
        <w:pStyle w:val="Quotation"/>
        <w:rPr>
          <w:rFonts w:asciiTheme="minorHAnsi" w:hAnsiTheme="minorHAnsi"/>
          <w:b/>
          <w:sz w:val="24"/>
          <w:szCs w:val="24"/>
        </w:rPr>
      </w:pPr>
      <w:r w:rsidRPr="00837BB4">
        <w:rPr>
          <w:rFonts w:asciiTheme="minorHAnsi" w:hAnsiTheme="minorHAnsi"/>
          <w:b/>
          <w:sz w:val="24"/>
          <w:szCs w:val="24"/>
        </w:rPr>
        <w:lastRenderedPageBreak/>
        <w:t>SAIDI Target</w:t>
      </w:r>
      <w:r w:rsidRPr="00837BB4">
        <w:rPr>
          <w:rFonts w:asciiTheme="minorHAnsi" w:hAnsiTheme="minorHAnsi"/>
          <w:sz w:val="24"/>
          <w:szCs w:val="24"/>
        </w:rPr>
        <w:t xml:space="preserve"> means</w:t>
      </w:r>
      <w:r w:rsidR="00A045EF" w:rsidRPr="00A045EF">
        <w:rPr>
          <w:rFonts w:asciiTheme="minorHAnsi" w:hAnsiTheme="minorHAnsi"/>
          <w:sz w:val="24"/>
          <w:szCs w:val="24"/>
        </w:rPr>
        <w:t xml:space="preserve"> </w:t>
      </w:r>
      <w:r w:rsidR="00A045EF">
        <w:rPr>
          <w:rFonts w:asciiTheme="minorHAnsi" w:hAnsiTheme="minorHAnsi"/>
          <w:sz w:val="24"/>
          <w:szCs w:val="24"/>
        </w:rPr>
        <w:t xml:space="preserve">the SAIDI Value </w:t>
      </w:r>
      <w:r w:rsidR="00295C27">
        <w:rPr>
          <w:rFonts w:asciiTheme="minorHAnsi" w:hAnsiTheme="minorHAnsi"/>
          <w:sz w:val="24"/>
          <w:szCs w:val="24"/>
        </w:rPr>
        <w:t xml:space="preserve">used </w:t>
      </w:r>
      <w:r w:rsidR="00A045EF">
        <w:rPr>
          <w:rFonts w:asciiTheme="minorHAnsi" w:hAnsiTheme="minorHAnsi"/>
          <w:sz w:val="24"/>
          <w:szCs w:val="24"/>
        </w:rPr>
        <w:t xml:space="preserve">for purposes of calculating the Quality Incentive Adjustment, and is specified in Schedule </w:t>
      </w:r>
      <w:r w:rsidR="00A11234">
        <w:rPr>
          <w:rFonts w:asciiTheme="minorHAnsi" w:hAnsiTheme="minorHAnsi"/>
          <w:sz w:val="24"/>
          <w:szCs w:val="24"/>
        </w:rPr>
        <w:t>5B</w:t>
      </w:r>
    </w:p>
    <w:p w:rsidR="00A11234" w:rsidRPr="00C238ED" w:rsidRDefault="00A11234" w:rsidP="00A11234">
      <w:pPr>
        <w:pStyle w:val="Quotation"/>
        <w:rPr>
          <w:rFonts w:asciiTheme="minorHAnsi" w:hAnsiTheme="minorHAnsi"/>
          <w:sz w:val="24"/>
          <w:szCs w:val="24"/>
        </w:rPr>
      </w:pPr>
      <w:r w:rsidRPr="003951AE">
        <w:rPr>
          <w:rFonts w:asciiTheme="minorHAnsi" w:hAnsiTheme="minorHAnsi"/>
          <w:b/>
          <w:sz w:val="24"/>
          <w:szCs w:val="24"/>
        </w:rPr>
        <w:t>SAIDI</w:t>
      </w:r>
      <w:r>
        <w:rPr>
          <w:rFonts w:asciiTheme="minorHAnsi" w:hAnsiTheme="minorHAnsi"/>
          <w:b/>
          <w:sz w:val="24"/>
          <w:szCs w:val="24"/>
        </w:rPr>
        <w:t xml:space="preserve"> Unplanned</w:t>
      </w:r>
      <w:r w:rsidRPr="003951AE">
        <w:rPr>
          <w:rFonts w:asciiTheme="minorHAnsi" w:hAnsiTheme="minorHAnsi"/>
          <w:b/>
          <w:sz w:val="24"/>
          <w:szCs w:val="24"/>
        </w:rPr>
        <w:t xml:space="preserve"> Boundary Value</w:t>
      </w:r>
      <w:r w:rsidRPr="003951AE">
        <w:rPr>
          <w:rFonts w:asciiTheme="minorHAnsi" w:hAnsiTheme="minorHAnsi"/>
          <w:sz w:val="24"/>
          <w:szCs w:val="24"/>
        </w:rPr>
        <w:t xml:space="preserve"> means the value specified in Schedule </w:t>
      </w:r>
      <w:r>
        <w:rPr>
          <w:rFonts w:asciiTheme="minorHAnsi" w:hAnsiTheme="minorHAnsi"/>
          <w:sz w:val="24"/>
          <w:szCs w:val="24"/>
        </w:rPr>
        <w:t>4A</w:t>
      </w:r>
    </w:p>
    <w:p w:rsidR="00C238ED" w:rsidRPr="00837BB4" w:rsidRDefault="00C238ED" w:rsidP="00C238ED">
      <w:pPr>
        <w:pStyle w:val="Quotation"/>
        <w:rPr>
          <w:rFonts w:asciiTheme="minorHAnsi" w:hAnsiTheme="minorHAnsi"/>
          <w:sz w:val="24"/>
          <w:szCs w:val="24"/>
        </w:rPr>
      </w:pPr>
      <w:r w:rsidRPr="00837BB4">
        <w:rPr>
          <w:rFonts w:asciiTheme="minorHAnsi" w:hAnsiTheme="minorHAnsi"/>
          <w:b/>
          <w:sz w:val="24"/>
          <w:szCs w:val="24"/>
        </w:rPr>
        <w:t>SAIDI Value</w:t>
      </w:r>
      <w:r w:rsidRPr="00837BB4">
        <w:rPr>
          <w:rFonts w:asciiTheme="minorHAnsi" w:hAnsiTheme="minorHAnsi"/>
          <w:sz w:val="24"/>
          <w:szCs w:val="24"/>
        </w:rPr>
        <w:t xml:space="preserve"> means the system average interruption duration index values</w:t>
      </w:r>
      <w:r w:rsidR="0014398D">
        <w:rPr>
          <w:rFonts w:asciiTheme="minorHAnsi" w:hAnsiTheme="minorHAnsi"/>
          <w:sz w:val="24"/>
          <w:szCs w:val="24"/>
        </w:rPr>
        <w:t xml:space="preserve">, where any </w:t>
      </w:r>
      <w:r w:rsidR="0014398D" w:rsidRPr="0014398D">
        <w:rPr>
          <w:rFonts w:asciiTheme="minorHAnsi" w:hAnsiTheme="minorHAnsi"/>
          <w:sz w:val="24"/>
          <w:szCs w:val="24"/>
        </w:rPr>
        <w:t>Interruption that spans multiple calendar days accrues to the day on which the Interruption began</w:t>
      </w:r>
    </w:p>
    <w:p w:rsidR="00C238ED" w:rsidRPr="00837BB4" w:rsidRDefault="00C238ED" w:rsidP="00C238ED">
      <w:pPr>
        <w:pStyle w:val="Quotation"/>
        <w:rPr>
          <w:rFonts w:asciiTheme="minorHAnsi" w:hAnsiTheme="minorHAnsi"/>
          <w:sz w:val="24"/>
          <w:szCs w:val="24"/>
        </w:rPr>
      </w:pPr>
      <w:r w:rsidRPr="00837BB4">
        <w:rPr>
          <w:rFonts w:asciiTheme="minorHAnsi" w:hAnsiTheme="minorHAnsi"/>
          <w:b/>
          <w:sz w:val="24"/>
          <w:szCs w:val="24"/>
        </w:rPr>
        <w:t>SAIFI Assessed Value</w:t>
      </w:r>
      <w:r w:rsidRPr="00837BB4">
        <w:rPr>
          <w:rFonts w:asciiTheme="minorHAnsi" w:hAnsiTheme="minorHAnsi"/>
          <w:sz w:val="24"/>
          <w:szCs w:val="24"/>
        </w:rPr>
        <w:t xml:space="preserve"> means the sum of </w:t>
      </w:r>
      <w:r w:rsidRPr="00CD4177">
        <w:rPr>
          <w:rFonts w:asciiTheme="minorHAnsi" w:hAnsiTheme="minorHAnsi"/>
          <w:strike/>
          <w:color w:val="1F497D" w:themeColor="text2"/>
          <w:sz w:val="24"/>
          <w:szCs w:val="24"/>
        </w:rPr>
        <w:t>adjusted</w:t>
      </w:r>
      <w:r w:rsidRPr="00CD4177">
        <w:rPr>
          <w:rFonts w:asciiTheme="minorHAnsi" w:hAnsiTheme="minorHAnsi"/>
          <w:color w:val="1F497D" w:themeColor="text2"/>
          <w:sz w:val="24"/>
          <w:szCs w:val="24"/>
        </w:rPr>
        <w:t xml:space="preserve"> </w:t>
      </w:r>
      <w:r w:rsidRPr="00837BB4">
        <w:rPr>
          <w:rFonts w:asciiTheme="minorHAnsi" w:hAnsiTheme="minorHAnsi"/>
          <w:sz w:val="24"/>
          <w:szCs w:val="24"/>
        </w:rPr>
        <w:t>SAIFI Values for an Assessment Period calculated in accordance with Schedule</w:t>
      </w:r>
      <w:r w:rsidR="008648F5" w:rsidRPr="00837BB4">
        <w:rPr>
          <w:rFonts w:asciiTheme="minorHAnsi" w:hAnsiTheme="minorHAnsi"/>
          <w:sz w:val="24"/>
          <w:szCs w:val="24"/>
        </w:rPr>
        <w:t xml:space="preserve"> </w:t>
      </w:r>
      <w:r w:rsidR="006735C4">
        <w:rPr>
          <w:rFonts w:asciiTheme="minorHAnsi" w:hAnsiTheme="minorHAnsi"/>
          <w:sz w:val="24"/>
          <w:szCs w:val="24"/>
        </w:rPr>
        <w:t>4</w:t>
      </w:r>
      <w:r w:rsidR="00A11234">
        <w:rPr>
          <w:rFonts w:asciiTheme="minorHAnsi" w:hAnsiTheme="minorHAnsi"/>
          <w:sz w:val="24"/>
          <w:szCs w:val="24"/>
        </w:rPr>
        <w:t>A</w:t>
      </w:r>
    </w:p>
    <w:p w:rsidR="00B53A70" w:rsidRDefault="00B53A70" w:rsidP="00B53A70">
      <w:pPr>
        <w:pStyle w:val="Quotation"/>
        <w:rPr>
          <w:rFonts w:asciiTheme="minorHAnsi" w:hAnsiTheme="minorHAnsi"/>
          <w:sz w:val="24"/>
          <w:szCs w:val="24"/>
        </w:rPr>
      </w:pPr>
      <w:r>
        <w:rPr>
          <w:rFonts w:asciiTheme="minorHAnsi" w:hAnsiTheme="minorHAnsi"/>
          <w:b/>
          <w:sz w:val="24"/>
          <w:szCs w:val="24"/>
        </w:rPr>
        <w:t>SAIFI Cap</w:t>
      </w:r>
      <w:r>
        <w:rPr>
          <w:rFonts w:asciiTheme="minorHAnsi" w:hAnsiTheme="minorHAnsi"/>
          <w:sz w:val="24"/>
          <w:szCs w:val="24"/>
        </w:rPr>
        <w:t xml:space="preserve"> means the maximum SAIFI Value used for purposes of calculating the Quality Incentive Adjustment, and is specified in Schedule </w:t>
      </w:r>
      <w:r w:rsidR="00A11234">
        <w:rPr>
          <w:rFonts w:asciiTheme="minorHAnsi" w:hAnsiTheme="minorHAnsi"/>
          <w:sz w:val="24"/>
          <w:szCs w:val="24"/>
        </w:rPr>
        <w:t>5B</w:t>
      </w:r>
    </w:p>
    <w:p w:rsidR="00B53A70" w:rsidRDefault="00B53A70" w:rsidP="00B53A70">
      <w:pPr>
        <w:pStyle w:val="Quotation"/>
        <w:rPr>
          <w:rFonts w:asciiTheme="minorHAnsi" w:hAnsiTheme="minorHAnsi"/>
          <w:sz w:val="24"/>
          <w:szCs w:val="24"/>
        </w:rPr>
      </w:pPr>
      <w:r>
        <w:rPr>
          <w:rFonts w:asciiTheme="minorHAnsi" w:hAnsiTheme="minorHAnsi"/>
          <w:b/>
          <w:sz w:val="24"/>
          <w:szCs w:val="24"/>
        </w:rPr>
        <w:t>SAIFI Collar</w:t>
      </w:r>
      <w:r>
        <w:rPr>
          <w:rFonts w:asciiTheme="minorHAnsi" w:hAnsiTheme="minorHAnsi"/>
          <w:sz w:val="24"/>
          <w:szCs w:val="24"/>
        </w:rPr>
        <w:t xml:space="preserve"> means the minimum SAIFI Value used for purposes of calculating the Quality Incentive Adjustment, and is specified in Schedule </w:t>
      </w:r>
      <w:r w:rsidR="00A11234">
        <w:rPr>
          <w:rFonts w:asciiTheme="minorHAnsi" w:hAnsiTheme="minorHAnsi"/>
          <w:sz w:val="24"/>
          <w:szCs w:val="24"/>
        </w:rPr>
        <w:t>5B</w:t>
      </w:r>
    </w:p>
    <w:p w:rsidR="00A045EF" w:rsidRDefault="00A045EF" w:rsidP="00A045EF">
      <w:pPr>
        <w:pStyle w:val="Quotation"/>
        <w:rPr>
          <w:rFonts w:asciiTheme="minorHAnsi" w:hAnsiTheme="minorHAnsi"/>
          <w:b/>
          <w:sz w:val="24"/>
          <w:szCs w:val="24"/>
        </w:rPr>
      </w:pPr>
      <w:r>
        <w:rPr>
          <w:rFonts w:asciiTheme="minorHAnsi" w:hAnsiTheme="minorHAnsi"/>
          <w:b/>
          <w:sz w:val="24"/>
          <w:szCs w:val="24"/>
        </w:rPr>
        <w:t>SAI</w:t>
      </w:r>
      <w:r w:rsidR="00762493">
        <w:rPr>
          <w:rFonts w:asciiTheme="minorHAnsi" w:hAnsiTheme="minorHAnsi"/>
          <w:b/>
          <w:sz w:val="24"/>
          <w:szCs w:val="24"/>
        </w:rPr>
        <w:t>F</w:t>
      </w:r>
      <w:r>
        <w:rPr>
          <w:rFonts w:asciiTheme="minorHAnsi" w:hAnsiTheme="minorHAnsi"/>
          <w:b/>
          <w:sz w:val="24"/>
          <w:szCs w:val="24"/>
        </w:rPr>
        <w:t xml:space="preserve">I Limit </w:t>
      </w:r>
      <w:r w:rsidRPr="00837BB4">
        <w:rPr>
          <w:rFonts w:asciiTheme="minorHAnsi" w:hAnsiTheme="minorHAnsi"/>
          <w:sz w:val="24"/>
          <w:szCs w:val="24"/>
        </w:rPr>
        <w:t xml:space="preserve">means, for a Non-exempt EDB, the </w:t>
      </w:r>
      <w:r w:rsidRPr="00EE5803">
        <w:rPr>
          <w:sz w:val="24"/>
          <w:szCs w:val="24"/>
        </w:rPr>
        <w:t>SAI</w:t>
      </w:r>
      <w:r>
        <w:rPr>
          <w:sz w:val="24"/>
          <w:szCs w:val="24"/>
        </w:rPr>
        <w:t>F</w:t>
      </w:r>
      <w:r w:rsidRPr="00EE5803">
        <w:rPr>
          <w:sz w:val="24"/>
          <w:szCs w:val="24"/>
        </w:rPr>
        <w:t>I</w:t>
      </w:r>
      <w:r>
        <w:rPr>
          <w:sz w:val="24"/>
          <w:szCs w:val="24"/>
        </w:rPr>
        <w:t xml:space="preserve"> Value</w:t>
      </w:r>
      <w:r w:rsidRPr="00EE5803">
        <w:rPr>
          <w:sz w:val="24"/>
          <w:szCs w:val="24"/>
        </w:rPr>
        <w:t xml:space="preserve"> against which a Non-exempt EDB’s </w:t>
      </w:r>
      <w:r>
        <w:rPr>
          <w:sz w:val="24"/>
          <w:szCs w:val="24"/>
        </w:rPr>
        <w:t>compliance with the quality standards</w:t>
      </w:r>
      <w:r w:rsidRPr="00EE5803">
        <w:rPr>
          <w:sz w:val="24"/>
          <w:szCs w:val="24"/>
        </w:rPr>
        <w:t xml:space="preserve"> is assessed</w:t>
      </w:r>
      <w:r w:rsidRPr="00837BB4">
        <w:rPr>
          <w:rFonts w:asciiTheme="minorHAnsi" w:hAnsiTheme="minorHAnsi"/>
          <w:sz w:val="24"/>
          <w:szCs w:val="24"/>
        </w:rPr>
        <w:t xml:space="preserve">, </w:t>
      </w:r>
      <w:r>
        <w:rPr>
          <w:rFonts w:asciiTheme="minorHAnsi" w:hAnsiTheme="minorHAnsi"/>
          <w:sz w:val="24"/>
          <w:szCs w:val="24"/>
        </w:rPr>
        <w:t>and i</w:t>
      </w:r>
      <w:r w:rsidRPr="00837BB4">
        <w:rPr>
          <w:rFonts w:asciiTheme="minorHAnsi" w:hAnsiTheme="minorHAnsi"/>
          <w:sz w:val="24"/>
          <w:szCs w:val="24"/>
        </w:rPr>
        <w:t xml:space="preserve">s specified in Schedule </w:t>
      </w:r>
      <w:r>
        <w:rPr>
          <w:rFonts w:asciiTheme="minorHAnsi" w:hAnsiTheme="minorHAnsi"/>
          <w:sz w:val="24"/>
          <w:szCs w:val="24"/>
        </w:rPr>
        <w:t>4</w:t>
      </w:r>
      <w:r w:rsidR="00A11234">
        <w:rPr>
          <w:rFonts w:asciiTheme="minorHAnsi" w:hAnsiTheme="minorHAnsi"/>
          <w:sz w:val="24"/>
          <w:szCs w:val="24"/>
        </w:rPr>
        <w:t>A</w:t>
      </w:r>
    </w:p>
    <w:p w:rsidR="00295C27" w:rsidRPr="00C238ED" w:rsidRDefault="00A045EF" w:rsidP="00C238ED">
      <w:pPr>
        <w:pStyle w:val="Quotation"/>
        <w:rPr>
          <w:rFonts w:asciiTheme="minorHAnsi" w:hAnsiTheme="minorHAnsi"/>
          <w:sz w:val="24"/>
          <w:szCs w:val="24"/>
        </w:rPr>
      </w:pPr>
      <w:r w:rsidRPr="00837BB4">
        <w:rPr>
          <w:rFonts w:asciiTheme="minorHAnsi" w:hAnsiTheme="minorHAnsi"/>
          <w:b/>
          <w:sz w:val="24"/>
          <w:szCs w:val="24"/>
        </w:rPr>
        <w:t>SAI</w:t>
      </w:r>
      <w:r>
        <w:rPr>
          <w:rFonts w:asciiTheme="minorHAnsi" w:hAnsiTheme="minorHAnsi"/>
          <w:b/>
          <w:sz w:val="24"/>
          <w:szCs w:val="24"/>
        </w:rPr>
        <w:t>F</w:t>
      </w:r>
      <w:r w:rsidRPr="00837BB4">
        <w:rPr>
          <w:rFonts w:asciiTheme="minorHAnsi" w:hAnsiTheme="minorHAnsi"/>
          <w:b/>
          <w:sz w:val="24"/>
          <w:szCs w:val="24"/>
        </w:rPr>
        <w:t>I Target</w:t>
      </w:r>
      <w:r w:rsidRPr="00837BB4">
        <w:rPr>
          <w:rFonts w:asciiTheme="minorHAnsi" w:hAnsiTheme="minorHAnsi"/>
          <w:sz w:val="24"/>
          <w:szCs w:val="24"/>
        </w:rPr>
        <w:t xml:space="preserve"> means</w:t>
      </w:r>
      <w:r w:rsidRPr="00A045EF">
        <w:rPr>
          <w:rFonts w:asciiTheme="minorHAnsi" w:hAnsiTheme="minorHAnsi"/>
          <w:sz w:val="24"/>
          <w:szCs w:val="24"/>
        </w:rPr>
        <w:t xml:space="preserve"> </w:t>
      </w:r>
      <w:r>
        <w:rPr>
          <w:rFonts w:asciiTheme="minorHAnsi" w:hAnsiTheme="minorHAnsi"/>
          <w:sz w:val="24"/>
          <w:szCs w:val="24"/>
        </w:rPr>
        <w:t xml:space="preserve">the SAIFI Value used for purposes of calculating the Quality Incentive Adjustment, and is specified in Schedule </w:t>
      </w:r>
      <w:r w:rsidR="00A11234">
        <w:rPr>
          <w:rFonts w:asciiTheme="minorHAnsi" w:hAnsiTheme="minorHAnsi"/>
          <w:sz w:val="24"/>
          <w:szCs w:val="24"/>
        </w:rPr>
        <w:t>5B</w:t>
      </w:r>
    </w:p>
    <w:p w:rsidR="00A11234" w:rsidRPr="00C238ED" w:rsidRDefault="00A11234" w:rsidP="00A11234">
      <w:pPr>
        <w:pStyle w:val="Quotation"/>
        <w:rPr>
          <w:rFonts w:asciiTheme="minorHAnsi" w:hAnsiTheme="minorHAnsi"/>
          <w:sz w:val="24"/>
          <w:szCs w:val="24"/>
        </w:rPr>
      </w:pPr>
      <w:r w:rsidRPr="003951AE">
        <w:rPr>
          <w:rFonts w:asciiTheme="minorHAnsi" w:hAnsiTheme="minorHAnsi"/>
          <w:b/>
          <w:sz w:val="24"/>
          <w:szCs w:val="24"/>
        </w:rPr>
        <w:t>SAIFI</w:t>
      </w:r>
      <w:r>
        <w:rPr>
          <w:rFonts w:asciiTheme="minorHAnsi" w:hAnsiTheme="minorHAnsi"/>
          <w:b/>
          <w:sz w:val="24"/>
          <w:szCs w:val="24"/>
        </w:rPr>
        <w:t xml:space="preserve"> Unplanned</w:t>
      </w:r>
      <w:r w:rsidRPr="003951AE">
        <w:rPr>
          <w:rFonts w:asciiTheme="minorHAnsi" w:hAnsiTheme="minorHAnsi"/>
          <w:b/>
          <w:sz w:val="24"/>
          <w:szCs w:val="24"/>
        </w:rPr>
        <w:t xml:space="preserve"> Boundary Value</w:t>
      </w:r>
      <w:r w:rsidRPr="003951AE">
        <w:rPr>
          <w:rFonts w:asciiTheme="minorHAnsi" w:hAnsiTheme="minorHAnsi"/>
          <w:sz w:val="24"/>
          <w:szCs w:val="24"/>
        </w:rPr>
        <w:t xml:space="preserve"> means the value specified in Schedule </w:t>
      </w:r>
      <w:r>
        <w:rPr>
          <w:rFonts w:asciiTheme="minorHAnsi" w:hAnsiTheme="minorHAnsi"/>
          <w:sz w:val="24"/>
          <w:szCs w:val="24"/>
        </w:rPr>
        <w:t>4A</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SAIFI Value</w:t>
      </w:r>
      <w:r w:rsidRPr="00C238ED">
        <w:rPr>
          <w:rFonts w:asciiTheme="minorHAnsi" w:hAnsiTheme="minorHAnsi"/>
          <w:sz w:val="24"/>
          <w:szCs w:val="24"/>
        </w:rPr>
        <w:t xml:space="preserve"> means the system average interruption frequency index values </w:t>
      </w:r>
    </w:p>
    <w:p w:rsidR="00C238ED" w:rsidRPr="00C238ED" w:rsidRDefault="00C238ED" w:rsidP="00C238ED">
      <w:pPr>
        <w:pStyle w:val="Quotation"/>
        <w:rPr>
          <w:rFonts w:asciiTheme="minorHAnsi" w:hAnsiTheme="minorHAnsi"/>
          <w:sz w:val="24"/>
          <w:szCs w:val="24"/>
        </w:rPr>
      </w:pPr>
      <w:r w:rsidRPr="00C238ED">
        <w:rPr>
          <w:rStyle w:val="Emphasis-Bold"/>
          <w:rFonts w:asciiTheme="minorHAnsi" w:hAnsiTheme="minorHAnsi"/>
          <w:sz w:val="24"/>
          <w:szCs w:val="24"/>
        </w:rPr>
        <w:t>System Fixed Assets</w:t>
      </w:r>
      <w:r w:rsidRPr="00C238ED">
        <w:rPr>
          <w:rFonts w:asciiTheme="minorHAnsi" w:hAnsiTheme="minorHAnsi"/>
          <w:sz w:val="24"/>
          <w:szCs w:val="24"/>
        </w:rPr>
        <w:t xml:space="preserve"> means all fixed assets owned, provided, maintained, or operated by a Non-exempt EDB that are used or intended to be used for the supply of Electricity Lines Services</w:t>
      </w:r>
    </w:p>
    <w:p w:rsidR="00C238ED" w:rsidRPr="00C238ED" w:rsidRDefault="00C238ED" w:rsidP="00C238ED">
      <w:pPr>
        <w:pStyle w:val="Quotation"/>
        <w:rPr>
          <w:rFonts w:asciiTheme="minorHAnsi" w:hAnsiTheme="minorHAnsi"/>
          <w:sz w:val="24"/>
          <w:szCs w:val="24"/>
        </w:rPr>
      </w:pPr>
      <w:r w:rsidRPr="00C238ED">
        <w:rPr>
          <w:rFonts w:asciiTheme="minorHAnsi" w:hAnsiTheme="minorHAnsi"/>
          <w:b/>
          <w:sz w:val="24"/>
          <w:szCs w:val="24"/>
        </w:rPr>
        <w:t>Transmission Asset Wash-up Adjustment</w:t>
      </w:r>
      <w:r w:rsidRPr="00C238ED">
        <w:rPr>
          <w:rFonts w:asciiTheme="minorHAnsi" w:hAnsiTheme="minorHAnsi"/>
          <w:sz w:val="24"/>
          <w:szCs w:val="24"/>
        </w:rPr>
        <w:t xml:space="preserve"> has the same meaning as given in clause 1.1.4(2) of the IM Determination</w:t>
      </w:r>
      <w:r w:rsidR="0069105B">
        <w:rPr>
          <w:rFonts w:asciiTheme="minorHAnsi" w:hAnsiTheme="minorHAnsi"/>
          <w:sz w:val="24"/>
          <w:szCs w:val="24"/>
        </w:rPr>
        <w:t>, and is specified in</w:t>
      </w:r>
      <w:r w:rsidR="003D0C9B">
        <w:rPr>
          <w:rFonts w:asciiTheme="minorHAnsi" w:hAnsiTheme="minorHAnsi"/>
          <w:sz w:val="24"/>
          <w:szCs w:val="24"/>
        </w:rPr>
        <w:t xml:space="preserve"> </w:t>
      </w:r>
      <w:r w:rsidR="0069105B" w:rsidRPr="003D0C9B">
        <w:rPr>
          <w:rFonts w:asciiTheme="minorHAnsi" w:hAnsiTheme="minorHAnsi"/>
          <w:sz w:val="24"/>
          <w:szCs w:val="24"/>
        </w:rPr>
        <w:t>Schedule 5</w:t>
      </w:r>
      <w:r w:rsidR="00FF0D8F">
        <w:rPr>
          <w:rFonts w:asciiTheme="minorHAnsi" w:hAnsiTheme="minorHAnsi"/>
          <w:sz w:val="24"/>
          <w:szCs w:val="24"/>
        </w:rPr>
        <w:t>F</w:t>
      </w:r>
    </w:p>
    <w:p w:rsidR="00C238ED" w:rsidRPr="00C238ED" w:rsidRDefault="00C238ED" w:rsidP="00C238ED">
      <w:pPr>
        <w:pStyle w:val="Quotation"/>
        <w:rPr>
          <w:rStyle w:val="Emphasis-Bold"/>
          <w:rFonts w:asciiTheme="minorHAnsi" w:hAnsiTheme="minorHAnsi"/>
          <w:b w:val="0"/>
          <w:sz w:val="24"/>
          <w:szCs w:val="24"/>
        </w:rPr>
      </w:pPr>
      <w:r w:rsidRPr="00C238ED">
        <w:rPr>
          <w:rStyle w:val="Emphasis-Bold"/>
          <w:rFonts w:asciiTheme="minorHAnsi" w:hAnsiTheme="minorHAnsi"/>
          <w:sz w:val="24"/>
          <w:szCs w:val="24"/>
        </w:rPr>
        <w:t xml:space="preserve">Transmission Pricing Methodology </w:t>
      </w:r>
      <w:r w:rsidRPr="00C238ED">
        <w:rPr>
          <w:rStyle w:val="Emphasis-Bold"/>
          <w:rFonts w:asciiTheme="minorHAnsi" w:hAnsiTheme="minorHAnsi"/>
          <w:b w:val="0"/>
          <w:sz w:val="24"/>
          <w:szCs w:val="24"/>
        </w:rPr>
        <w:t xml:space="preserve">means the methodology determined by the Electricity Authority </w:t>
      </w:r>
      <w:r w:rsidR="00EE5803">
        <w:rPr>
          <w:rStyle w:val="Emphasis-Bold"/>
          <w:rFonts w:asciiTheme="minorHAnsi" w:hAnsiTheme="minorHAnsi"/>
          <w:b w:val="0"/>
          <w:sz w:val="24"/>
          <w:szCs w:val="24"/>
        </w:rPr>
        <w:t>that specifies</w:t>
      </w:r>
      <w:r w:rsidR="00EE5803" w:rsidRPr="00C238ED">
        <w:rPr>
          <w:rStyle w:val="Emphasis-Bold"/>
          <w:rFonts w:asciiTheme="minorHAnsi" w:hAnsiTheme="minorHAnsi"/>
          <w:b w:val="0"/>
          <w:sz w:val="24"/>
          <w:szCs w:val="24"/>
        </w:rPr>
        <w:t xml:space="preserve"> </w:t>
      </w:r>
      <w:r w:rsidRPr="00C238ED">
        <w:rPr>
          <w:rStyle w:val="Emphasis-Bold"/>
          <w:rFonts w:asciiTheme="minorHAnsi" w:hAnsiTheme="minorHAnsi"/>
          <w:b w:val="0"/>
          <w:sz w:val="24"/>
          <w:szCs w:val="24"/>
        </w:rPr>
        <w:t xml:space="preserve">how </w:t>
      </w:r>
      <w:proofErr w:type="spellStart"/>
      <w:r w:rsidRPr="00C238ED">
        <w:rPr>
          <w:rStyle w:val="Emphasis-Bold"/>
          <w:rFonts w:asciiTheme="minorHAnsi" w:hAnsiTheme="minorHAnsi"/>
          <w:b w:val="0"/>
          <w:sz w:val="24"/>
          <w:szCs w:val="24"/>
        </w:rPr>
        <w:t>Transpower’s</w:t>
      </w:r>
      <w:proofErr w:type="spellEnd"/>
      <w:r w:rsidRPr="00C238ED">
        <w:rPr>
          <w:rStyle w:val="Emphasis-Bold"/>
          <w:rFonts w:asciiTheme="minorHAnsi" w:hAnsiTheme="minorHAnsi"/>
          <w:b w:val="0"/>
          <w:sz w:val="24"/>
          <w:szCs w:val="24"/>
        </w:rPr>
        <w:t xml:space="preserve"> charges for its services are allocated and who is to be charged</w:t>
      </w:r>
    </w:p>
    <w:p w:rsidR="00C238ED" w:rsidRPr="00C238ED" w:rsidRDefault="00C238ED" w:rsidP="00C238ED">
      <w:pPr>
        <w:pStyle w:val="Quotation"/>
        <w:rPr>
          <w:rFonts w:asciiTheme="minorHAnsi" w:hAnsiTheme="minorHAnsi"/>
        </w:rPr>
      </w:pPr>
      <w:r w:rsidRPr="00C238ED">
        <w:rPr>
          <w:rStyle w:val="Emphasis-Bold"/>
          <w:rFonts w:asciiTheme="minorHAnsi" w:hAnsiTheme="minorHAnsi"/>
          <w:sz w:val="24"/>
          <w:szCs w:val="24"/>
        </w:rPr>
        <w:t>Transpower</w:t>
      </w:r>
      <w:r w:rsidRPr="00C238ED">
        <w:rPr>
          <w:rFonts w:asciiTheme="minorHAnsi" w:hAnsiTheme="minorHAnsi"/>
          <w:sz w:val="24"/>
          <w:szCs w:val="24"/>
        </w:rPr>
        <w:t xml:space="preserve"> has the meaning set out in section 54B of the Act</w:t>
      </w:r>
    </w:p>
    <w:p w:rsidR="00C238ED" w:rsidRDefault="00C238ED" w:rsidP="00C238ED">
      <w:pPr>
        <w:pStyle w:val="Quotation"/>
        <w:rPr>
          <w:rFonts w:asciiTheme="minorHAnsi" w:hAnsiTheme="minorHAnsi"/>
          <w:sz w:val="24"/>
          <w:szCs w:val="24"/>
        </w:rPr>
      </w:pPr>
      <w:r w:rsidRPr="00C238ED">
        <w:rPr>
          <w:rFonts w:asciiTheme="minorHAnsi" w:hAnsiTheme="minorHAnsi"/>
          <w:b/>
          <w:sz w:val="24"/>
          <w:szCs w:val="24"/>
        </w:rPr>
        <w:t xml:space="preserve">Unplanned Interruption </w:t>
      </w:r>
      <w:r w:rsidRPr="00C238ED">
        <w:rPr>
          <w:rFonts w:asciiTheme="minorHAnsi" w:hAnsiTheme="minorHAnsi"/>
          <w:sz w:val="24"/>
          <w:szCs w:val="24"/>
        </w:rPr>
        <w:t>means any Interruption in respect of which less than 24 hours’ notice, or no notice, was given either to the public or to all Consumers affected by the Interruption</w:t>
      </w:r>
    </w:p>
    <w:p w:rsidR="00837BB4" w:rsidRPr="00837BB4" w:rsidRDefault="00837BB4" w:rsidP="00C238ED">
      <w:pPr>
        <w:pStyle w:val="Quotation"/>
        <w:rPr>
          <w:rFonts w:asciiTheme="minorHAnsi" w:hAnsiTheme="minorHAnsi"/>
          <w:sz w:val="24"/>
          <w:szCs w:val="24"/>
        </w:rPr>
      </w:pPr>
      <w:r>
        <w:rPr>
          <w:rFonts w:asciiTheme="minorHAnsi" w:hAnsiTheme="minorHAnsi"/>
          <w:b/>
          <w:sz w:val="24"/>
          <w:szCs w:val="24"/>
        </w:rPr>
        <w:t>Working Day</w:t>
      </w:r>
      <w:r>
        <w:rPr>
          <w:rFonts w:asciiTheme="minorHAnsi" w:hAnsiTheme="minorHAnsi"/>
          <w:sz w:val="24"/>
          <w:szCs w:val="24"/>
        </w:rPr>
        <w:t xml:space="preserve"> has the meaning given in section 2(1) of the Act</w:t>
      </w:r>
      <w:r w:rsidR="00E01D02">
        <w:rPr>
          <w:rFonts w:asciiTheme="minorHAnsi" w:hAnsiTheme="minorHAnsi"/>
          <w:sz w:val="24"/>
          <w:szCs w:val="24"/>
        </w:rPr>
        <w:t>.</w:t>
      </w:r>
    </w:p>
    <w:p w:rsidR="00C51334" w:rsidRDefault="00C51334">
      <w:pPr>
        <w:rPr>
          <w:b/>
          <w:szCs w:val="24"/>
        </w:rPr>
      </w:pPr>
      <w:bookmarkStart w:id="4" w:name="_Ref392777030"/>
      <w:r>
        <w:rPr>
          <w:szCs w:val="24"/>
        </w:rPr>
        <w:br w:type="page"/>
      </w:r>
    </w:p>
    <w:p w:rsidR="003B0678" w:rsidRPr="00F337D6" w:rsidRDefault="003B0678" w:rsidP="003B0678">
      <w:pPr>
        <w:pStyle w:val="ClauseTitle"/>
        <w:rPr>
          <w:szCs w:val="24"/>
        </w:rPr>
      </w:pPr>
      <w:r w:rsidRPr="00F337D6">
        <w:rPr>
          <w:szCs w:val="24"/>
        </w:rPr>
        <w:lastRenderedPageBreak/>
        <w:t>Default / customised price-quality path</w:t>
      </w:r>
      <w:bookmarkEnd w:id="4"/>
    </w:p>
    <w:p w:rsidR="003B0678" w:rsidRPr="00F337D6" w:rsidRDefault="003B0678" w:rsidP="00C51334">
      <w:pPr>
        <w:pStyle w:val="Subclause1"/>
        <w:numPr>
          <w:ilvl w:val="0"/>
          <w:numId w:val="0"/>
        </w:numPr>
        <w:ind w:left="709"/>
      </w:pPr>
      <w:r w:rsidRPr="00F337D6">
        <w:t>During a Regulatory Period or CPP Regulatory Period, every Non-exempt EDB must comply with the price-quality path, which consists of:</w:t>
      </w:r>
    </w:p>
    <w:p w:rsidR="003B0678" w:rsidRPr="0069105B" w:rsidRDefault="003B0678" w:rsidP="00B87C77">
      <w:pPr>
        <w:pStyle w:val="Subclause2"/>
        <w:numPr>
          <w:ilvl w:val="0"/>
          <w:numId w:val="46"/>
        </w:numPr>
        <w:ind w:left="1418" w:hanging="709"/>
      </w:pPr>
      <w:r w:rsidRPr="0069105B">
        <w:t>the price path specified in clause 8; and</w:t>
      </w:r>
    </w:p>
    <w:p w:rsidR="003B0678" w:rsidRPr="00F337D6" w:rsidRDefault="003B0678" w:rsidP="008D2869">
      <w:pPr>
        <w:pStyle w:val="Subclause2"/>
        <w:ind w:left="1418" w:hanging="709"/>
      </w:pPr>
      <w:proofErr w:type="gramStart"/>
      <w:r w:rsidRPr="0069105B">
        <w:t>the</w:t>
      </w:r>
      <w:proofErr w:type="gramEnd"/>
      <w:r w:rsidRPr="0069105B">
        <w:t xml:space="preserve"> quality standards specified in clause 9.</w:t>
      </w:r>
    </w:p>
    <w:p w:rsidR="003B0678" w:rsidRPr="00F337D6" w:rsidRDefault="004C5CE5" w:rsidP="004C5CE5">
      <w:pPr>
        <w:pStyle w:val="ClauseTitle"/>
        <w:rPr>
          <w:szCs w:val="24"/>
        </w:rPr>
      </w:pPr>
      <w:bookmarkStart w:id="5" w:name="_Ref392777106"/>
      <w:bookmarkStart w:id="6" w:name="_Ref392850095"/>
      <w:r w:rsidRPr="00F337D6">
        <w:rPr>
          <w:szCs w:val="24"/>
        </w:rPr>
        <w:t>Applicable input methodologies</w:t>
      </w:r>
      <w:bookmarkEnd w:id="5"/>
      <w:bookmarkEnd w:id="6"/>
    </w:p>
    <w:p w:rsidR="004C5CE5" w:rsidRPr="00F337D6" w:rsidRDefault="004C5CE5" w:rsidP="00802375">
      <w:pPr>
        <w:pStyle w:val="Subclause1"/>
        <w:tabs>
          <w:tab w:val="clear" w:pos="1418"/>
        </w:tabs>
        <w:ind w:left="709"/>
      </w:pPr>
      <w:r w:rsidRPr="00F337D6">
        <w:t>The input methodologies that are applied through this determination are the following parts of the IM Determination:</w:t>
      </w:r>
    </w:p>
    <w:p w:rsidR="004C5CE5" w:rsidRPr="00F337D6" w:rsidRDefault="004C5CE5" w:rsidP="00B87C77">
      <w:pPr>
        <w:pStyle w:val="Subclause2"/>
        <w:numPr>
          <w:ilvl w:val="0"/>
          <w:numId w:val="47"/>
        </w:numPr>
        <w:ind w:left="1418" w:hanging="709"/>
      </w:pPr>
      <w:r w:rsidRPr="00F337D6">
        <w:t>Subpart 1 of Part 3 – specification of price;</w:t>
      </w:r>
    </w:p>
    <w:p w:rsidR="004C5CE5" w:rsidRPr="00F337D6" w:rsidRDefault="004C5CE5" w:rsidP="008D2869">
      <w:pPr>
        <w:pStyle w:val="Subclause2"/>
        <w:ind w:left="1418" w:hanging="709"/>
      </w:pPr>
      <w:r w:rsidRPr="00F337D6">
        <w:t>Subpart 2 of Part 3 – amalgamations;</w:t>
      </w:r>
    </w:p>
    <w:p w:rsidR="004C5CE5" w:rsidRPr="00F337D6" w:rsidRDefault="004C5CE5" w:rsidP="008D2869">
      <w:pPr>
        <w:pStyle w:val="Subclause2"/>
        <w:ind w:left="1418" w:hanging="709"/>
      </w:pPr>
      <w:r w:rsidRPr="00F337D6">
        <w:t xml:space="preserve">Subpart 3 of Part 3 – </w:t>
      </w:r>
      <w:r w:rsidR="007619F1">
        <w:t>i</w:t>
      </w:r>
      <w:r w:rsidRPr="00F337D6">
        <w:t xml:space="preserve">ncremental </w:t>
      </w:r>
      <w:r w:rsidR="007619F1">
        <w:t>r</w:t>
      </w:r>
      <w:r w:rsidR="007619F1" w:rsidRPr="00F337D6">
        <w:t xml:space="preserve">olling </w:t>
      </w:r>
      <w:r w:rsidR="007619F1">
        <w:t>i</w:t>
      </w:r>
      <w:r w:rsidR="007619F1" w:rsidRPr="00F337D6">
        <w:t xml:space="preserve">ncentive </w:t>
      </w:r>
      <w:r w:rsidR="007619F1">
        <w:t>s</w:t>
      </w:r>
      <w:r w:rsidR="007619F1" w:rsidRPr="00F337D6">
        <w:t>cheme</w:t>
      </w:r>
      <w:r w:rsidRPr="00F337D6">
        <w:t>;</w:t>
      </w:r>
    </w:p>
    <w:p w:rsidR="004C5CE5" w:rsidRPr="00F337D6" w:rsidRDefault="004C5CE5" w:rsidP="008D2869">
      <w:pPr>
        <w:pStyle w:val="Subclause2"/>
        <w:ind w:left="1418" w:hanging="709"/>
      </w:pPr>
      <w:r w:rsidRPr="00F337D6">
        <w:t>Subpart 1 of Part 4 – cost allocation;</w:t>
      </w:r>
    </w:p>
    <w:p w:rsidR="004C5CE5" w:rsidRPr="00F337D6" w:rsidRDefault="004C5CE5" w:rsidP="008D2869">
      <w:pPr>
        <w:pStyle w:val="Subclause2"/>
        <w:ind w:left="1418" w:hanging="709"/>
      </w:pPr>
      <w:r w:rsidRPr="00F337D6">
        <w:t>Subpart 2 of Part 4 – asset valuation;</w:t>
      </w:r>
    </w:p>
    <w:p w:rsidR="004C5CE5" w:rsidRPr="00F337D6" w:rsidRDefault="004C5CE5" w:rsidP="008D2869">
      <w:pPr>
        <w:pStyle w:val="Subclause2"/>
        <w:ind w:left="1418" w:hanging="709"/>
      </w:pPr>
      <w:r w:rsidRPr="00F337D6">
        <w:t>Subpart 3 of Part 4 – treatment of taxation;</w:t>
      </w:r>
    </w:p>
    <w:p w:rsidR="004C5CE5" w:rsidRPr="00F337D6" w:rsidRDefault="004C5CE5" w:rsidP="008D2869">
      <w:pPr>
        <w:pStyle w:val="Subclause2"/>
        <w:ind w:left="1418" w:hanging="709"/>
      </w:pPr>
      <w:r w:rsidRPr="00F337D6">
        <w:t>Subpart 4 of Part 4 – cost of capital;</w:t>
      </w:r>
    </w:p>
    <w:p w:rsidR="004C5CE5" w:rsidRPr="00F337D6" w:rsidRDefault="004C5CE5" w:rsidP="008D2869">
      <w:pPr>
        <w:pStyle w:val="Subclause2"/>
        <w:ind w:left="1418" w:hanging="709"/>
      </w:pPr>
      <w:r w:rsidRPr="00F337D6">
        <w:t>Subpart 5 of Part 4 – reconsideration of the default price-quality path;</w:t>
      </w:r>
    </w:p>
    <w:p w:rsidR="00D141C9" w:rsidRDefault="004C5CE5" w:rsidP="008D2869">
      <w:pPr>
        <w:pStyle w:val="Subclause2"/>
        <w:ind w:left="1418" w:hanging="709"/>
      </w:pPr>
      <w:r w:rsidRPr="00DA5CFE">
        <w:t>Subpart 6 of Part 4 – treatment of periods that are not 12 month periods</w:t>
      </w:r>
      <w:r w:rsidR="00D141C9">
        <w:t>; and</w:t>
      </w:r>
    </w:p>
    <w:p w:rsidR="004C5CE5" w:rsidRPr="00DA5CFE" w:rsidRDefault="00D141C9" w:rsidP="008D2869">
      <w:pPr>
        <w:pStyle w:val="Subclause2"/>
        <w:ind w:left="1418" w:hanging="709"/>
      </w:pPr>
      <w:r>
        <w:t xml:space="preserve">Subpart </w:t>
      </w:r>
      <w:r w:rsidR="00376EE0">
        <w:t>7</w:t>
      </w:r>
      <w:r>
        <w:t xml:space="preserve"> of Part 4 – availability of information</w:t>
      </w:r>
      <w:r w:rsidR="004C5CE5" w:rsidRPr="00DA5CFE">
        <w:t>.</w:t>
      </w:r>
    </w:p>
    <w:p w:rsidR="004C5CE5" w:rsidRPr="00F337D6" w:rsidRDefault="004C5CE5" w:rsidP="004C5CE5">
      <w:pPr>
        <w:pStyle w:val="ClauseTitle"/>
        <w:rPr>
          <w:color w:val="000000"/>
          <w:szCs w:val="24"/>
          <w:lang w:eastAsia="en-NZ"/>
        </w:rPr>
      </w:pPr>
      <w:bookmarkStart w:id="7" w:name="_Ref392777122"/>
      <w:r w:rsidRPr="00F337D6">
        <w:rPr>
          <w:color w:val="000000"/>
          <w:szCs w:val="24"/>
          <w:lang w:eastAsia="en-NZ"/>
        </w:rPr>
        <w:t>Dates for proposing a customised price-quality path</w:t>
      </w:r>
      <w:bookmarkEnd w:id="7"/>
    </w:p>
    <w:p w:rsidR="004C5CE5" w:rsidRPr="00F337D6" w:rsidRDefault="004C5CE5" w:rsidP="00802375">
      <w:pPr>
        <w:pStyle w:val="Subclause1"/>
        <w:tabs>
          <w:tab w:val="clear" w:pos="1418"/>
        </w:tabs>
        <w:ind w:left="709"/>
      </w:pPr>
      <w:r w:rsidRPr="00F337D6">
        <w:t>A Non-exempt EDB may</w:t>
      </w:r>
      <w:r w:rsidR="00837BB4" w:rsidRPr="00F337D6">
        <w:t>, except in the 12 months before the end of the Regulatory Period</w:t>
      </w:r>
      <w:r w:rsidR="00837BB4">
        <w:t>,</w:t>
      </w:r>
      <w:r w:rsidRPr="00F337D6">
        <w:t xml:space="preserve"> submit a proposal for a customised price-quality path to the Commission:</w:t>
      </w:r>
    </w:p>
    <w:p w:rsidR="004C5CE5" w:rsidRPr="00F337D6" w:rsidRDefault="004C5CE5" w:rsidP="00B87C77">
      <w:pPr>
        <w:pStyle w:val="Subclause2"/>
        <w:numPr>
          <w:ilvl w:val="0"/>
          <w:numId w:val="48"/>
        </w:numPr>
        <w:ind w:left="1418" w:hanging="709"/>
      </w:pPr>
      <w:r w:rsidRPr="00F337D6">
        <w:t xml:space="preserve">in the period beginning on the second Monday in February and ending 6 </w:t>
      </w:r>
      <w:r w:rsidR="00D124F3">
        <w:t>Working Days</w:t>
      </w:r>
      <w:r w:rsidRPr="00F337D6">
        <w:t xml:space="preserve"> after;</w:t>
      </w:r>
    </w:p>
    <w:p w:rsidR="004C5CE5" w:rsidRPr="00F337D6" w:rsidRDefault="004C5CE5" w:rsidP="008D2869">
      <w:pPr>
        <w:pStyle w:val="Subclause2"/>
        <w:ind w:left="1418" w:hanging="709"/>
      </w:pPr>
      <w:r w:rsidRPr="00F337D6">
        <w:t xml:space="preserve">in the period beginning on the first Monday of May and ending 6 </w:t>
      </w:r>
      <w:r w:rsidR="00D124F3">
        <w:t>Working Days</w:t>
      </w:r>
      <w:r w:rsidRPr="00F337D6">
        <w:t xml:space="preserve"> after; or</w:t>
      </w:r>
    </w:p>
    <w:p w:rsidR="004C5CE5" w:rsidRPr="00DA5CFE" w:rsidRDefault="004C5CE5" w:rsidP="008D2869">
      <w:pPr>
        <w:pStyle w:val="Subclause2"/>
        <w:ind w:left="1418" w:hanging="709"/>
        <w:rPr>
          <w:color w:val="000000"/>
        </w:rPr>
      </w:pPr>
      <w:proofErr w:type="gramStart"/>
      <w:r w:rsidRPr="00DA5CFE">
        <w:t>within</w:t>
      </w:r>
      <w:proofErr w:type="gramEnd"/>
      <w:r w:rsidRPr="00DA5CFE">
        <w:t xml:space="preserve"> 24 months following a Catastrophic Event.</w:t>
      </w:r>
    </w:p>
    <w:p w:rsidR="00C51334" w:rsidRDefault="00C51334">
      <w:pPr>
        <w:rPr>
          <w:b/>
          <w:szCs w:val="24"/>
          <w:lang w:eastAsia="en-NZ"/>
        </w:rPr>
      </w:pPr>
      <w:bookmarkStart w:id="8" w:name="_Ref392777133"/>
      <w:bookmarkStart w:id="9" w:name="_Ref392850120"/>
      <w:r>
        <w:rPr>
          <w:szCs w:val="24"/>
          <w:lang w:eastAsia="en-NZ"/>
        </w:rPr>
        <w:br w:type="page"/>
      </w:r>
    </w:p>
    <w:p w:rsidR="004C5CE5" w:rsidRPr="00F337D6" w:rsidRDefault="004C5CE5" w:rsidP="004C5CE5">
      <w:pPr>
        <w:pStyle w:val="ClauseTitle"/>
        <w:rPr>
          <w:szCs w:val="24"/>
          <w:lang w:eastAsia="en-NZ"/>
        </w:rPr>
      </w:pPr>
      <w:r w:rsidRPr="00F337D6">
        <w:rPr>
          <w:szCs w:val="24"/>
          <w:lang w:eastAsia="en-NZ"/>
        </w:rPr>
        <w:lastRenderedPageBreak/>
        <w:t xml:space="preserve">Price </w:t>
      </w:r>
      <w:bookmarkEnd w:id="8"/>
      <w:bookmarkEnd w:id="9"/>
      <w:r w:rsidR="00837BB4">
        <w:rPr>
          <w:szCs w:val="24"/>
          <w:lang w:eastAsia="en-NZ"/>
        </w:rPr>
        <w:t>p</w:t>
      </w:r>
      <w:r w:rsidR="00837BB4" w:rsidRPr="00F337D6">
        <w:rPr>
          <w:szCs w:val="24"/>
          <w:lang w:eastAsia="en-NZ"/>
        </w:rPr>
        <w:t>ath</w:t>
      </w:r>
    </w:p>
    <w:p w:rsidR="008648F5" w:rsidRDefault="008648F5" w:rsidP="008648F5">
      <w:pPr>
        <w:pStyle w:val="Clausesectionheadings"/>
      </w:pPr>
      <w:r>
        <w:t>Starting prices</w:t>
      </w:r>
    </w:p>
    <w:p w:rsidR="004C5CE5" w:rsidRPr="0069105B" w:rsidRDefault="004C5CE5" w:rsidP="00802375">
      <w:pPr>
        <w:pStyle w:val="Subclause1"/>
        <w:tabs>
          <w:tab w:val="clear" w:pos="1418"/>
        </w:tabs>
        <w:ind w:left="709"/>
      </w:pPr>
      <w:r w:rsidRPr="00F337D6">
        <w:t xml:space="preserve">The starting </w:t>
      </w:r>
      <w:r w:rsidR="006539A3">
        <w:t xml:space="preserve">Distribution </w:t>
      </w:r>
      <w:r w:rsidRPr="00F337D6">
        <w:t>Prices that apply to a Non-exempt EDB</w:t>
      </w:r>
      <w:r w:rsidR="00B02EF4" w:rsidRPr="00F337D6">
        <w:t>, specified as maximum allowable revenue</w:t>
      </w:r>
      <w:r w:rsidR="00B02EF4">
        <w:t>,</w:t>
      </w:r>
      <w:r w:rsidRPr="00F337D6">
        <w:t xml:space="preserve"> </w:t>
      </w:r>
      <w:r w:rsidR="00B02EF4">
        <w:t>and the</w:t>
      </w:r>
      <w:r w:rsidRPr="00F337D6">
        <w:t xml:space="preserve"> Regulatory Period</w:t>
      </w:r>
      <w:r w:rsidR="0069105B">
        <w:t xml:space="preserve"> or CPP Regulatory Period</w:t>
      </w:r>
      <w:r w:rsidR="00B02EF4">
        <w:t xml:space="preserve"> to which they apply,</w:t>
      </w:r>
      <w:r w:rsidR="008648F5">
        <w:t xml:space="preserve"> are as set </w:t>
      </w:r>
      <w:r w:rsidR="008648F5" w:rsidRPr="0069105B">
        <w:t>out in Schedule 1</w:t>
      </w:r>
      <w:r w:rsidRPr="0069105B">
        <w:t>.</w:t>
      </w:r>
    </w:p>
    <w:p w:rsidR="008648F5" w:rsidRPr="0069105B" w:rsidRDefault="008648F5" w:rsidP="008648F5">
      <w:pPr>
        <w:pStyle w:val="Clausesectionheadings"/>
      </w:pPr>
      <w:r w:rsidRPr="0069105B">
        <w:t>Rates of change</w:t>
      </w:r>
    </w:p>
    <w:p w:rsidR="004B635A" w:rsidRDefault="004C5CE5" w:rsidP="00802375">
      <w:pPr>
        <w:pStyle w:val="Subclause1"/>
        <w:tabs>
          <w:tab w:val="clear" w:pos="1418"/>
        </w:tabs>
        <w:ind w:left="709"/>
      </w:pPr>
      <w:r w:rsidRPr="0069105B">
        <w:t xml:space="preserve">The annual rates of change in </w:t>
      </w:r>
      <w:r w:rsidR="006539A3">
        <w:t xml:space="preserve">Distribution </w:t>
      </w:r>
      <w:r w:rsidRPr="0069105B">
        <w:t xml:space="preserve">Prices </w:t>
      </w:r>
      <w:r w:rsidR="0063484B">
        <w:t xml:space="preserve">relative to CPI </w:t>
      </w:r>
      <w:r w:rsidRPr="0069105B">
        <w:t xml:space="preserve">allowed </w:t>
      </w:r>
      <w:r w:rsidR="0037282C" w:rsidRPr="000C03FB">
        <w:rPr>
          <w:strike/>
        </w:rPr>
        <w:t>by</w:t>
      </w:r>
      <w:r w:rsidR="000C03FB">
        <w:t xml:space="preserve"> </w:t>
      </w:r>
      <w:r w:rsidR="00167932" w:rsidRPr="000C03FB">
        <w:rPr>
          <w:u w:val="single"/>
        </w:rPr>
        <w:t>for</w:t>
      </w:r>
      <w:r w:rsidR="0037282C">
        <w:t xml:space="preserve"> a Non-exempt EDB </w:t>
      </w:r>
      <w:r w:rsidRPr="0069105B">
        <w:t xml:space="preserve">during </w:t>
      </w:r>
      <w:r w:rsidR="0037282C">
        <w:t>a</w:t>
      </w:r>
      <w:r w:rsidR="0037282C" w:rsidRPr="0069105B">
        <w:t xml:space="preserve"> </w:t>
      </w:r>
      <w:r w:rsidRPr="0069105B">
        <w:t xml:space="preserve">Regulatory Period </w:t>
      </w:r>
      <w:r w:rsidR="0069105B" w:rsidRPr="0069105B">
        <w:t xml:space="preserve">or CPP Regulatory </w:t>
      </w:r>
      <w:r w:rsidR="00F16B08">
        <w:t>P</w:t>
      </w:r>
      <w:r w:rsidR="00F16B08" w:rsidRPr="0069105B">
        <w:t xml:space="preserve">eriod </w:t>
      </w:r>
      <w:r w:rsidRPr="0069105B">
        <w:t>are as set out in Schedule</w:t>
      </w:r>
      <w:r w:rsidR="0053469D" w:rsidRPr="0069105B">
        <w:t xml:space="preserve"> </w:t>
      </w:r>
      <w:r w:rsidR="008648F5" w:rsidRPr="0069105B">
        <w:t>2</w:t>
      </w:r>
      <w:r w:rsidRPr="0069105B">
        <w:t>.</w:t>
      </w:r>
    </w:p>
    <w:p w:rsidR="004B635A" w:rsidRDefault="0037282C" w:rsidP="004B635A">
      <w:pPr>
        <w:pStyle w:val="Clausesectionheadings"/>
      </w:pPr>
      <w:r>
        <w:t>Compliance with the price path</w:t>
      </w:r>
    </w:p>
    <w:p w:rsidR="0069105B" w:rsidRDefault="0069105B" w:rsidP="00802375">
      <w:pPr>
        <w:pStyle w:val="Subclause1"/>
        <w:tabs>
          <w:tab w:val="clear" w:pos="1418"/>
        </w:tabs>
        <w:ind w:left="709"/>
      </w:pPr>
      <w:r w:rsidRPr="00F337D6">
        <w:t xml:space="preserve">The </w:t>
      </w:r>
      <w:r w:rsidR="00837BB4">
        <w:t>n</w:t>
      </w:r>
      <w:r w:rsidRPr="00F337D6">
        <w:t xml:space="preserve">otional </w:t>
      </w:r>
      <w:r w:rsidR="00837BB4">
        <w:t>r</w:t>
      </w:r>
      <w:r w:rsidRPr="00F337D6">
        <w:t>evenue of a Non-exempt EDB in an Assessment Period m</w:t>
      </w:r>
      <w:r w:rsidR="00E21201">
        <w:t>ust</w:t>
      </w:r>
      <w:r w:rsidRPr="00F337D6">
        <w:t xml:space="preserve"> not exceed</w:t>
      </w:r>
      <w:r>
        <w:t xml:space="preserve"> the</w:t>
      </w:r>
      <w:r w:rsidRPr="00F337D6">
        <w:t xml:space="preserve"> </w:t>
      </w:r>
      <w:r w:rsidR="00837BB4">
        <w:t>a</w:t>
      </w:r>
      <w:r w:rsidRPr="00F337D6">
        <w:t xml:space="preserve">llowable </w:t>
      </w:r>
      <w:r w:rsidR="00837BB4">
        <w:t>n</w:t>
      </w:r>
      <w:r w:rsidRPr="00F337D6">
        <w:t xml:space="preserve">otional </w:t>
      </w:r>
      <w:r w:rsidR="00837BB4">
        <w:t>r</w:t>
      </w:r>
      <w:r w:rsidRPr="00F337D6">
        <w:t>evenue for the Assessment Period</w:t>
      </w:r>
      <w:r w:rsidR="00837BB4">
        <w:t>, such that:</w:t>
      </w:r>
    </w:p>
    <w:p w:rsidR="00837BB4" w:rsidRPr="007E21B1" w:rsidRDefault="00837BB4" w:rsidP="007722B0">
      <w:pPr>
        <w:pStyle w:val="Subclause1"/>
        <w:numPr>
          <w:ilvl w:val="0"/>
          <w:numId w:val="0"/>
        </w:numPr>
        <w:ind w:left="709"/>
        <w:jc w:val="center"/>
        <w:rPr>
          <w:rFonts w:ascii="Times New Roman" w:hAnsi="Times New Roman"/>
          <w:i/>
        </w:rPr>
      </w:pPr>
      <w:r w:rsidRPr="007E21B1">
        <w:rPr>
          <w:rFonts w:ascii="Times New Roman" w:hAnsi="Times New Roman"/>
          <w:i/>
        </w:rPr>
        <w:t>NR ≤ ANR</w:t>
      </w:r>
    </w:p>
    <w:p w:rsidR="00837BB4" w:rsidRDefault="00113E4A" w:rsidP="006539A3">
      <w:pPr>
        <w:pStyle w:val="Subclause1"/>
        <w:numPr>
          <w:ilvl w:val="0"/>
          <w:numId w:val="0"/>
        </w:numPr>
        <w:ind w:left="709"/>
      </w:pPr>
      <w:proofErr w:type="gramStart"/>
      <w:r>
        <w:t>where-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16"/>
      </w:tblGrid>
      <w:tr w:rsidR="007E21B1" w:rsidRPr="00F337D6" w:rsidTr="007E21B1">
        <w:tc>
          <w:tcPr>
            <w:tcW w:w="709" w:type="dxa"/>
          </w:tcPr>
          <w:p w:rsidR="007E21B1" w:rsidRPr="00F337D6" w:rsidRDefault="007E21B1" w:rsidP="007E21B1">
            <w:pPr>
              <w:pStyle w:val="BodyTextIndent"/>
              <w:ind w:left="0"/>
              <w:rPr>
                <w:rStyle w:val="Emphasis-Italics"/>
                <w:szCs w:val="24"/>
              </w:rPr>
            </w:pPr>
            <w:r w:rsidRPr="007E21B1">
              <w:rPr>
                <w:rFonts w:ascii="Times New Roman" w:hAnsi="Times New Roman"/>
                <w:i/>
              </w:rPr>
              <w:t>NR</w:t>
            </w:r>
          </w:p>
        </w:tc>
        <w:tc>
          <w:tcPr>
            <w:tcW w:w="7716" w:type="dxa"/>
          </w:tcPr>
          <w:p w:rsidR="007E21B1" w:rsidRPr="00F337D6" w:rsidRDefault="007E21B1" w:rsidP="007E21B1">
            <w:pPr>
              <w:pStyle w:val="BodyTextIndent"/>
              <w:ind w:left="-108"/>
              <w:rPr>
                <w:rStyle w:val="Emphasis-Italics"/>
                <w:szCs w:val="24"/>
              </w:rPr>
            </w:pPr>
            <w:r>
              <w:t>is the notional revenue for the Assessment Period, calculated in accordance with clause 8.5</w:t>
            </w:r>
            <w:r w:rsidR="0037282C">
              <w:t>; and</w:t>
            </w:r>
          </w:p>
        </w:tc>
      </w:tr>
      <w:tr w:rsidR="007E21B1" w:rsidRPr="00F337D6" w:rsidTr="007E21B1">
        <w:tc>
          <w:tcPr>
            <w:tcW w:w="709" w:type="dxa"/>
          </w:tcPr>
          <w:p w:rsidR="007E21B1" w:rsidRPr="00F337D6" w:rsidRDefault="007E21B1" w:rsidP="007E21B1">
            <w:pPr>
              <w:pStyle w:val="BodyTextIndent"/>
              <w:ind w:left="0"/>
              <w:rPr>
                <w:rStyle w:val="Emphasis-Italics"/>
                <w:szCs w:val="24"/>
              </w:rPr>
            </w:pPr>
            <w:r w:rsidRPr="007E21B1">
              <w:rPr>
                <w:rFonts w:ascii="Times New Roman" w:hAnsi="Times New Roman"/>
                <w:i/>
              </w:rPr>
              <w:t>ANR</w:t>
            </w:r>
          </w:p>
        </w:tc>
        <w:tc>
          <w:tcPr>
            <w:tcW w:w="7716" w:type="dxa"/>
          </w:tcPr>
          <w:p w:rsidR="007E21B1" w:rsidRPr="00F337D6" w:rsidRDefault="007E21B1" w:rsidP="007E21B1">
            <w:pPr>
              <w:pStyle w:val="BodyTextIndent"/>
              <w:ind w:left="-108"/>
              <w:rPr>
                <w:rStyle w:val="Emphasis-Italics"/>
                <w:szCs w:val="24"/>
              </w:rPr>
            </w:pPr>
            <w:proofErr w:type="gramStart"/>
            <w:r>
              <w:t>is</w:t>
            </w:r>
            <w:proofErr w:type="gramEnd"/>
            <w:r>
              <w:t xml:space="preserve"> the allowable notional revenue for the Assessment Period, calculated in accordance with clause 8.4</w:t>
            </w:r>
            <w:r w:rsidR="0037282C">
              <w:t>.</w:t>
            </w:r>
          </w:p>
        </w:tc>
      </w:tr>
    </w:tbl>
    <w:p w:rsidR="0069105B" w:rsidRPr="007E109A" w:rsidRDefault="0069105B" w:rsidP="0069105B">
      <w:pPr>
        <w:pStyle w:val="Clausesectionheadings"/>
      </w:pPr>
      <w:r w:rsidRPr="007E109A">
        <w:t>How to calculate notional revenue and allowable notional revenue</w:t>
      </w:r>
    </w:p>
    <w:p w:rsidR="004C5CE5" w:rsidRPr="00F337D6" w:rsidRDefault="004C5CE5" w:rsidP="00802375">
      <w:pPr>
        <w:pStyle w:val="Subclause1"/>
        <w:tabs>
          <w:tab w:val="clear" w:pos="1418"/>
        </w:tabs>
        <w:ind w:left="709"/>
      </w:pPr>
      <w:r w:rsidRPr="00F337D6">
        <w:t xml:space="preserve">Allowable </w:t>
      </w:r>
      <w:r w:rsidR="00E21201">
        <w:t>n</w:t>
      </w:r>
      <w:r w:rsidR="00E21201" w:rsidRPr="00F337D6">
        <w:t xml:space="preserve">otional </w:t>
      </w:r>
      <w:r w:rsidR="00E21201">
        <w:t>r</w:t>
      </w:r>
      <w:r w:rsidR="00E21201" w:rsidRPr="00F337D6">
        <w:t xml:space="preserve">evenue </w:t>
      </w:r>
      <w:r w:rsidRPr="00F337D6">
        <w:t xml:space="preserve">specifies the maximum </w:t>
      </w:r>
      <w:r w:rsidR="006539A3">
        <w:t xml:space="preserve">Distribution </w:t>
      </w:r>
      <w:r w:rsidRPr="00F337D6">
        <w:t>Prices that may be charged during an Assessment Period, and is calculated in accordance with the formula –</w:t>
      </w:r>
    </w:p>
    <w:p w:rsidR="00267F10" w:rsidRPr="00E21201" w:rsidRDefault="008648F5" w:rsidP="00B87C77">
      <w:pPr>
        <w:pStyle w:val="Subclause2"/>
        <w:numPr>
          <w:ilvl w:val="0"/>
          <w:numId w:val="55"/>
        </w:numPr>
        <w:ind w:left="1418" w:hanging="709"/>
      </w:pPr>
      <w:r w:rsidRPr="00E21201">
        <w:t xml:space="preserve">in Schedule </w:t>
      </w:r>
      <w:r w:rsidR="006735C4">
        <w:t>3</w:t>
      </w:r>
      <w:r w:rsidR="006735C4" w:rsidRPr="00E21201">
        <w:t xml:space="preserve">A </w:t>
      </w:r>
      <w:r w:rsidR="00267F10" w:rsidRPr="00E21201">
        <w:t>for the first Assessment Period of a Regulatory Period or CPP Regulatory Period; and</w:t>
      </w:r>
    </w:p>
    <w:p w:rsidR="00267F10" w:rsidRPr="00E21201" w:rsidRDefault="00267F10" w:rsidP="002C0254">
      <w:pPr>
        <w:pStyle w:val="Subclause2"/>
        <w:ind w:left="1418" w:hanging="709"/>
      </w:pPr>
      <w:proofErr w:type="gramStart"/>
      <w:r w:rsidRPr="00E21201">
        <w:t>in</w:t>
      </w:r>
      <w:proofErr w:type="gramEnd"/>
      <w:r w:rsidRPr="00E21201">
        <w:t xml:space="preserve"> Schedule </w:t>
      </w:r>
      <w:r w:rsidR="006735C4">
        <w:t>3</w:t>
      </w:r>
      <w:r w:rsidR="006735C4" w:rsidRPr="00E21201">
        <w:t xml:space="preserve">B </w:t>
      </w:r>
      <w:r w:rsidRPr="00E21201">
        <w:t>for all other Assessment Periods.</w:t>
      </w:r>
    </w:p>
    <w:p w:rsidR="00267F10" w:rsidRPr="00F337D6" w:rsidRDefault="0069105B" w:rsidP="00802375">
      <w:pPr>
        <w:pStyle w:val="Subclause1"/>
        <w:tabs>
          <w:tab w:val="clear" w:pos="1418"/>
        </w:tabs>
        <w:ind w:left="709"/>
      </w:pPr>
      <w:r>
        <w:t xml:space="preserve">The </w:t>
      </w:r>
      <w:r w:rsidR="00E21201">
        <w:t>n</w:t>
      </w:r>
      <w:r>
        <w:t>otion</w:t>
      </w:r>
      <w:r w:rsidR="00376EE0">
        <w:t>al</w:t>
      </w:r>
      <w:r>
        <w:t xml:space="preserve"> </w:t>
      </w:r>
      <w:r w:rsidR="00E21201">
        <w:t>r</w:t>
      </w:r>
      <w:r>
        <w:t>evenue of a Non-exempt EDB</w:t>
      </w:r>
      <w:r w:rsidR="00267F10" w:rsidRPr="00F337D6">
        <w:t xml:space="preserve"> is calculated in accordance with the formula –</w:t>
      </w:r>
    </w:p>
    <w:p w:rsidR="00267F10" w:rsidRPr="00F337D6" w:rsidRDefault="004D1C0F" w:rsidP="006356F1">
      <w:pPr>
        <w:pStyle w:val="BodyTextIndent"/>
        <w:jc w:val="center"/>
        <w:rPr>
          <w:szCs w:val="24"/>
        </w:rPr>
      </w:pPr>
      <w:r w:rsidRPr="006539A3">
        <w:rPr>
          <w:position w:val="-28"/>
          <w:szCs w:val="24"/>
        </w:rPr>
        <w:object w:dxaOrig="13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5pt;height:27.55pt" o:ole="">
            <v:imagedata r:id="rId9" o:title=""/>
          </v:shape>
          <o:OLEObject Type="Embed" ProgID="Equation.3" ShapeID="_x0000_i1025" DrawAspect="Content" ObjectID="_1476274110" r:id="rId10"/>
        </w:object>
      </w:r>
    </w:p>
    <w:p w:rsidR="00267F10" w:rsidRPr="00F337D6" w:rsidRDefault="00113E4A" w:rsidP="00267F10">
      <w:pPr>
        <w:pStyle w:val="BodyTextIndent"/>
        <w:rPr>
          <w:szCs w:val="24"/>
        </w:rPr>
      </w:pPr>
      <w:proofErr w:type="gramStart"/>
      <w:r>
        <w:rPr>
          <w:szCs w:val="24"/>
        </w:rPr>
        <w:t>where-</w:t>
      </w:r>
      <w:proofErr w:type="gramEnd"/>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16"/>
      </w:tblGrid>
      <w:tr w:rsidR="00267F10" w:rsidRPr="00F337D6" w:rsidTr="00E07DE1">
        <w:tc>
          <w:tcPr>
            <w:tcW w:w="709" w:type="dxa"/>
          </w:tcPr>
          <w:p w:rsidR="00267F10" w:rsidRPr="00F337D6" w:rsidRDefault="00267F10" w:rsidP="00CA2DB7">
            <w:pPr>
              <w:pStyle w:val="BodyTextIndent"/>
              <w:ind w:left="0"/>
              <w:rPr>
                <w:rStyle w:val="Emphasis-Italics"/>
                <w:szCs w:val="24"/>
              </w:rPr>
            </w:pPr>
            <w:r w:rsidRPr="00F337D6">
              <w:rPr>
                <w:rStyle w:val="Emphasis-Italics"/>
                <w:szCs w:val="24"/>
              </w:rPr>
              <w:t>t</w:t>
            </w:r>
          </w:p>
        </w:tc>
        <w:tc>
          <w:tcPr>
            <w:tcW w:w="7716" w:type="dxa"/>
          </w:tcPr>
          <w:p w:rsidR="00267F10" w:rsidRPr="00F337D6" w:rsidRDefault="007619F1" w:rsidP="00E07DE1">
            <w:pPr>
              <w:pStyle w:val="BodyTextIndent"/>
              <w:ind w:left="34"/>
              <w:rPr>
                <w:rStyle w:val="Emphasis-Italics"/>
                <w:szCs w:val="24"/>
              </w:rPr>
            </w:pPr>
            <w:r w:rsidRPr="002F54CC">
              <w:rPr>
                <w:szCs w:val="24"/>
              </w:rPr>
              <w:t>is the year in which the Assessment Period ends;</w:t>
            </w:r>
          </w:p>
        </w:tc>
      </w:tr>
      <w:tr w:rsidR="00267F10" w:rsidRPr="00F337D6" w:rsidTr="00E07DE1">
        <w:tc>
          <w:tcPr>
            <w:tcW w:w="709" w:type="dxa"/>
          </w:tcPr>
          <w:p w:rsidR="00267F10" w:rsidRPr="00F337D6" w:rsidRDefault="00267F10" w:rsidP="00CA2DB7">
            <w:pPr>
              <w:pStyle w:val="BodyTextIndent"/>
              <w:ind w:left="0"/>
              <w:rPr>
                <w:rStyle w:val="Emphasis-Italics"/>
                <w:szCs w:val="24"/>
              </w:rPr>
            </w:pPr>
            <w:proofErr w:type="spellStart"/>
            <w:r w:rsidRPr="00F337D6">
              <w:rPr>
                <w:rStyle w:val="Emphasis-Italics"/>
                <w:szCs w:val="24"/>
              </w:rPr>
              <w:t>i</w:t>
            </w:r>
            <w:proofErr w:type="spellEnd"/>
          </w:p>
        </w:tc>
        <w:tc>
          <w:tcPr>
            <w:tcW w:w="7716" w:type="dxa"/>
          </w:tcPr>
          <w:p w:rsidR="00267F10" w:rsidRPr="00F337D6" w:rsidRDefault="00267F10" w:rsidP="0037282C">
            <w:pPr>
              <w:pStyle w:val="BodyTextIndent"/>
              <w:ind w:left="34"/>
              <w:rPr>
                <w:rStyle w:val="Emphasis-Italics"/>
                <w:szCs w:val="24"/>
              </w:rPr>
            </w:pPr>
            <w:r w:rsidRPr="00F337D6">
              <w:rPr>
                <w:szCs w:val="24"/>
              </w:rPr>
              <w:t xml:space="preserve">denotes each </w:t>
            </w:r>
            <w:r w:rsidR="006539A3">
              <w:rPr>
                <w:szCs w:val="24"/>
              </w:rPr>
              <w:t xml:space="preserve">Distribution </w:t>
            </w:r>
            <w:r w:rsidRPr="00F337D6">
              <w:rPr>
                <w:szCs w:val="24"/>
              </w:rPr>
              <w:t xml:space="preserve">Price relating to </w:t>
            </w:r>
            <w:r w:rsidR="00B27682" w:rsidRPr="00B27682">
              <w:rPr>
                <w:color w:val="1F497D" w:themeColor="text2"/>
                <w:szCs w:val="24"/>
                <w:u w:val="single"/>
              </w:rPr>
              <w:t>an</w:t>
            </w:r>
            <w:r w:rsidR="00B27682">
              <w:rPr>
                <w:szCs w:val="24"/>
              </w:rPr>
              <w:t xml:space="preserve"> </w:t>
            </w:r>
            <w:r w:rsidRPr="00F337D6">
              <w:rPr>
                <w:szCs w:val="24"/>
              </w:rPr>
              <w:t>Electricity Lines Service</w:t>
            </w:r>
            <w:r w:rsidR="0037282C" w:rsidRPr="00B27682">
              <w:rPr>
                <w:strike/>
                <w:color w:val="1F497D" w:themeColor="text2"/>
                <w:szCs w:val="24"/>
              </w:rPr>
              <w:t>s</w:t>
            </w:r>
            <w:r w:rsidRPr="00F337D6">
              <w:rPr>
                <w:szCs w:val="24"/>
              </w:rPr>
              <w:t>;</w:t>
            </w:r>
          </w:p>
        </w:tc>
      </w:tr>
      <w:tr w:rsidR="00267F10" w:rsidRPr="00F337D6" w:rsidTr="00E07DE1">
        <w:tc>
          <w:tcPr>
            <w:tcW w:w="709" w:type="dxa"/>
          </w:tcPr>
          <w:p w:rsidR="00267F10" w:rsidRPr="00E21201" w:rsidRDefault="006539A3" w:rsidP="00CA2DB7">
            <w:pPr>
              <w:pStyle w:val="BodyTextIndent"/>
              <w:ind w:left="0"/>
              <w:rPr>
                <w:rStyle w:val="Emphasis-Subscript"/>
                <w:i/>
                <w:szCs w:val="24"/>
              </w:rPr>
            </w:pPr>
            <w:proofErr w:type="spellStart"/>
            <w:r>
              <w:rPr>
                <w:i/>
                <w:szCs w:val="24"/>
              </w:rPr>
              <w:lastRenderedPageBreak/>
              <w:t>D</w:t>
            </w:r>
            <w:r w:rsidR="00267F10" w:rsidRPr="00E21201">
              <w:rPr>
                <w:i/>
                <w:szCs w:val="24"/>
              </w:rPr>
              <w:t>P</w:t>
            </w:r>
            <w:r w:rsidR="00267F10" w:rsidRPr="00E21201">
              <w:rPr>
                <w:rStyle w:val="Emphasis-Subscript"/>
                <w:i/>
                <w:szCs w:val="24"/>
              </w:rPr>
              <w:t>i,t</w:t>
            </w:r>
            <w:proofErr w:type="spellEnd"/>
          </w:p>
        </w:tc>
        <w:tc>
          <w:tcPr>
            <w:tcW w:w="7716" w:type="dxa"/>
          </w:tcPr>
          <w:p w:rsidR="00267F10" w:rsidRPr="00F337D6" w:rsidRDefault="00267F10" w:rsidP="00E07DE1">
            <w:pPr>
              <w:pStyle w:val="BodyTextIndent"/>
              <w:ind w:left="34"/>
              <w:rPr>
                <w:szCs w:val="24"/>
              </w:rPr>
            </w:pPr>
            <w:r w:rsidRPr="00F337D6">
              <w:rPr>
                <w:szCs w:val="24"/>
              </w:rPr>
              <w:t xml:space="preserve">is the </w:t>
            </w:r>
            <w:proofErr w:type="spellStart"/>
            <w:r w:rsidRPr="007619F1">
              <w:rPr>
                <w:rStyle w:val="Emphasis-Remove"/>
                <w:i/>
                <w:szCs w:val="24"/>
              </w:rPr>
              <w:t>i</w:t>
            </w:r>
            <w:r w:rsidRPr="007619F1">
              <w:rPr>
                <w:rStyle w:val="Emphasis-Superscript"/>
                <w:i/>
                <w:szCs w:val="24"/>
              </w:rPr>
              <w:t>th</w:t>
            </w:r>
            <w:proofErr w:type="spellEnd"/>
            <w:r w:rsidRPr="00F337D6">
              <w:rPr>
                <w:szCs w:val="24"/>
              </w:rPr>
              <w:t xml:space="preserve"> </w:t>
            </w:r>
            <w:r w:rsidR="006539A3">
              <w:rPr>
                <w:szCs w:val="24"/>
              </w:rPr>
              <w:t xml:space="preserve">Distribution </w:t>
            </w:r>
            <w:r w:rsidRPr="00F337D6">
              <w:rPr>
                <w:szCs w:val="24"/>
              </w:rPr>
              <w:t xml:space="preserve">Price during any part of the Assessment Period </w:t>
            </w:r>
            <w:r w:rsidRPr="006701EF">
              <w:rPr>
                <w:i/>
                <w:szCs w:val="24"/>
              </w:rPr>
              <w:t>t</w:t>
            </w:r>
            <w:r w:rsidRPr="00F337D6">
              <w:rPr>
                <w:szCs w:val="24"/>
              </w:rPr>
              <w:t>;</w:t>
            </w:r>
            <w:r w:rsidR="0037282C">
              <w:rPr>
                <w:szCs w:val="24"/>
              </w:rPr>
              <w:t xml:space="preserve"> and</w:t>
            </w:r>
          </w:p>
        </w:tc>
      </w:tr>
      <w:tr w:rsidR="00267F10" w:rsidRPr="00F337D6" w:rsidTr="00E07DE1">
        <w:tc>
          <w:tcPr>
            <w:tcW w:w="709" w:type="dxa"/>
          </w:tcPr>
          <w:p w:rsidR="00267F10" w:rsidRPr="00E21201" w:rsidRDefault="00267F10" w:rsidP="00CA2DB7">
            <w:pPr>
              <w:pStyle w:val="BodyTextIndent"/>
              <w:ind w:left="0"/>
              <w:rPr>
                <w:rStyle w:val="Emphasis-Subscript"/>
                <w:i/>
                <w:szCs w:val="24"/>
              </w:rPr>
            </w:pPr>
            <w:r w:rsidRPr="00E21201">
              <w:rPr>
                <w:i/>
                <w:szCs w:val="24"/>
              </w:rPr>
              <w:t>Q</w:t>
            </w:r>
            <w:r w:rsidRPr="00E21201">
              <w:rPr>
                <w:rStyle w:val="Emphasis-Subscript"/>
                <w:i/>
                <w:szCs w:val="24"/>
              </w:rPr>
              <w:t>i,t-2</w:t>
            </w:r>
          </w:p>
        </w:tc>
        <w:tc>
          <w:tcPr>
            <w:tcW w:w="7716" w:type="dxa"/>
          </w:tcPr>
          <w:p w:rsidR="00267F10" w:rsidRPr="00F337D6" w:rsidRDefault="007F4EE6" w:rsidP="00094066">
            <w:pPr>
              <w:pStyle w:val="BodyTextIndent"/>
              <w:ind w:left="34"/>
              <w:rPr>
                <w:szCs w:val="24"/>
              </w:rPr>
            </w:pPr>
            <w:r w:rsidRPr="00F337D6">
              <w:rPr>
                <w:szCs w:val="24"/>
              </w:rPr>
              <w:t xml:space="preserve">is the Quantity </w:t>
            </w:r>
            <w:r w:rsidR="00B13982" w:rsidRPr="00B13982">
              <w:rPr>
                <w:color w:val="1F497D" w:themeColor="text2"/>
                <w:szCs w:val="24"/>
                <w:u w:val="single"/>
              </w:rPr>
              <w:t>for the Assessment Period ending two years prior to year t</w:t>
            </w:r>
            <w:r w:rsidR="00B13982">
              <w:rPr>
                <w:szCs w:val="24"/>
              </w:rPr>
              <w:t xml:space="preserve"> </w:t>
            </w:r>
            <w:r w:rsidRPr="00F337D6">
              <w:rPr>
                <w:szCs w:val="24"/>
              </w:rPr>
              <w:t xml:space="preserve">corresponding to the </w:t>
            </w:r>
            <w:proofErr w:type="spellStart"/>
            <w:r w:rsidRPr="00F337D6">
              <w:rPr>
                <w:i/>
                <w:szCs w:val="24"/>
              </w:rPr>
              <w:t>i</w:t>
            </w:r>
            <w:r w:rsidRPr="007619F1">
              <w:rPr>
                <w:i/>
                <w:szCs w:val="24"/>
                <w:vertAlign w:val="superscript"/>
              </w:rPr>
              <w:t>th</w:t>
            </w:r>
            <w:proofErr w:type="spellEnd"/>
            <w:r w:rsidRPr="00F337D6">
              <w:rPr>
                <w:szCs w:val="24"/>
              </w:rPr>
              <w:t xml:space="preserve"> </w:t>
            </w:r>
            <w:r w:rsidR="006539A3">
              <w:rPr>
                <w:szCs w:val="24"/>
              </w:rPr>
              <w:t xml:space="preserve">Distribution </w:t>
            </w:r>
            <w:r w:rsidRPr="00B13982">
              <w:rPr>
                <w:szCs w:val="24"/>
              </w:rPr>
              <w:t>Price</w:t>
            </w:r>
            <w:r w:rsidRPr="00B13982">
              <w:rPr>
                <w:strike/>
                <w:szCs w:val="24"/>
              </w:rPr>
              <w:t xml:space="preserve"> </w:t>
            </w:r>
            <w:r w:rsidRPr="00B13982">
              <w:rPr>
                <w:strike/>
                <w:color w:val="1F497D" w:themeColor="text2"/>
                <w:szCs w:val="24"/>
              </w:rPr>
              <w:t xml:space="preserve">for the </w:t>
            </w:r>
            <w:r w:rsidR="0069105B" w:rsidRPr="00B13982">
              <w:rPr>
                <w:strike/>
                <w:color w:val="1F497D" w:themeColor="text2"/>
                <w:szCs w:val="24"/>
              </w:rPr>
              <w:t xml:space="preserve">Assessment </w:t>
            </w:r>
            <w:r w:rsidRPr="00B13982">
              <w:rPr>
                <w:strike/>
                <w:color w:val="1F497D" w:themeColor="text2"/>
                <w:szCs w:val="24"/>
              </w:rPr>
              <w:t xml:space="preserve">Period ending </w:t>
            </w:r>
            <w:r w:rsidR="00094066" w:rsidRPr="00B13982">
              <w:rPr>
                <w:strike/>
                <w:color w:val="1F497D" w:themeColor="text2"/>
                <w:szCs w:val="24"/>
              </w:rPr>
              <w:t xml:space="preserve">two </w:t>
            </w:r>
            <w:r w:rsidRPr="00B13982">
              <w:rPr>
                <w:strike/>
                <w:color w:val="1F497D" w:themeColor="text2"/>
                <w:szCs w:val="24"/>
              </w:rPr>
              <w:t xml:space="preserve">years prior to year </w:t>
            </w:r>
            <w:r w:rsidRPr="00B13982">
              <w:rPr>
                <w:i/>
                <w:strike/>
                <w:color w:val="1F497D" w:themeColor="text2"/>
                <w:szCs w:val="24"/>
              </w:rPr>
              <w:t>t</w:t>
            </w:r>
            <w:r w:rsidR="0037282C">
              <w:rPr>
                <w:i/>
                <w:szCs w:val="24"/>
              </w:rPr>
              <w:t>.</w:t>
            </w:r>
          </w:p>
        </w:tc>
      </w:tr>
    </w:tbl>
    <w:p w:rsidR="006539A3" w:rsidRDefault="006539A3" w:rsidP="006539A3">
      <w:pPr>
        <w:pStyle w:val="Heading3"/>
      </w:pPr>
      <w:r>
        <w:t xml:space="preserve">Demonstration of recovery of </w:t>
      </w:r>
      <w:r w:rsidR="00174C10">
        <w:t xml:space="preserve">pass-through cost and recoverable cost </w:t>
      </w:r>
      <w:r>
        <w:t>charges</w:t>
      </w:r>
    </w:p>
    <w:p w:rsidR="006539A3" w:rsidRDefault="006539A3" w:rsidP="00802375">
      <w:pPr>
        <w:pStyle w:val="Subclause1"/>
        <w:tabs>
          <w:tab w:val="clear" w:pos="1418"/>
        </w:tabs>
        <w:ind w:left="709"/>
      </w:pPr>
      <w:bookmarkStart w:id="10" w:name="_Ref400440828"/>
      <w:r>
        <w:t xml:space="preserve">Every Non-exempt EDB must, in respect of each Assessment Period, </w:t>
      </w:r>
      <w:r w:rsidR="00174C10">
        <w:t xml:space="preserve">calculate a Pass-through Balance </w:t>
      </w:r>
      <w:r>
        <w:t>in accordance with</w:t>
      </w:r>
      <w:r w:rsidR="00B24868">
        <w:t xml:space="preserve"> the formula </w:t>
      </w:r>
      <w:r>
        <w:t>–</w:t>
      </w:r>
      <w:bookmarkEnd w:id="10"/>
    </w:p>
    <w:p w:rsidR="0037282C" w:rsidRDefault="002B5E88" w:rsidP="00560AB6">
      <w:pPr>
        <w:pStyle w:val="Subclause2"/>
        <w:numPr>
          <w:ilvl w:val="0"/>
          <w:numId w:val="0"/>
        </w:numPr>
        <w:ind w:left="1418"/>
        <w:jc w:val="center"/>
      </w:pPr>
      <w:r w:rsidRPr="006539A3">
        <w:rPr>
          <w:position w:val="-28"/>
        </w:rPr>
        <w:object w:dxaOrig="4280" w:dyaOrig="540">
          <v:shape id="_x0000_i1026" type="#_x0000_t75" style="width:212.8pt;height:27.55pt" o:ole="">
            <v:imagedata r:id="rId11" o:title=""/>
          </v:shape>
          <o:OLEObject Type="Embed" ProgID="Equation.3" ShapeID="_x0000_i1026" DrawAspect="Content" ObjectID="_1476274111" r:id="rId12"/>
        </w:object>
      </w:r>
    </w:p>
    <w:p w:rsidR="00784F5D" w:rsidRDefault="00113E4A" w:rsidP="004D1C0F">
      <w:pPr>
        <w:pStyle w:val="Subclause2"/>
        <w:numPr>
          <w:ilvl w:val="0"/>
          <w:numId w:val="0"/>
        </w:numPr>
        <w:ind w:left="1418"/>
      </w:pPr>
      <w:proofErr w:type="gramStart"/>
      <w:r>
        <w:t>where-</w:t>
      </w:r>
      <w:proofErr w:type="gramEnd"/>
    </w:p>
    <w:p w:rsidR="00784F5D" w:rsidRDefault="00784F5D" w:rsidP="004D1C0F">
      <w:pPr>
        <w:pStyle w:val="Subclause2"/>
        <w:numPr>
          <w:ilvl w:val="0"/>
          <w:numId w:val="0"/>
        </w:numPr>
        <w:ind w:left="2127" w:hanging="709"/>
        <w:rPr>
          <w:i/>
        </w:rPr>
      </w:pPr>
      <w:proofErr w:type="gramStart"/>
      <w:r>
        <w:rPr>
          <w:i/>
        </w:rPr>
        <w:t>t</w:t>
      </w:r>
      <w:proofErr w:type="gramEnd"/>
      <w:r>
        <w:tab/>
      </w:r>
      <w:r w:rsidRPr="002F54CC">
        <w:t>is the year in which the Assessment Period ends</w:t>
      </w:r>
      <w:r w:rsidR="0037282C">
        <w:t>;</w:t>
      </w:r>
    </w:p>
    <w:p w:rsidR="0037282C" w:rsidRDefault="0037282C" w:rsidP="0037282C">
      <w:pPr>
        <w:pStyle w:val="Subclause2"/>
        <w:numPr>
          <w:ilvl w:val="0"/>
          <w:numId w:val="0"/>
        </w:numPr>
        <w:ind w:left="2127" w:hanging="709"/>
      </w:pPr>
      <w:proofErr w:type="spellStart"/>
      <w:proofErr w:type="gramStart"/>
      <w:r w:rsidRPr="00784F5D">
        <w:rPr>
          <w:i/>
        </w:rPr>
        <w:t>i</w:t>
      </w:r>
      <w:proofErr w:type="spellEnd"/>
      <w:proofErr w:type="gramEnd"/>
      <w:r>
        <w:tab/>
        <w:t>denotes each Pass-through Price</w:t>
      </w:r>
      <w:r w:rsidR="001C59FF">
        <w:t xml:space="preserve"> relating to </w:t>
      </w:r>
      <w:r w:rsidR="00CB0960" w:rsidRPr="00CB0960">
        <w:rPr>
          <w:color w:val="1F497D" w:themeColor="text2"/>
          <w:u w:val="single"/>
        </w:rPr>
        <w:t>an</w:t>
      </w:r>
      <w:r w:rsidR="00CB0960">
        <w:t xml:space="preserve"> </w:t>
      </w:r>
      <w:r w:rsidR="001C59FF">
        <w:t>Electricity Lines Service</w:t>
      </w:r>
      <w:r w:rsidR="001C59FF" w:rsidRPr="00CB0960">
        <w:rPr>
          <w:strike/>
          <w:color w:val="1F497D" w:themeColor="text2"/>
        </w:rPr>
        <w:t>s</w:t>
      </w:r>
      <w:r>
        <w:t>;</w:t>
      </w:r>
    </w:p>
    <w:p w:rsidR="00784F5D" w:rsidRPr="0037282C" w:rsidRDefault="002B5E88" w:rsidP="004D1C0F">
      <w:pPr>
        <w:pStyle w:val="Subclause2"/>
        <w:numPr>
          <w:ilvl w:val="0"/>
          <w:numId w:val="0"/>
        </w:numPr>
        <w:ind w:left="2127" w:hanging="709"/>
      </w:pPr>
      <w:proofErr w:type="spellStart"/>
      <w:r>
        <w:rPr>
          <w:i/>
        </w:rPr>
        <w:t>P</w:t>
      </w:r>
      <w:r w:rsidR="00784F5D" w:rsidRPr="00784F5D">
        <w:rPr>
          <w:i/>
        </w:rPr>
        <w:t>TB</w:t>
      </w:r>
      <w:r w:rsidR="00784F5D" w:rsidRPr="00784F5D">
        <w:rPr>
          <w:i/>
          <w:vertAlign w:val="subscript"/>
        </w:rPr>
        <w:t>t</w:t>
      </w:r>
      <w:proofErr w:type="spellEnd"/>
      <w:r w:rsidR="00784F5D">
        <w:tab/>
        <w:t xml:space="preserve">is the </w:t>
      </w:r>
      <w:r>
        <w:t xml:space="preserve">Pass-through </w:t>
      </w:r>
      <w:r w:rsidR="00784F5D">
        <w:t xml:space="preserve">Balance for the Assessment Period </w:t>
      </w:r>
      <w:r w:rsidR="00784F5D" w:rsidRPr="00784F5D">
        <w:rPr>
          <w:i/>
        </w:rPr>
        <w:t>t</w:t>
      </w:r>
      <w:r w:rsidR="0037282C">
        <w:t>;</w:t>
      </w:r>
    </w:p>
    <w:p w:rsidR="00560AB6" w:rsidRDefault="002B5E88" w:rsidP="002B5E88">
      <w:pPr>
        <w:pStyle w:val="Subclause2"/>
        <w:numPr>
          <w:ilvl w:val="0"/>
          <w:numId w:val="0"/>
        </w:numPr>
        <w:ind w:left="2127" w:hanging="709"/>
      </w:pPr>
      <w:r>
        <w:rPr>
          <w:i/>
        </w:rPr>
        <w:t>P</w:t>
      </w:r>
      <w:r w:rsidRPr="00784F5D">
        <w:rPr>
          <w:i/>
        </w:rPr>
        <w:t>TB</w:t>
      </w:r>
      <w:r w:rsidRPr="00784F5D">
        <w:rPr>
          <w:i/>
          <w:vertAlign w:val="subscript"/>
        </w:rPr>
        <w:t>t</w:t>
      </w:r>
      <w:r>
        <w:rPr>
          <w:i/>
          <w:vertAlign w:val="subscript"/>
        </w:rPr>
        <w:t>-1</w:t>
      </w:r>
      <w:r>
        <w:tab/>
        <w:t>is</w:t>
      </w:r>
      <w:r w:rsidR="00560AB6">
        <w:t>–</w:t>
      </w:r>
    </w:p>
    <w:p w:rsidR="00560AB6" w:rsidRDefault="00B24868" w:rsidP="00560AB6">
      <w:pPr>
        <w:pStyle w:val="Subclause2"/>
        <w:numPr>
          <w:ilvl w:val="3"/>
          <w:numId w:val="15"/>
        </w:numPr>
      </w:pPr>
      <w:r>
        <w:t xml:space="preserve">nil in the first Assessment Period in which a Non-exempt EDB must calculate a Pass-through Balance, and </w:t>
      </w:r>
    </w:p>
    <w:p w:rsidR="002B5E88" w:rsidRPr="0037282C" w:rsidRDefault="00B24868" w:rsidP="00560AB6">
      <w:pPr>
        <w:pStyle w:val="Subclause2"/>
        <w:numPr>
          <w:ilvl w:val="3"/>
          <w:numId w:val="15"/>
        </w:numPr>
      </w:pPr>
      <w:r>
        <w:t xml:space="preserve">in all other Assessment Periods </w:t>
      </w:r>
      <w:r w:rsidR="002B5E88">
        <w:t xml:space="preserve">the Pass-through Balance for the Assessment Period </w:t>
      </w:r>
      <w:r w:rsidR="00560AB6">
        <w:t xml:space="preserve">prior to year </w:t>
      </w:r>
      <w:r w:rsidR="002B5E88" w:rsidRPr="00784F5D">
        <w:rPr>
          <w:i/>
        </w:rPr>
        <w:t>t</w:t>
      </w:r>
      <w:r w:rsidRPr="00B27682">
        <w:t xml:space="preserve">, as calculated using any additional information available at the end of Assessment Period </w:t>
      </w:r>
      <w:r w:rsidRPr="00B27682">
        <w:rPr>
          <w:i/>
        </w:rPr>
        <w:t>t</w:t>
      </w:r>
      <w:r w:rsidR="0037282C">
        <w:t>;</w:t>
      </w:r>
    </w:p>
    <w:p w:rsidR="00784F5D" w:rsidRPr="0037282C" w:rsidRDefault="002B5E88" w:rsidP="004D1C0F">
      <w:pPr>
        <w:pStyle w:val="Subclause2"/>
        <w:numPr>
          <w:ilvl w:val="0"/>
          <w:numId w:val="0"/>
        </w:numPr>
        <w:ind w:left="2127" w:hanging="709"/>
      </w:pPr>
      <w:proofErr w:type="spellStart"/>
      <w:r>
        <w:rPr>
          <w:i/>
        </w:rPr>
        <w:t>P</w:t>
      </w:r>
      <w:r w:rsidR="00784F5D" w:rsidRPr="00784F5D">
        <w:rPr>
          <w:i/>
        </w:rPr>
        <w:t>TP</w:t>
      </w:r>
      <w:r w:rsidR="00784F5D" w:rsidRPr="00784F5D">
        <w:rPr>
          <w:i/>
          <w:vertAlign w:val="subscript"/>
        </w:rPr>
        <w:t>i</w:t>
      </w:r>
      <w:proofErr w:type="gramStart"/>
      <w:r w:rsidR="00784F5D" w:rsidRPr="00784F5D">
        <w:rPr>
          <w:i/>
          <w:vertAlign w:val="subscript"/>
        </w:rPr>
        <w:t>,t</w:t>
      </w:r>
      <w:proofErr w:type="spellEnd"/>
      <w:proofErr w:type="gramEnd"/>
      <w:r w:rsidR="00784F5D">
        <w:tab/>
        <w:t xml:space="preserve">is the </w:t>
      </w:r>
      <w:proofErr w:type="spellStart"/>
      <w:r w:rsidR="00784F5D" w:rsidRPr="00784F5D">
        <w:rPr>
          <w:i/>
        </w:rPr>
        <w:t>i</w:t>
      </w:r>
      <w:r w:rsidR="00784F5D" w:rsidRPr="00784F5D">
        <w:rPr>
          <w:i/>
          <w:vertAlign w:val="superscript"/>
        </w:rPr>
        <w:t>th</w:t>
      </w:r>
      <w:proofErr w:type="spellEnd"/>
      <w:r w:rsidR="00784F5D">
        <w:t xml:space="preserve"> </w:t>
      </w:r>
      <w:r>
        <w:t xml:space="preserve">Pass-through </w:t>
      </w:r>
      <w:r w:rsidR="00784F5D">
        <w:t xml:space="preserve">Price during any part of the Assessment Period </w:t>
      </w:r>
      <w:r w:rsidR="00784F5D" w:rsidRPr="00784F5D">
        <w:rPr>
          <w:i/>
        </w:rPr>
        <w:t>t</w:t>
      </w:r>
      <w:r w:rsidR="0037282C">
        <w:t>;</w:t>
      </w:r>
    </w:p>
    <w:p w:rsidR="00784F5D" w:rsidRPr="0037282C" w:rsidRDefault="00784F5D" w:rsidP="004D1C0F">
      <w:pPr>
        <w:pStyle w:val="Subclause2"/>
        <w:numPr>
          <w:ilvl w:val="0"/>
          <w:numId w:val="0"/>
        </w:numPr>
        <w:ind w:left="2127" w:hanging="709"/>
      </w:pPr>
      <w:proofErr w:type="spellStart"/>
      <w:r w:rsidRPr="00784F5D">
        <w:rPr>
          <w:i/>
        </w:rPr>
        <w:t>Q</w:t>
      </w:r>
      <w:r w:rsidRPr="00784F5D">
        <w:rPr>
          <w:i/>
          <w:vertAlign w:val="subscript"/>
        </w:rPr>
        <w:t>i</w:t>
      </w:r>
      <w:proofErr w:type="gramStart"/>
      <w:r w:rsidRPr="00784F5D">
        <w:rPr>
          <w:i/>
          <w:vertAlign w:val="subscript"/>
        </w:rPr>
        <w:t>,t</w:t>
      </w:r>
      <w:proofErr w:type="spellEnd"/>
      <w:proofErr w:type="gramEnd"/>
      <w:r w:rsidRPr="00E47251">
        <w:t xml:space="preserve"> </w:t>
      </w:r>
      <w:r>
        <w:tab/>
        <w:t xml:space="preserve">is the Quantity corresponding to the </w:t>
      </w:r>
      <w:proofErr w:type="spellStart"/>
      <w:r w:rsidRPr="00784F5D">
        <w:rPr>
          <w:i/>
        </w:rPr>
        <w:t>i</w:t>
      </w:r>
      <w:r w:rsidRPr="00784F5D">
        <w:rPr>
          <w:i/>
          <w:vertAlign w:val="superscript"/>
        </w:rPr>
        <w:t>th</w:t>
      </w:r>
      <w:proofErr w:type="spellEnd"/>
      <w:r>
        <w:t xml:space="preserve"> </w:t>
      </w:r>
      <w:r w:rsidR="002B5E88">
        <w:t xml:space="preserve">Pass-through </w:t>
      </w:r>
      <w:r>
        <w:t xml:space="preserve">Price during the Assessment Period </w:t>
      </w:r>
      <w:r w:rsidRPr="00784F5D">
        <w:rPr>
          <w:i/>
        </w:rPr>
        <w:t>t</w:t>
      </w:r>
      <w:r w:rsidR="0037282C">
        <w:t>;</w:t>
      </w:r>
    </w:p>
    <w:p w:rsidR="002B5E88" w:rsidRPr="0037282C" w:rsidRDefault="002B5E88" w:rsidP="002B5E88">
      <w:pPr>
        <w:pStyle w:val="Subclause2"/>
        <w:numPr>
          <w:ilvl w:val="0"/>
          <w:numId w:val="0"/>
        </w:numPr>
        <w:ind w:left="2127" w:hanging="709"/>
      </w:pPr>
      <w:proofErr w:type="spellStart"/>
      <w:r>
        <w:rPr>
          <w:i/>
        </w:rPr>
        <w:t>K</w:t>
      </w:r>
      <w:r w:rsidRPr="002B5E88">
        <w:rPr>
          <w:i/>
          <w:vertAlign w:val="subscript"/>
        </w:rPr>
        <w:t>t</w:t>
      </w:r>
      <w:proofErr w:type="spellEnd"/>
      <w:r>
        <w:tab/>
        <w:t xml:space="preserve">is the sum of all Pass-through Costs </w:t>
      </w:r>
      <w:r w:rsidR="00C67AAE">
        <w:t>for</w:t>
      </w:r>
      <w:r>
        <w:t xml:space="preserve"> the Assessment Period </w:t>
      </w:r>
      <w:r>
        <w:rPr>
          <w:i/>
        </w:rPr>
        <w:t>t</w:t>
      </w:r>
      <w:r w:rsidR="0037282C">
        <w:t>;</w:t>
      </w:r>
    </w:p>
    <w:p w:rsidR="002B5E88" w:rsidRPr="0037282C" w:rsidRDefault="002B5E88" w:rsidP="002B5E88">
      <w:pPr>
        <w:pStyle w:val="Subclause2"/>
        <w:numPr>
          <w:ilvl w:val="0"/>
          <w:numId w:val="0"/>
        </w:numPr>
        <w:ind w:left="2127" w:hanging="709"/>
      </w:pPr>
      <w:proofErr w:type="spellStart"/>
      <w:proofErr w:type="gramStart"/>
      <w:r>
        <w:rPr>
          <w:i/>
        </w:rPr>
        <w:t>V</w:t>
      </w:r>
      <w:r w:rsidRPr="002B5E88">
        <w:rPr>
          <w:i/>
          <w:vertAlign w:val="subscript"/>
        </w:rPr>
        <w:t>t</w:t>
      </w:r>
      <w:proofErr w:type="spellEnd"/>
      <w:proofErr w:type="gramEnd"/>
      <w:r>
        <w:tab/>
        <w:t xml:space="preserve">is the sum of all Recoverable Costs </w:t>
      </w:r>
      <w:r w:rsidR="00C67AAE">
        <w:t>for</w:t>
      </w:r>
      <w:r>
        <w:t xml:space="preserve"> the Assessment Period </w:t>
      </w:r>
      <w:r>
        <w:rPr>
          <w:i/>
        </w:rPr>
        <w:t>t</w:t>
      </w:r>
      <w:r w:rsidR="00517E58">
        <w:t>; and</w:t>
      </w:r>
    </w:p>
    <w:p w:rsidR="00784F5D" w:rsidRPr="00784F5D" w:rsidRDefault="00784F5D" w:rsidP="004D1C0F">
      <w:pPr>
        <w:pStyle w:val="Subclause2"/>
        <w:numPr>
          <w:ilvl w:val="0"/>
          <w:numId w:val="0"/>
        </w:numPr>
        <w:ind w:left="2127" w:hanging="709"/>
      </w:pPr>
      <w:proofErr w:type="gramStart"/>
      <w:r>
        <w:rPr>
          <w:i/>
        </w:rPr>
        <w:t>r</w:t>
      </w:r>
      <w:proofErr w:type="gramEnd"/>
      <w:r>
        <w:rPr>
          <w:i/>
        </w:rPr>
        <w:tab/>
      </w:r>
      <w:r>
        <w:t xml:space="preserve">is the </w:t>
      </w:r>
      <w:r w:rsidR="002B5E88">
        <w:t xml:space="preserve">Cost </w:t>
      </w:r>
      <w:r>
        <w:t xml:space="preserve">of </w:t>
      </w:r>
      <w:r w:rsidR="002B5E88">
        <w:t>D</w:t>
      </w:r>
      <w:r>
        <w:t>ebt</w:t>
      </w:r>
      <w:r w:rsidR="00517E58">
        <w:t>.</w:t>
      </w:r>
    </w:p>
    <w:p w:rsidR="00781E83" w:rsidRDefault="003D66D1" w:rsidP="003D66D1">
      <w:pPr>
        <w:pStyle w:val="Clausesectionheadings"/>
      </w:pPr>
      <w:r>
        <w:t>Restructur</w:t>
      </w:r>
      <w:r w:rsidR="00A674C4">
        <w:t>e</w:t>
      </w:r>
      <w:r>
        <w:t xml:space="preserve"> of prices</w:t>
      </w:r>
    </w:p>
    <w:p w:rsidR="00781E83" w:rsidRPr="00781E83" w:rsidRDefault="00781E83" w:rsidP="00802375">
      <w:pPr>
        <w:pStyle w:val="Subclause1"/>
        <w:tabs>
          <w:tab w:val="clear" w:pos="1418"/>
        </w:tabs>
        <w:ind w:left="709"/>
      </w:pPr>
      <w:r w:rsidRPr="00781E83">
        <w:t xml:space="preserve">For the avoidance of doubt, a Restructure of Prices </w:t>
      </w:r>
      <w:r w:rsidR="007619F1">
        <w:t xml:space="preserve">by a Non-exempt EDB </w:t>
      </w:r>
      <w:r w:rsidRPr="00781E83">
        <w:t>during an Assessment Period does not change the allowable notional revenue for that Assessment Period.</w:t>
      </w:r>
    </w:p>
    <w:p w:rsidR="00DB1406" w:rsidRDefault="00DB1406" w:rsidP="00802375">
      <w:pPr>
        <w:pStyle w:val="Subclause1"/>
        <w:tabs>
          <w:tab w:val="clear" w:pos="1418"/>
        </w:tabs>
        <w:ind w:left="709"/>
      </w:pPr>
      <w:bookmarkStart w:id="11" w:name="_Ref400441183"/>
      <w:r>
        <w:t>Where a Non-exempt EDB undertakes a Restructure of Prices, the EDB must:</w:t>
      </w:r>
      <w:bookmarkEnd w:id="11"/>
    </w:p>
    <w:p w:rsidR="00DB1406" w:rsidRDefault="00DB1406" w:rsidP="00DB1406">
      <w:pPr>
        <w:pStyle w:val="Subclause1"/>
        <w:numPr>
          <w:ilvl w:val="0"/>
          <w:numId w:val="0"/>
        </w:numPr>
        <w:ind w:left="1418" w:hanging="709"/>
      </w:pPr>
      <w:r>
        <w:lastRenderedPageBreak/>
        <w:t>(a)</w:t>
      </w:r>
      <w:r>
        <w:tab/>
        <w:t xml:space="preserve">in the first Assessment Period </w:t>
      </w:r>
      <w:r w:rsidR="00517E58">
        <w:t>during</w:t>
      </w:r>
      <w:r>
        <w:t xml:space="preserve"> which a Restructure of Prices applies, calculate notional revenue for that Assessment Period using the Quantities determined in accordance with clause </w:t>
      </w:r>
      <w:r w:rsidR="00FC42DB">
        <w:fldChar w:fldCharType="begin"/>
      </w:r>
      <w:r w:rsidR="00FC42DB">
        <w:instrText xml:space="preserve"> REF _Ref400441161 \r \h </w:instrText>
      </w:r>
      <w:r w:rsidR="00FC42DB">
        <w:fldChar w:fldCharType="separate"/>
      </w:r>
      <w:r w:rsidR="00B56D36">
        <w:t>8.9</w:t>
      </w:r>
      <w:r w:rsidR="00FC42DB">
        <w:fldChar w:fldCharType="end"/>
      </w:r>
      <w:r w:rsidR="00821404">
        <w:t>; and</w:t>
      </w:r>
    </w:p>
    <w:p w:rsidR="00DB1406" w:rsidRDefault="00DB1406" w:rsidP="00DB1406">
      <w:pPr>
        <w:pStyle w:val="Subclause1"/>
        <w:numPr>
          <w:ilvl w:val="0"/>
          <w:numId w:val="0"/>
        </w:numPr>
        <w:ind w:left="1418" w:hanging="709"/>
      </w:pPr>
      <w:r>
        <w:t>(b)</w:t>
      </w:r>
      <w:r>
        <w:tab/>
      </w:r>
      <w:proofErr w:type="gramStart"/>
      <w:r>
        <w:t>in</w:t>
      </w:r>
      <w:proofErr w:type="gramEnd"/>
      <w:r>
        <w:t xml:space="preserve"> the Assessment Period immediately following the Assessment Period</w:t>
      </w:r>
      <w:r w:rsidR="00517E58">
        <w:t xml:space="preserve"> during</w:t>
      </w:r>
      <w:r>
        <w:t xml:space="preserve"> which a Restructure of Prices first applies, calculate –</w:t>
      </w:r>
    </w:p>
    <w:p w:rsidR="00DB1406" w:rsidRDefault="00DB1406" w:rsidP="00DB1406">
      <w:pPr>
        <w:pStyle w:val="Subclause1"/>
        <w:numPr>
          <w:ilvl w:val="0"/>
          <w:numId w:val="0"/>
        </w:numPr>
        <w:ind w:left="2127" w:hanging="709"/>
      </w:pPr>
      <w:r>
        <w:t>(</w:t>
      </w:r>
      <w:proofErr w:type="spellStart"/>
      <w:r>
        <w:t>i</w:t>
      </w:r>
      <w:proofErr w:type="spellEnd"/>
      <w:r>
        <w:t>)</w:t>
      </w:r>
      <w:r>
        <w:tab/>
      </w:r>
      <w:proofErr w:type="gramStart"/>
      <w:r>
        <w:t>allowable</w:t>
      </w:r>
      <w:proofErr w:type="gramEnd"/>
      <w:r>
        <w:t xml:space="preserve"> notional revenue using the Quantities determined in accordance with clause </w:t>
      </w:r>
      <w:r w:rsidR="00FC42DB">
        <w:fldChar w:fldCharType="begin"/>
      </w:r>
      <w:r w:rsidR="00FC42DB">
        <w:instrText xml:space="preserve"> REF _Ref400441161 \r \h </w:instrText>
      </w:r>
      <w:r w:rsidR="00FC42DB">
        <w:fldChar w:fldCharType="separate"/>
      </w:r>
      <w:r w:rsidR="00B56D36">
        <w:t>8.9</w:t>
      </w:r>
      <w:r w:rsidR="00FC42DB">
        <w:fldChar w:fldCharType="end"/>
      </w:r>
      <w:r>
        <w:t>; and</w:t>
      </w:r>
    </w:p>
    <w:p w:rsidR="00DB1406" w:rsidRDefault="00DB1406" w:rsidP="00DB1406">
      <w:pPr>
        <w:pStyle w:val="Subclause1"/>
        <w:numPr>
          <w:ilvl w:val="0"/>
          <w:numId w:val="0"/>
        </w:numPr>
        <w:ind w:left="2127" w:hanging="709"/>
      </w:pPr>
      <w:r>
        <w:t>(ii)</w:t>
      </w:r>
      <w:r>
        <w:tab/>
      </w:r>
      <w:proofErr w:type="gramStart"/>
      <w:r>
        <w:t>notional</w:t>
      </w:r>
      <w:proofErr w:type="gramEnd"/>
      <w:r>
        <w:t xml:space="preserve"> revenue using the Quantities determined in accordance with clause </w:t>
      </w:r>
      <w:r w:rsidR="00FC42DB">
        <w:fldChar w:fldCharType="begin"/>
      </w:r>
      <w:r w:rsidR="00FC42DB">
        <w:instrText xml:space="preserve"> REF _Ref400441161 \r \h </w:instrText>
      </w:r>
      <w:r w:rsidR="00FC42DB">
        <w:fldChar w:fldCharType="separate"/>
      </w:r>
      <w:r w:rsidR="00B56D36">
        <w:t>8.9</w:t>
      </w:r>
      <w:r w:rsidR="00FC42DB">
        <w:fldChar w:fldCharType="end"/>
      </w:r>
      <w:r w:rsidR="00FC42DB">
        <w:t>.</w:t>
      </w:r>
    </w:p>
    <w:p w:rsidR="00781E83" w:rsidRPr="00781E83" w:rsidRDefault="00781E83" w:rsidP="00802375">
      <w:pPr>
        <w:pStyle w:val="Subclause1"/>
        <w:tabs>
          <w:tab w:val="clear" w:pos="1418"/>
        </w:tabs>
        <w:ind w:left="709"/>
      </w:pPr>
      <w:bookmarkStart w:id="12" w:name="_Ref400441161"/>
      <w:r w:rsidRPr="00781E83">
        <w:t xml:space="preserve">For the purposes of </w:t>
      </w:r>
      <w:r w:rsidR="00DB1406">
        <w:t xml:space="preserve">clause </w:t>
      </w:r>
      <w:r w:rsidR="00FC42DB">
        <w:fldChar w:fldCharType="begin"/>
      </w:r>
      <w:r w:rsidR="00FC42DB">
        <w:instrText xml:space="preserve"> REF _Ref400441183 \r \h </w:instrText>
      </w:r>
      <w:r w:rsidR="00FC42DB">
        <w:fldChar w:fldCharType="separate"/>
      </w:r>
      <w:r w:rsidR="00B56D36">
        <w:t>8.8</w:t>
      </w:r>
      <w:r w:rsidR="00FC42DB">
        <w:fldChar w:fldCharType="end"/>
      </w:r>
      <w:r w:rsidRPr="00781E83">
        <w:t>,</w:t>
      </w:r>
      <w:r w:rsidR="00517E58" w:rsidRPr="00517E58">
        <w:t xml:space="preserve"> </w:t>
      </w:r>
      <w:r w:rsidR="00517E58">
        <w:t xml:space="preserve">and subject to clause </w:t>
      </w:r>
      <w:r w:rsidR="00517E58">
        <w:fldChar w:fldCharType="begin"/>
      </w:r>
      <w:r w:rsidR="00517E58">
        <w:instrText xml:space="preserve"> REF _Ref392844784 \r \h </w:instrText>
      </w:r>
      <w:r w:rsidR="00517E58">
        <w:fldChar w:fldCharType="separate"/>
      </w:r>
      <w:r w:rsidR="00B56D36">
        <w:t>8.10</w:t>
      </w:r>
      <w:r w:rsidR="00517E58">
        <w:fldChar w:fldCharType="end"/>
      </w:r>
      <w:r w:rsidR="00517E58">
        <w:t>,</w:t>
      </w:r>
      <w:r w:rsidRPr="00781E83">
        <w:t xml:space="preserve"> </w:t>
      </w:r>
      <w:r w:rsidR="00821404">
        <w:t>where</w:t>
      </w:r>
      <w:r w:rsidRPr="00781E83">
        <w:t>:</w:t>
      </w:r>
      <w:bookmarkEnd w:id="12"/>
    </w:p>
    <w:p w:rsidR="00781E83" w:rsidRPr="00F473D9" w:rsidRDefault="00781E83" w:rsidP="00B87C77">
      <w:pPr>
        <w:pStyle w:val="Subclause2"/>
        <w:numPr>
          <w:ilvl w:val="0"/>
          <w:numId w:val="57"/>
        </w:numPr>
        <w:ind w:left="1418" w:hanging="709"/>
      </w:pPr>
      <w:r w:rsidRPr="00F473D9">
        <w:t xml:space="preserve">two or more </w:t>
      </w:r>
      <w:r w:rsidR="00B502DF">
        <w:t>Consumer Group</w:t>
      </w:r>
      <w:r w:rsidRPr="00F473D9">
        <w:t xml:space="preserve">s are combined into one </w:t>
      </w:r>
      <w:r w:rsidR="00B502DF">
        <w:t>Consumer Group</w:t>
      </w:r>
      <w:r w:rsidRPr="00F473D9">
        <w:t xml:space="preserve">, the Quantity corresponding to the </w:t>
      </w:r>
      <w:r w:rsidR="00B502DF">
        <w:t>Consumer Group</w:t>
      </w:r>
      <w:r w:rsidRPr="00F473D9">
        <w:t xml:space="preserve"> must be the sum of the Quantities corresponding to each of the previous </w:t>
      </w:r>
      <w:r w:rsidR="00B502DF">
        <w:t>Consumer Group</w:t>
      </w:r>
      <w:r w:rsidRPr="00F473D9">
        <w:t xml:space="preserve">s; </w:t>
      </w:r>
    </w:p>
    <w:p w:rsidR="00781E83" w:rsidRPr="00F473D9" w:rsidRDefault="00781E83" w:rsidP="008D2869">
      <w:pPr>
        <w:pStyle w:val="Subclause2"/>
        <w:ind w:left="1418" w:hanging="709"/>
      </w:pPr>
      <w:r w:rsidRPr="00F473D9">
        <w:t xml:space="preserve">the connections in a </w:t>
      </w:r>
      <w:r w:rsidR="00B502DF">
        <w:t>Consumer Group</w:t>
      </w:r>
      <w:r w:rsidR="00EE5803">
        <w:t xml:space="preserve"> are separated into</w:t>
      </w:r>
      <w:r w:rsidRPr="00F473D9">
        <w:t xml:space="preserve"> two or more new </w:t>
      </w:r>
      <w:r w:rsidR="00B502DF">
        <w:t>Consumer Group</w:t>
      </w:r>
      <w:r w:rsidRPr="00F473D9">
        <w:t xml:space="preserve">s, the Quantity corresponding to each new </w:t>
      </w:r>
      <w:r w:rsidR="00B502DF">
        <w:t>Consumer Group</w:t>
      </w:r>
      <w:r w:rsidRPr="00F473D9">
        <w:t xml:space="preserve"> must be based on the connections of the original </w:t>
      </w:r>
      <w:r w:rsidR="00B502DF">
        <w:t>Consumer Group</w:t>
      </w:r>
      <w:r w:rsidRPr="00F473D9">
        <w:t xml:space="preserve"> assigned to each new </w:t>
      </w:r>
      <w:r w:rsidR="00B502DF">
        <w:t>Consumer Group</w:t>
      </w:r>
      <w:r w:rsidRPr="00F473D9">
        <w:t xml:space="preserve">, and the sum of the Quantities corresponding to each new </w:t>
      </w:r>
      <w:r w:rsidR="00B502DF">
        <w:t>Consumer Group</w:t>
      </w:r>
      <w:r w:rsidRPr="00F473D9">
        <w:t xml:space="preserve"> must equal the sum of the Quantities corresponding to the original </w:t>
      </w:r>
      <w:r w:rsidR="00B502DF">
        <w:t>Consumer Group</w:t>
      </w:r>
      <w:r w:rsidR="00F11DE1">
        <w:t>; and</w:t>
      </w:r>
    </w:p>
    <w:p w:rsidR="00781E83" w:rsidRPr="00F473D9" w:rsidRDefault="00781E83" w:rsidP="008D2869">
      <w:pPr>
        <w:pStyle w:val="Subclause2"/>
        <w:ind w:left="1418" w:hanging="709"/>
      </w:pPr>
      <w:r w:rsidRPr="00F473D9">
        <w:t xml:space="preserve">a new </w:t>
      </w:r>
      <w:r w:rsidR="00B502DF">
        <w:t>Consumer Group</w:t>
      </w:r>
      <w:r w:rsidRPr="00F473D9">
        <w:t xml:space="preserve"> is to be populated only by consumers or retailers </w:t>
      </w:r>
      <w:r w:rsidR="00517E58">
        <w:t>requesting</w:t>
      </w:r>
      <w:r w:rsidR="00517E58" w:rsidRPr="00F473D9">
        <w:t xml:space="preserve"> </w:t>
      </w:r>
      <w:r w:rsidRPr="00F473D9">
        <w:t xml:space="preserve">to join that </w:t>
      </w:r>
      <w:r w:rsidR="00B502DF">
        <w:t>Consumer Group</w:t>
      </w:r>
      <w:r w:rsidRPr="00F473D9">
        <w:t>, the Quantities corres</w:t>
      </w:r>
      <w:r w:rsidR="00D124F3">
        <w:t xml:space="preserve">ponding to the new </w:t>
      </w:r>
      <w:r w:rsidR="00B502DF">
        <w:t>Consumer Group</w:t>
      </w:r>
      <w:r w:rsidR="00D124F3">
        <w:t xml:space="preserve"> </w:t>
      </w:r>
      <w:r w:rsidRPr="00F473D9">
        <w:t>is nil;</w:t>
      </w:r>
      <w:r w:rsidR="00E57444">
        <w:t xml:space="preserve"> </w:t>
      </w:r>
    </w:p>
    <w:p w:rsidR="00781E83" w:rsidRPr="00F473D9" w:rsidRDefault="00167932" w:rsidP="00167932">
      <w:pPr>
        <w:pStyle w:val="Subclause2"/>
        <w:numPr>
          <w:ilvl w:val="0"/>
          <w:numId w:val="0"/>
        </w:numPr>
        <w:ind w:left="1418" w:hanging="709"/>
      </w:pPr>
      <w:r w:rsidRPr="00CD4177">
        <w:rPr>
          <w:color w:val="1F497D" w:themeColor="text2"/>
          <w:u w:val="single"/>
        </w:rPr>
        <w:t>(d)</w:t>
      </w:r>
      <w:r w:rsidRPr="00CD4177">
        <w:rPr>
          <w:color w:val="1F497D" w:themeColor="text2"/>
          <w:u w:val="single"/>
        </w:rPr>
        <w:tab/>
      </w:r>
      <w:proofErr w:type="gramStart"/>
      <w:r w:rsidR="0056292A">
        <w:t>and</w:t>
      </w:r>
      <w:proofErr w:type="gramEnd"/>
      <w:r w:rsidR="0056292A" w:rsidRPr="00F473D9">
        <w:t xml:space="preserve"> </w:t>
      </w:r>
      <w:r w:rsidR="00781E83" w:rsidRPr="00F473D9">
        <w:t xml:space="preserve">the Quantities corresponding to each Price are the same as the Quantities corresponding to the </w:t>
      </w:r>
      <w:r w:rsidR="00B502DF">
        <w:t>Consumer Group</w:t>
      </w:r>
      <w:r w:rsidR="00781E83" w:rsidRPr="00F473D9">
        <w:t>s to which the Prices apply.</w:t>
      </w:r>
    </w:p>
    <w:p w:rsidR="00F473D9" w:rsidRDefault="00781E83" w:rsidP="00802375">
      <w:pPr>
        <w:pStyle w:val="Subclause1"/>
        <w:tabs>
          <w:tab w:val="clear" w:pos="1418"/>
        </w:tabs>
        <w:ind w:left="709"/>
      </w:pPr>
      <w:bookmarkStart w:id="13" w:name="_Ref392844784"/>
      <w:r w:rsidRPr="00781E83">
        <w:t>If</w:t>
      </w:r>
      <w:r w:rsidR="00B953CF">
        <w:t xml:space="preserve"> as a result of </w:t>
      </w:r>
      <w:r w:rsidRPr="00781E83">
        <w:t xml:space="preserve">a Restructure of Prices there is no Quantity for the 12 month period ending on 31 March two years prior </w:t>
      </w:r>
      <w:r w:rsidR="004223F9">
        <w:t xml:space="preserve">to an Assessment Period </w:t>
      </w:r>
      <w:r w:rsidRPr="00781E83">
        <w:t>that corresponds to a restructured Price, the Non-exempt EDB</w:t>
      </w:r>
      <w:r w:rsidR="00B953CF" w:rsidRPr="00B953CF">
        <w:t xml:space="preserve"> </w:t>
      </w:r>
      <w:r w:rsidR="00B953CF" w:rsidRPr="00F473D9">
        <w:t>m</w:t>
      </w:r>
      <w:r w:rsidR="00B953CF">
        <w:t xml:space="preserve">ust </w:t>
      </w:r>
      <w:r w:rsidR="00C67AAE">
        <w:t xml:space="preserve">demonstrate to the reasonable satisfaction of the Commission </w:t>
      </w:r>
      <w:r w:rsidR="0056292A">
        <w:t xml:space="preserve">a reasonable </w:t>
      </w:r>
      <w:r w:rsidR="00B953CF">
        <w:t>estimate</w:t>
      </w:r>
      <w:r w:rsidR="0056292A">
        <w:t xml:space="preserve"> of</w:t>
      </w:r>
      <w:r w:rsidR="00B953CF">
        <w:t xml:space="preserve"> that Quantity </w:t>
      </w:r>
      <w:r w:rsidR="00B953CF" w:rsidRPr="00F473D9">
        <w:t>using any reasonable methodology</w:t>
      </w:r>
      <w:r w:rsidR="00C67AAE">
        <w:t>,</w:t>
      </w:r>
      <w:r w:rsidR="00B953CF" w:rsidRPr="00F473D9">
        <w:t xml:space="preserve"> provided the Non-exempt EDB</w:t>
      </w:r>
      <w:r w:rsidRPr="00781E83">
        <w:t>:</w:t>
      </w:r>
      <w:bookmarkEnd w:id="13"/>
    </w:p>
    <w:p w:rsidR="00781E83" w:rsidRPr="00F473D9" w:rsidRDefault="00781E83" w:rsidP="00B87C77">
      <w:pPr>
        <w:pStyle w:val="Subclause2"/>
        <w:numPr>
          <w:ilvl w:val="0"/>
          <w:numId w:val="69"/>
        </w:numPr>
        <w:ind w:left="1418" w:hanging="709"/>
      </w:pPr>
      <w:r w:rsidRPr="00F473D9">
        <w:t xml:space="preserve">does not </w:t>
      </w:r>
      <w:r w:rsidR="00B953CF">
        <w:t>use a forecast Quantity as the estimate of a Quantity</w:t>
      </w:r>
      <w:r w:rsidRPr="00F473D9">
        <w:t>;</w:t>
      </w:r>
    </w:p>
    <w:p w:rsidR="00781E83" w:rsidRPr="00F473D9" w:rsidRDefault="00781E83" w:rsidP="00B953CF">
      <w:pPr>
        <w:pStyle w:val="Subclause2"/>
        <w:ind w:left="1418" w:hanging="709"/>
      </w:pPr>
      <w:r w:rsidRPr="00F473D9">
        <w:t>uses any available relevant Quantity information in the 12 month period ending on 31 March two years prior to the Assessment Period;</w:t>
      </w:r>
    </w:p>
    <w:p w:rsidR="004223F9" w:rsidRDefault="0056292A" w:rsidP="00B953CF">
      <w:pPr>
        <w:pStyle w:val="Subclause2"/>
        <w:ind w:left="1418" w:hanging="709"/>
      </w:pPr>
      <w:r>
        <w:t>considers</w:t>
      </w:r>
      <w:r w:rsidRPr="00F473D9">
        <w:t xml:space="preserve"> </w:t>
      </w:r>
      <w:r w:rsidR="00781E83" w:rsidRPr="00F473D9">
        <w:t>any other relevant information reasonably available</w:t>
      </w:r>
      <w:r w:rsidR="004223F9">
        <w:t>; and</w:t>
      </w:r>
    </w:p>
    <w:p w:rsidR="00E07DE1" w:rsidRDefault="004223F9" w:rsidP="00B953CF">
      <w:pPr>
        <w:pStyle w:val="Subclause2"/>
        <w:ind w:left="1418" w:hanging="709"/>
      </w:pPr>
      <w:proofErr w:type="gramStart"/>
      <w:r>
        <w:t>uses</w:t>
      </w:r>
      <w:proofErr w:type="gramEnd"/>
      <w:r>
        <w:t xml:space="preserve"> </w:t>
      </w:r>
      <w:r w:rsidRPr="00CD4177">
        <w:rPr>
          <w:strike/>
          <w:color w:val="1F497D" w:themeColor="text2"/>
        </w:rPr>
        <w:t>the same</w:t>
      </w:r>
      <w:r w:rsidR="000C03FB" w:rsidRPr="00CD4177">
        <w:rPr>
          <w:color w:val="1F497D" w:themeColor="text2"/>
        </w:rPr>
        <w:t xml:space="preserve"> </w:t>
      </w:r>
      <w:r w:rsidR="00D22371" w:rsidRPr="00CD4177">
        <w:rPr>
          <w:color w:val="1F497D" w:themeColor="text2"/>
          <w:u w:val="single"/>
        </w:rPr>
        <w:t>a similar</w:t>
      </w:r>
      <w:r w:rsidRPr="00CD4177">
        <w:rPr>
          <w:color w:val="1F497D" w:themeColor="text2"/>
        </w:rPr>
        <w:t xml:space="preserve"> </w:t>
      </w:r>
      <w:r>
        <w:t>methodology for determining Quantities in each Assessment Period for which Quantities are determined under this clause</w:t>
      </w:r>
      <w:r w:rsidR="00E57444">
        <w:t>.</w:t>
      </w:r>
    </w:p>
    <w:p w:rsidR="00781E83" w:rsidRPr="00781E83" w:rsidRDefault="00781E83" w:rsidP="00802375">
      <w:pPr>
        <w:pStyle w:val="Subclause1"/>
        <w:tabs>
          <w:tab w:val="clear" w:pos="1418"/>
        </w:tabs>
        <w:ind w:left="709"/>
      </w:pPr>
      <w:r w:rsidRPr="00781E83">
        <w:lastRenderedPageBreak/>
        <w:t xml:space="preserve">At least 30 </w:t>
      </w:r>
      <w:r w:rsidR="00D124F3">
        <w:t>Working Days</w:t>
      </w:r>
      <w:r w:rsidRPr="00781E83">
        <w:t xml:space="preserve"> prior to any </w:t>
      </w:r>
      <w:r w:rsidR="001A5C47">
        <w:t>Assessment Period</w:t>
      </w:r>
      <w:r w:rsidRPr="00781E83">
        <w:t xml:space="preserve"> for which Quantities must be determined in accordance with clause </w:t>
      </w:r>
      <w:r w:rsidR="004223F9">
        <w:fldChar w:fldCharType="begin"/>
      </w:r>
      <w:r w:rsidR="004223F9">
        <w:instrText xml:space="preserve"> REF _Ref392844784 \r \h </w:instrText>
      </w:r>
      <w:r w:rsidR="004223F9">
        <w:fldChar w:fldCharType="separate"/>
      </w:r>
      <w:r w:rsidR="00B56D36">
        <w:t>8.10</w:t>
      </w:r>
      <w:r w:rsidR="004223F9">
        <w:fldChar w:fldCharType="end"/>
      </w:r>
      <w:r w:rsidRPr="00781E83">
        <w:t>, a Non-Exempt EDB must provide to the Commission:</w:t>
      </w:r>
    </w:p>
    <w:p w:rsidR="00781E83" w:rsidRPr="00F473D9" w:rsidRDefault="00781E83" w:rsidP="00940071">
      <w:pPr>
        <w:pStyle w:val="BodyText"/>
        <w:ind w:left="1418" w:right="686" w:hanging="720"/>
        <w:rPr>
          <w:color w:val="000000"/>
          <w:szCs w:val="24"/>
          <w:lang w:eastAsia="en-NZ"/>
        </w:rPr>
      </w:pPr>
      <w:r w:rsidRPr="00F473D9">
        <w:rPr>
          <w:color w:val="000000"/>
          <w:szCs w:val="24"/>
          <w:lang w:eastAsia="en-NZ"/>
        </w:rPr>
        <w:t>(a)</w:t>
      </w:r>
      <w:r w:rsidRPr="00F473D9">
        <w:rPr>
          <w:color w:val="000000"/>
          <w:szCs w:val="24"/>
          <w:lang w:eastAsia="en-NZ"/>
        </w:rPr>
        <w:tab/>
      </w:r>
      <w:proofErr w:type="gramStart"/>
      <w:r w:rsidRPr="00F473D9">
        <w:rPr>
          <w:color w:val="000000"/>
          <w:szCs w:val="24"/>
          <w:lang w:eastAsia="en-NZ"/>
        </w:rPr>
        <w:t>a</w:t>
      </w:r>
      <w:proofErr w:type="gramEnd"/>
      <w:r w:rsidRPr="00F473D9">
        <w:rPr>
          <w:color w:val="000000"/>
          <w:szCs w:val="24"/>
          <w:lang w:eastAsia="en-NZ"/>
        </w:rPr>
        <w:t xml:space="preserve"> schedule of each restructured Price and the corresponding Quantity;</w:t>
      </w:r>
    </w:p>
    <w:p w:rsidR="00781E83" w:rsidRPr="00F473D9" w:rsidRDefault="00781E83" w:rsidP="00940071">
      <w:pPr>
        <w:pStyle w:val="BodyText"/>
        <w:ind w:left="1418" w:right="686" w:hanging="720"/>
        <w:rPr>
          <w:color w:val="000000"/>
          <w:szCs w:val="24"/>
          <w:lang w:eastAsia="en-NZ"/>
        </w:rPr>
      </w:pPr>
      <w:r w:rsidRPr="00F473D9">
        <w:rPr>
          <w:color w:val="000000"/>
          <w:szCs w:val="24"/>
          <w:lang w:eastAsia="en-NZ"/>
        </w:rPr>
        <w:t>(b)</w:t>
      </w:r>
      <w:r w:rsidRPr="00F473D9">
        <w:rPr>
          <w:color w:val="000000"/>
          <w:szCs w:val="24"/>
          <w:lang w:eastAsia="en-NZ"/>
        </w:rPr>
        <w:tab/>
      </w:r>
      <w:proofErr w:type="gramStart"/>
      <w:r w:rsidRPr="00F473D9">
        <w:rPr>
          <w:color w:val="000000"/>
          <w:szCs w:val="24"/>
          <w:lang w:eastAsia="en-NZ"/>
        </w:rPr>
        <w:t>the</w:t>
      </w:r>
      <w:proofErr w:type="gramEnd"/>
      <w:r w:rsidRPr="00F473D9">
        <w:rPr>
          <w:color w:val="000000"/>
          <w:szCs w:val="24"/>
          <w:lang w:eastAsia="en-NZ"/>
        </w:rPr>
        <w:t xml:space="preserve"> methodology used to determine the Quantity that corresponds to each restructured Price; and</w:t>
      </w:r>
    </w:p>
    <w:p w:rsidR="00781E83" w:rsidRDefault="00781E83" w:rsidP="00940071">
      <w:pPr>
        <w:pStyle w:val="BodyText"/>
        <w:ind w:left="1418" w:right="686" w:hanging="720"/>
        <w:rPr>
          <w:color w:val="000000"/>
          <w:szCs w:val="24"/>
          <w:lang w:eastAsia="en-NZ"/>
        </w:rPr>
      </w:pPr>
      <w:r w:rsidRPr="00F473D9">
        <w:rPr>
          <w:color w:val="000000"/>
          <w:szCs w:val="24"/>
          <w:lang w:eastAsia="en-NZ"/>
        </w:rPr>
        <w:t>(c)</w:t>
      </w:r>
      <w:r w:rsidRPr="00F473D9">
        <w:rPr>
          <w:color w:val="000000"/>
          <w:szCs w:val="24"/>
          <w:lang w:eastAsia="en-NZ"/>
        </w:rPr>
        <w:tab/>
      </w:r>
      <w:proofErr w:type="gramStart"/>
      <w:r w:rsidRPr="00F473D9">
        <w:rPr>
          <w:color w:val="000000"/>
          <w:szCs w:val="24"/>
          <w:lang w:eastAsia="en-NZ"/>
        </w:rPr>
        <w:t>its</w:t>
      </w:r>
      <w:proofErr w:type="gramEnd"/>
      <w:r w:rsidRPr="00F473D9">
        <w:rPr>
          <w:color w:val="000000"/>
          <w:szCs w:val="24"/>
          <w:lang w:eastAsia="en-NZ"/>
        </w:rPr>
        <w:t xml:space="preserve"> forecast of the Quantities associated with each Price for the Assessment Period in which the </w:t>
      </w:r>
      <w:r w:rsidR="007139A3">
        <w:rPr>
          <w:color w:val="000000"/>
          <w:szCs w:val="24"/>
          <w:lang w:eastAsia="en-NZ"/>
        </w:rPr>
        <w:t>R</w:t>
      </w:r>
      <w:r w:rsidRPr="00F473D9">
        <w:rPr>
          <w:color w:val="000000"/>
          <w:szCs w:val="24"/>
          <w:lang w:eastAsia="en-NZ"/>
        </w:rPr>
        <w:t>estructure of Prices will occur.</w:t>
      </w:r>
    </w:p>
    <w:p w:rsidR="0067630A" w:rsidRDefault="0067630A" w:rsidP="0067630A">
      <w:pPr>
        <w:pStyle w:val="Subclause1"/>
        <w:tabs>
          <w:tab w:val="clear" w:pos="1418"/>
        </w:tabs>
        <w:ind w:left="709"/>
        <w:rPr>
          <w:color w:val="1F497D" w:themeColor="text2"/>
          <w:u w:val="single"/>
        </w:rPr>
      </w:pPr>
      <w:r>
        <w:rPr>
          <w:color w:val="1F497D" w:themeColor="text2"/>
          <w:u w:val="single"/>
        </w:rPr>
        <w:t xml:space="preserve">If a Non-exempt EDB paid levies as set out under clause 3.1.2(b)(ii) of the IM Determination during the Pricing Period 1 April 2014 to 31 March 2015 then that Non-exempt EDB may include, as Pass-Through Costs in the first Disclosure Year of the Regulatory Period, an amount determined in accordance with the following formula– </w:t>
      </w:r>
    </w:p>
    <w:p w:rsidR="0067630A" w:rsidRPr="0067630A" w:rsidRDefault="0067630A" w:rsidP="0067630A">
      <w:pPr>
        <w:pStyle w:val="Subclause1"/>
        <w:numPr>
          <w:ilvl w:val="0"/>
          <w:numId w:val="0"/>
        </w:numPr>
        <w:ind w:left="1418"/>
        <w:rPr>
          <w:color w:val="1F497D" w:themeColor="text2"/>
          <w:u w:val="single"/>
        </w:rPr>
      </w:pPr>
      <m:oMathPara>
        <m:oMathParaPr>
          <m:jc m:val="left"/>
        </m:oMathParaPr>
        <m:oMath>
          <m:r>
            <w:rPr>
              <w:rFonts w:ascii="Cambria Math" w:hAnsi="Cambria Math"/>
              <w:color w:val="1F497D" w:themeColor="text2"/>
              <w:u w:val="single"/>
            </w:rPr>
            <m:t>0.7377 ×</m:t>
          </m:r>
          <m:sSub>
            <m:sSubPr>
              <m:ctrlPr>
                <w:rPr>
                  <w:rFonts w:ascii="Cambria Math" w:hAnsi="Cambria Math"/>
                  <w:i/>
                  <w:color w:val="1F497D" w:themeColor="text2"/>
                  <w:u w:val="single"/>
                </w:rPr>
              </m:ctrlPr>
            </m:sSubPr>
            <m:e>
              <m:r>
                <w:rPr>
                  <w:rFonts w:ascii="Cambria Math" w:hAnsi="Cambria Math"/>
                  <w:color w:val="1F497D" w:themeColor="text2"/>
                  <w:u w:val="single"/>
                </w:rPr>
                <m:t>ICP</m:t>
              </m:r>
            </m:e>
            <m:sub>
              <m:r>
                <w:rPr>
                  <w:rFonts w:ascii="Cambria Math" w:hAnsi="Cambria Math"/>
                  <w:color w:val="1F497D" w:themeColor="text2"/>
                  <w:u w:val="single"/>
                </w:rPr>
                <m:t>2014</m:t>
              </m:r>
            </m:sub>
          </m:sSub>
          <m:r>
            <w:rPr>
              <w:rFonts w:ascii="Cambria Math" w:hAnsi="Cambria Math"/>
              <w:color w:val="1F497D" w:themeColor="text2"/>
              <w:u w:val="single"/>
            </w:rPr>
            <m:t>×0.75×0.95×</m:t>
          </m:r>
          <m:d>
            <m:dPr>
              <m:ctrlPr>
                <w:rPr>
                  <w:rFonts w:ascii="Cambria Math" w:hAnsi="Cambria Math"/>
                  <w:i/>
                  <w:color w:val="1F497D" w:themeColor="text2"/>
                  <w:u w:val="single"/>
                </w:rPr>
              </m:ctrlPr>
            </m:dPr>
            <m:e>
              <m:r>
                <w:rPr>
                  <w:rFonts w:ascii="Cambria Math" w:hAnsi="Cambria Math"/>
                  <w:color w:val="1F497D" w:themeColor="text2"/>
                  <w:u w:val="single"/>
                </w:rPr>
                <m:t>1+cost of debt</m:t>
              </m:r>
            </m:e>
          </m:d>
        </m:oMath>
      </m:oMathPara>
    </w:p>
    <w:p w:rsidR="0067630A" w:rsidRDefault="0067630A" w:rsidP="0067630A">
      <w:pPr>
        <w:pStyle w:val="Subclause1"/>
        <w:numPr>
          <w:ilvl w:val="0"/>
          <w:numId w:val="0"/>
        </w:numPr>
        <w:ind w:left="1418"/>
        <w:rPr>
          <w:color w:val="1F497D" w:themeColor="text2"/>
          <w:u w:val="single"/>
        </w:rPr>
      </w:pPr>
      <w:proofErr w:type="gramStart"/>
      <w:r>
        <w:rPr>
          <w:color w:val="1F497D" w:themeColor="text2"/>
          <w:u w:val="single"/>
        </w:rPr>
        <w:t>where</w:t>
      </w:r>
      <w:proofErr w:type="gramEnd"/>
      <w:r>
        <w:rPr>
          <w:color w:val="1F497D" w:themeColor="text2"/>
          <w:u w:val="single"/>
        </w:rPr>
        <w:t xml:space="preserve">: </w:t>
      </w:r>
    </w:p>
    <w:p w:rsidR="0067630A" w:rsidRDefault="0067630A" w:rsidP="0067630A">
      <w:pPr>
        <w:pStyle w:val="Subclause1"/>
        <w:numPr>
          <w:ilvl w:val="0"/>
          <w:numId w:val="0"/>
        </w:numPr>
        <w:ind w:left="3537" w:hanging="1410"/>
        <w:rPr>
          <w:color w:val="1F497D" w:themeColor="text2"/>
          <w:u w:val="single"/>
        </w:rPr>
      </w:pPr>
      <w:r w:rsidRPr="0067630A">
        <w:rPr>
          <w:i/>
          <w:color w:val="1F497D" w:themeColor="text2"/>
          <w:u w:val="single"/>
        </w:rPr>
        <w:t>ICP</w:t>
      </w:r>
      <w:r w:rsidRPr="0067630A">
        <w:rPr>
          <w:i/>
          <w:color w:val="1F497D" w:themeColor="text2"/>
          <w:u w:val="single"/>
          <w:vertAlign w:val="subscript"/>
        </w:rPr>
        <w:t>2014</w:t>
      </w:r>
      <w:r>
        <w:rPr>
          <w:color w:val="1F497D" w:themeColor="text2"/>
          <w:u w:val="single"/>
        </w:rPr>
        <w:tab/>
        <w:t xml:space="preserve">is the number of ICPs supplied by the Non-exempt EDB at 1 April 2014. </w:t>
      </w:r>
    </w:p>
    <w:p w:rsidR="0053469D" w:rsidRPr="00F337D6" w:rsidRDefault="00555D48" w:rsidP="00555D48">
      <w:pPr>
        <w:pStyle w:val="ClauseTitle"/>
        <w:rPr>
          <w:szCs w:val="24"/>
        </w:rPr>
      </w:pPr>
      <w:bookmarkStart w:id="14" w:name="_Ref392777171"/>
      <w:r w:rsidRPr="00F337D6">
        <w:rPr>
          <w:szCs w:val="24"/>
        </w:rPr>
        <w:t xml:space="preserve">Quality </w:t>
      </w:r>
      <w:r w:rsidR="00D124F3">
        <w:rPr>
          <w:szCs w:val="24"/>
        </w:rPr>
        <w:t>s</w:t>
      </w:r>
      <w:r w:rsidRPr="00F337D6">
        <w:rPr>
          <w:szCs w:val="24"/>
        </w:rPr>
        <w:t>tandards</w:t>
      </w:r>
      <w:bookmarkEnd w:id="14"/>
    </w:p>
    <w:p w:rsidR="007D2C51" w:rsidRPr="00FC42DB" w:rsidRDefault="007D2C51" w:rsidP="00802375">
      <w:pPr>
        <w:pStyle w:val="Subclause1"/>
        <w:tabs>
          <w:tab w:val="clear" w:pos="1418"/>
        </w:tabs>
        <w:ind w:left="709"/>
        <w:rPr>
          <w:szCs w:val="24"/>
        </w:rPr>
      </w:pPr>
      <w:r w:rsidRPr="00FC42DB">
        <w:rPr>
          <w:szCs w:val="24"/>
        </w:rPr>
        <w:t>A Non-exempt EDB must, in respect of each Assessment Period, either:</w:t>
      </w:r>
    </w:p>
    <w:p w:rsidR="007D2C51" w:rsidRPr="00FC42DB" w:rsidRDefault="007D2C51" w:rsidP="007D2C51">
      <w:pPr>
        <w:pStyle w:val="Subclause1"/>
        <w:numPr>
          <w:ilvl w:val="0"/>
          <w:numId w:val="0"/>
        </w:numPr>
        <w:ind w:left="1418" w:hanging="709"/>
        <w:rPr>
          <w:szCs w:val="24"/>
        </w:rPr>
      </w:pPr>
      <w:r w:rsidRPr="00FC42DB">
        <w:rPr>
          <w:szCs w:val="24"/>
        </w:rPr>
        <w:t>(a)</w:t>
      </w:r>
      <w:r w:rsidRPr="00FC42DB">
        <w:rPr>
          <w:szCs w:val="24"/>
        </w:rPr>
        <w:tab/>
      </w:r>
      <w:proofErr w:type="gramStart"/>
      <w:r w:rsidRPr="00FC42DB">
        <w:rPr>
          <w:szCs w:val="24"/>
        </w:rPr>
        <w:t>comply</w:t>
      </w:r>
      <w:proofErr w:type="gramEnd"/>
      <w:r w:rsidRPr="00FC42DB">
        <w:rPr>
          <w:szCs w:val="24"/>
        </w:rPr>
        <w:t xml:space="preserve"> with the annual reliability assessment specified in clause 9.2 for that Assessment Period; or </w:t>
      </w:r>
    </w:p>
    <w:p w:rsidR="007D2C51" w:rsidRPr="00FC42DB" w:rsidRDefault="007D2C51" w:rsidP="007D2C51">
      <w:pPr>
        <w:pStyle w:val="Subclause1"/>
        <w:numPr>
          <w:ilvl w:val="0"/>
          <w:numId w:val="0"/>
        </w:numPr>
        <w:ind w:left="1418" w:hanging="709"/>
        <w:rPr>
          <w:szCs w:val="24"/>
        </w:rPr>
      </w:pPr>
      <w:r w:rsidRPr="00FC42DB">
        <w:rPr>
          <w:szCs w:val="24"/>
        </w:rPr>
        <w:t>(b)</w:t>
      </w:r>
      <w:r w:rsidRPr="00FC42DB">
        <w:rPr>
          <w:szCs w:val="24"/>
        </w:rPr>
        <w:tab/>
      </w:r>
      <w:proofErr w:type="gramStart"/>
      <w:r w:rsidRPr="00FC42DB">
        <w:rPr>
          <w:szCs w:val="24"/>
        </w:rPr>
        <w:t>have</w:t>
      </w:r>
      <w:proofErr w:type="gramEnd"/>
      <w:r w:rsidRPr="00FC42DB">
        <w:rPr>
          <w:szCs w:val="24"/>
        </w:rPr>
        <w:t xml:space="preserve"> complied with any annual reliability assessments for the two preceding Assessment Periods.</w:t>
      </w:r>
    </w:p>
    <w:p w:rsidR="007D2C51" w:rsidRPr="00FC42DB" w:rsidRDefault="007D2C51" w:rsidP="007D2C51">
      <w:pPr>
        <w:pStyle w:val="Subclause1"/>
        <w:tabs>
          <w:tab w:val="clear" w:pos="1418"/>
        </w:tabs>
        <w:ind w:left="709"/>
        <w:rPr>
          <w:szCs w:val="24"/>
        </w:rPr>
      </w:pPr>
      <w:r w:rsidRPr="00FC42DB">
        <w:rPr>
          <w:szCs w:val="24"/>
        </w:rPr>
        <w:t xml:space="preserve">For the purpose of </w:t>
      </w:r>
      <w:proofErr w:type="spellStart"/>
      <w:r w:rsidRPr="00FC42DB">
        <w:rPr>
          <w:szCs w:val="24"/>
        </w:rPr>
        <w:t>subclause</w:t>
      </w:r>
      <w:proofErr w:type="spellEnd"/>
      <w:r w:rsidRPr="00FC42DB">
        <w:rPr>
          <w:szCs w:val="24"/>
        </w:rPr>
        <w:t xml:space="preserve"> 9.1(a), </w:t>
      </w:r>
      <w:r w:rsidR="0089509C" w:rsidRPr="00FC42DB">
        <w:rPr>
          <w:szCs w:val="24"/>
        </w:rPr>
        <w:t>to comply with th</w:t>
      </w:r>
      <w:r w:rsidR="00C51334">
        <w:rPr>
          <w:szCs w:val="24"/>
        </w:rPr>
        <w:t>e annual reliability assessment</w:t>
      </w:r>
      <w:r w:rsidR="0089509C" w:rsidRPr="00FC42DB">
        <w:rPr>
          <w:szCs w:val="24"/>
        </w:rPr>
        <w:t>–</w:t>
      </w:r>
      <w:r w:rsidRPr="00FC42DB">
        <w:rPr>
          <w:szCs w:val="24"/>
        </w:rPr>
        <w:t xml:space="preserve"> </w:t>
      </w:r>
    </w:p>
    <w:p w:rsidR="00555D48" w:rsidRPr="00FC42DB" w:rsidRDefault="0089509C" w:rsidP="0089509C">
      <w:pPr>
        <w:pStyle w:val="Subclause1"/>
        <w:numPr>
          <w:ilvl w:val="0"/>
          <w:numId w:val="0"/>
        </w:numPr>
        <w:ind w:left="1418" w:hanging="709"/>
        <w:rPr>
          <w:szCs w:val="24"/>
        </w:rPr>
      </w:pPr>
      <w:r w:rsidRPr="00FC42DB">
        <w:rPr>
          <w:szCs w:val="24"/>
        </w:rPr>
        <w:t>(a)</w:t>
      </w:r>
      <w:r w:rsidRPr="00FC42DB">
        <w:rPr>
          <w:szCs w:val="24"/>
        </w:rPr>
        <w:tab/>
        <w:t xml:space="preserve">a </w:t>
      </w:r>
      <w:r w:rsidR="007D2C51" w:rsidRPr="00FC42DB">
        <w:rPr>
          <w:szCs w:val="24"/>
        </w:rPr>
        <w:t xml:space="preserve">Non-exempt EDB’s </w:t>
      </w:r>
      <w:r w:rsidR="00555D48" w:rsidRPr="00FC42DB">
        <w:rPr>
          <w:szCs w:val="24"/>
        </w:rPr>
        <w:t xml:space="preserve">SAIDI Assessed Value </w:t>
      </w:r>
      <w:r w:rsidR="005D2B1F" w:rsidRPr="00FC42DB">
        <w:rPr>
          <w:szCs w:val="24"/>
        </w:rPr>
        <w:t xml:space="preserve">for each Assessment Period </w:t>
      </w:r>
      <w:r w:rsidR="00555D48" w:rsidRPr="00FC42DB">
        <w:rPr>
          <w:szCs w:val="24"/>
        </w:rPr>
        <w:t xml:space="preserve">must not exceed the SAIDI </w:t>
      </w:r>
      <w:r w:rsidR="00A045EF" w:rsidRPr="00FC42DB">
        <w:rPr>
          <w:szCs w:val="24"/>
        </w:rPr>
        <w:t>Limit</w:t>
      </w:r>
      <w:r w:rsidRPr="00FC42DB">
        <w:rPr>
          <w:szCs w:val="24"/>
        </w:rPr>
        <w:t xml:space="preserve"> </w:t>
      </w:r>
      <w:r w:rsidR="00555D48" w:rsidRPr="00FC42DB">
        <w:rPr>
          <w:szCs w:val="24"/>
        </w:rPr>
        <w:t>specified in Schedule</w:t>
      </w:r>
      <w:r w:rsidR="008648F5" w:rsidRPr="00FC42DB">
        <w:rPr>
          <w:szCs w:val="24"/>
        </w:rPr>
        <w:t xml:space="preserve"> </w:t>
      </w:r>
      <w:r w:rsidR="006735C4" w:rsidRPr="00FC42DB">
        <w:rPr>
          <w:szCs w:val="24"/>
        </w:rPr>
        <w:t>4</w:t>
      </w:r>
      <w:r w:rsidR="00FC42DB" w:rsidRPr="00FC42DB">
        <w:rPr>
          <w:szCs w:val="24"/>
        </w:rPr>
        <w:t>A</w:t>
      </w:r>
      <w:r w:rsidRPr="00FC42DB">
        <w:rPr>
          <w:szCs w:val="24"/>
        </w:rPr>
        <w:t>; and</w:t>
      </w:r>
    </w:p>
    <w:p w:rsidR="00555D48" w:rsidRPr="00FC42DB" w:rsidRDefault="0089509C" w:rsidP="0089509C">
      <w:pPr>
        <w:pStyle w:val="Subclause1"/>
        <w:numPr>
          <w:ilvl w:val="0"/>
          <w:numId w:val="0"/>
        </w:numPr>
        <w:ind w:left="1418" w:hanging="709"/>
        <w:rPr>
          <w:szCs w:val="24"/>
        </w:rPr>
      </w:pPr>
      <w:r w:rsidRPr="00FC42DB">
        <w:rPr>
          <w:szCs w:val="24"/>
        </w:rPr>
        <w:t>(b)</w:t>
      </w:r>
      <w:r w:rsidRPr="00FC42DB">
        <w:rPr>
          <w:szCs w:val="24"/>
        </w:rPr>
        <w:tab/>
      </w:r>
      <w:proofErr w:type="gramStart"/>
      <w:r w:rsidRPr="00FC42DB">
        <w:rPr>
          <w:szCs w:val="24"/>
        </w:rPr>
        <w:t>a</w:t>
      </w:r>
      <w:proofErr w:type="gramEnd"/>
      <w:r w:rsidRPr="00FC42DB">
        <w:rPr>
          <w:szCs w:val="24"/>
        </w:rPr>
        <w:t xml:space="preserve"> Non-exempt EDB’s</w:t>
      </w:r>
      <w:r w:rsidR="00555D48" w:rsidRPr="00FC42DB">
        <w:rPr>
          <w:szCs w:val="24"/>
        </w:rPr>
        <w:t xml:space="preserve"> SAIFI Assessed Value</w:t>
      </w:r>
      <w:r w:rsidR="005D2B1F" w:rsidRPr="00FC42DB">
        <w:rPr>
          <w:szCs w:val="24"/>
        </w:rPr>
        <w:t xml:space="preserve"> for each Assessment Period </w:t>
      </w:r>
      <w:r w:rsidR="00555D48" w:rsidRPr="00FC42DB">
        <w:rPr>
          <w:szCs w:val="24"/>
        </w:rPr>
        <w:t xml:space="preserve">must not exceed the SAIFI </w:t>
      </w:r>
      <w:r w:rsidR="00A045EF" w:rsidRPr="00FC42DB">
        <w:rPr>
          <w:szCs w:val="24"/>
        </w:rPr>
        <w:t xml:space="preserve">Limit </w:t>
      </w:r>
      <w:r w:rsidR="00555D48" w:rsidRPr="00FC42DB">
        <w:rPr>
          <w:szCs w:val="24"/>
        </w:rPr>
        <w:t xml:space="preserve">specified in Schedule </w:t>
      </w:r>
      <w:r w:rsidR="006735C4" w:rsidRPr="00FC42DB">
        <w:rPr>
          <w:szCs w:val="24"/>
        </w:rPr>
        <w:t>4</w:t>
      </w:r>
      <w:r w:rsidR="00FC42DB" w:rsidRPr="00FC42DB">
        <w:rPr>
          <w:szCs w:val="24"/>
        </w:rPr>
        <w:t>A</w:t>
      </w:r>
      <w:r w:rsidR="00555D48" w:rsidRPr="00FC42DB">
        <w:rPr>
          <w:szCs w:val="24"/>
        </w:rPr>
        <w:t>.</w:t>
      </w:r>
    </w:p>
    <w:p w:rsidR="00555D48" w:rsidRPr="00F337D6" w:rsidRDefault="00555D48" w:rsidP="00555D48">
      <w:pPr>
        <w:pStyle w:val="ClauseTitle"/>
        <w:rPr>
          <w:szCs w:val="24"/>
        </w:rPr>
      </w:pPr>
      <w:bookmarkStart w:id="15" w:name="_Ref392777186"/>
      <w:r w:rsidRPr="00F337D6">
        <w:rPr>
          <w:szCs w:val="24"/>
        </w:rPr>
        <w:t>Large transactions</w:t>
      </w:r>
      <w:bookmarkEnd w:id="15"/>
    </w:p>
    <w:p w:rsidR="00555D48" w:rsidRPr="003951AE" w:rsidRDefault="00555D48" w:rsidP="00555D48">
      <w:pPr>
        <w:pStyle w:val="Heading3"/>
        <w:rPr>
          <w:szCs w:val="24"/>
        </w:rPr>
      </w:pPr>
      <w:r w:rsidRPr="003951AE">
        <w:rPr>
          <w:szCs w:val="24"/>
        </w:rPr>
        <w:t>Requirement to notify the Commission of large transactions</w:t>
      </w:r>
    </w:p>
    <w:p w:rsidR="007E21B1" w:rsidRDefault="00555D48" w:rsidP="00802375">
      <w:pPr>
        <w:pStyle w:val="Subclause1"/>
        <w:tabs>
          <w:tab w:val="clear" w:pos="1418"/>
        </w:tabs>
        <w:ind w:left="709"/>
      </w:pPr>
      <w:bookmarkStart w:id="16" w:name="_Ref393213458"/>
      <w:r w:rsidRPr="003951AE">
        <w:t xml:space="preserve">Each Non-exempt EDB must notify the Commission in writing within 30 </w:t>
      </w:r>
      <w:r w:rsidR="00D124F3">
        <w:t>Working Days</w:t>
      </w:r>
      <w:r w:rsidRPr="003951AE">
        <w:t xml:space="preserve"> after entering into an agreement with another EDB for an Amalgamation, Merger, or Major Transaction, where:</w:t>
      </w:r>
      <w:bookmarkEnd w:id="16"/>
    </w:p>
    <w:p w:rsidR="00555D48" w:rsidRPr="00E016D5" w:rsidRDefault="00E016D5" w:rsidP="00B87C77">
      <w:pPr>
        <w:pStyle w:val="Subclause2"/>
        <w:numPr>
          <w:ilvl w:val="0"/>
          <w:numId w:val="58"/>
        </w:numPr>
        <w:ind w:left="1418" w:hanging="709"/>
      </w:pPr>
      <w:r w:rsidRPr="00E016D5">
        <w:lastRenderedPageBreak/>
        <w:t>the Regulatory Investment Value of the Non-exempt EDB’s assets associated with the provision of Electricity Distribution Services as at the start of the next Assessment Period is anticipated to increase or decrease by more than 10% as a result of the transaction; or</w:t>
      </w:r>
      <w:r w:rsidR="00555D48" w:rsidRPr="00E016D5">
        <w:t xml:space="preserve"> </w:t>
      </w:r>
    </w:p>
    <w:p w:rsidR="00E07DE1" w:rsidRDefault="00555D48" w:rsidP="00E016D5">
      <w:pPr>
        <w:pStyle w:val="Subclause2"/>
        <w:ind w:left="1418" w:hanging="709"/>
      </w:pPr>
      <w:proofErr w:type="gramStart"/>
      <w:r w:rsidRPr="00E016D5">
        <w:t>the</w:t>
      </w:r>
      <w:proofErr w:type="gramEnd"/>
      <w:r w:rsidRPr="00E016D5">
        <w:t xml:space="preserve"> Non-exempt EDB’s notional revenues </w:t>
      </w:r>
      <w:r w:rsidR="007262CC">
        <w:t>for</w:t>
      </w:r>
      <w:r w:rsidR="007262CC" w:rsidRPr="00E016D5">
        <w:t xml:space="preserve"> an Assessment Period</w:t>
      </w:r>
      <w:r w:rsidRPr="00E016D5">
        <w:t xml:space="preserve"> is anticipated to increase or decrease by more than 10% within </w:t>
      </w:r>
      <w:r w:rsidRPr="00CD4177">
        <w:rPr>
          <w:strike/>
          <w:color w:val="1F497D" w:themeColor="text2"/>
        </w:rPr>
        <w:t>an</w:t>
      </w:r>
      <w:r w:rsidRPr="00CD4177">
        <w:rPr>
          <w:color w:val="1F497D" w:themeColor="text2"/>
        </w:rPr>
        <w:t xml:space="preserve"> </w:t>
      </w:r>
      <w:r w:rsidR="00D22371" w:rsidRPr="00CD4177">
        <w:rPr>
          <w:color w:val="1F497D" w:themeColor="text2"/>
          <w:u w:val="single"/>
        </w:rPr>
        <w:t>the</w:t>
      </w:r>
      <w:r w:rsidR="00D22371" w:rsidRPr="00CD4177">
        <w:rPr>
          <w:color w:val="1F497D" w:themeColor="text2"/>
        </w:rPr>
        <w:t xml:space="preserve"> </w:t>
      </w:r>
      <w:r w:rsidRPr="00E016D5">
        <w:t xml:space="preserve">Assessment Period </w:t>
      </w:r>
      <w:r w:rsidR="00D22371" w:rsidRPr="00CD4177">
        <w:rPr>
          <w:color w:val="1F497D" w:themeColor="text2"/>
          <w:u w:val="single"/>
        </w:rPr>
        <w:t>following the transaction</w:t>
      </w:r>
      <w:r w:rsidR="00D22371" w:rsidRPr="00CD4177">
        <w:rPr>
          <w:color w:val="1F497D" w:themeColor="text2"/>
        </w:rPr>
        <w:t xml:space="preserve"> </w:t>
      </w:r>
      <w:r w:rsidRPr="00E016D5">
        <w:t>as a result of the transaction</w:t>
      </w:r>
      <w:r w:rsidR="006701EF" w:rsidRPr="00E016D5">
        <w:t>.</w:t>
      </w:r>
    </w:p>
    <w:p w:rsidR="00555D48" w:rsidRPr="003951AE" w:rsidRDefault="00555D48" w:rsidP="00802375">
      <w:pPr>
        <w:pStyle w:val="Subclause1"/>
        <w:tabs>
          <w:tab w:val="clear" w:pos="1418"/>
        </w:tabs>
        <w:ind w:left="709"/>
      </w:pPr>
      <w:r w:rsidRPr="003951AE">
        <w:t xml:space="preserve">Where </w:t>
      </w:r>
      <w:r w:rsidR="00BA09BC">
        <w:t>a</w:t>
      </w:r>
      <w:r w:rsidR="00BA09BC" w:rsidRPr="003951AE">
        <w:t xml:space="preserve"> </w:t>
      </w:r>
      <w:r w:rsidRPr="003951AE">
        <w:t xml:space="preserve">Non-exempt EDB </w:t>
      </w:r>
      <w:r w:rsidR="00BA09BC" w:rsidRPr="003951AE">
        <w:t>enter</w:t>
      </w:r>
      <w:r w:rsidR="00BA09BC">
        <w:t>s</w:t>
      </w:r>
      <w:r w:rsidR="00BA09BC" w:rsidRPr="003951AE">
        <w:t xml:space="preserve"> </w:t>
      </w:r>
      <w:r w:rsidRPr="003951AE">
        <w:t xml:space="preserve">into a Major Transaction, </w:t>
      </w:r>
      <w:r w:rsidR="006735C4">
        <w:t>any</w:t>
      </w:r>
      <w:r w:rsidR="006735C4" w:rsidRPr="003951AE">
        <w:t xml:space="preserve"> </w:t>
      </w:r>
      <w:r w:rsidRPr="003951AE">
        <w:t>notice required under clause 10.1 must include</w:t>
      </w:r>
      <w:r w:rsidR="0027348C">
        <w:t>, to the extent practically available at the time of the notice, the</w:t>
      </w:r>
      <w:r w:rsidRPr="003951AE">
        <w:t>:</w:t>
      </w:r>
    </w:p>
    <w:p w:rsidR="00CF3AE0" w:rsidRDefault="00CF3AE0" w:rsidP="005C5B0D">
      <w:pPr>
        <w:pStyle w:val="Subclause2"/>
        <w:numPr>
          <w:ilvl w:val="0"/>
          <w:numId w:val="22"/>
        </w:numPr>
        <w:ind w:left="1418" w:hanging="709"/>
      </w:pPr>
      <w:r>
        <w:t>allowable notional revenue attributable to the Major Transaction</w:t>
      </w:r>
      <w:r w:rsidR="00BA09BC">
        <w:t xml:space="preserve">, determined in accordance with Schedule </w:t>
      </w:r>
      <w:r w:rsidR="006735C4">
        <w:t>3C</w:t>
      </w:r>
      <w:r w:rsidR="00BA09BC">
        <w:t>,</w:t>
      </w:r>
      <w:r>
        <w:t xml:space="preserve"> </w:t>
      </w:r>
      <w:r w:rsidR="00BA09BC" w:rsidRPr="003951AE">
        <w:t xml:space="preserve">for the </w:t>
      </w:r>
      <w:r w:rsidR="00BA09BC">
        <w:t xml:space="preserve">Assessment Period in which </w:t>
      </w:r>
      <w:r w:rsidR="00821D31">
        <w:t>consumers are or will be first supplied Electricity Lines Services by a different EDB as a result of the Major Transaction</w:t>
      </w:r>
      <w:r>
        <w:t>;</w:t>
      </w:r>
    </w:p>
    <w:p w:rsidR="00CF3AE0" w:rsidRDefault="00BA09BC" w:rsidP="005C5B0D">
      <w:pPr>
        <w:pStyle w:val="Subclause2"/>
        <w:numPr>
          <w:ilvl w:val="0"/>
          <w:numId w:val="22"/>
        </w:numPr>
        <w:ind w:left="1418" w:hanging="709"/>
      </w:pPr>
      <w:r>
        <w:t>Non-exempt EDB’s allowable notional revenue for the Assessment Period in which the</w:t>
      </w:r>
      <w:r w:rsidR="00E021B4">
        <w:t xml:space="preserve"> t</w:t>
      </w:r>
      <w:r>
        <w:t xml:space="preserve">ransaction will occur, as adjusted in accordance with Schedule </w:t>
      </w:r>
      <w:r w:rsidR="006735C4">
        <w:t>3C</w:t>
      </w:r>
      <w:r>
        <w:t>;</w:t>
      </w:r>
    </w:p>
    <w:p w:rsidR="00BA09BC" w:rsidRDefault="00555D48" w:rsidP="005C5B0D">
      <w:pPr>
        <w:pStyle w:val="Subclause2"/>
        <w:numPr>
          <w:ilvl w:val="0"/>
          <w:numId w:val="22"/>
        </w:numPr>
        <w:ind w:left="1418" w:hanging="709"/>
      </w:pPr>
      <w:r w:rsidRPr="003951AE">
        <w:t xml:space="preserve">Pass-through Costs and Recoverable Costs </w:t>
      </w:r>
      <w:r w:rsidR="00BA09BC">
        <w:t xml:space="preserve">attributable to the Major Transaction, determined in accordance with Schedule </w:t>
      </w:r>
      <w:r w:rsidR="006735C4">
        <w:t>3C</w:t>
      </w:r>
      <w:r w:rsidR="00BA09BC">
        <w:t>,</w:t>
      </w:r>
      <w:r w:rsidRPr="003951AE">
        <w:t xml:space="preserve"> for the Assessment Period in which the transaction will occur</w:t>
      </w:r>
      <w:r w:rsidR="00BA09BC">
        <w:t xml:space="preserve">; </w:t>
      </w:r>
    </w:p>
    <w:p w:rsidR="00C67AAE" w:rsidRDefault="00BA09BC" w:rsidP="005C5B0D">
      <w:pPr>
        <w:pStyle w:val="Subclause2"/>
        <w:numPr>
          <w:ilvl w:val="0"/>
          <w:numId w:val="22"/>
        </w:numPr>
        <w:ind w:left="1418" w:hanging="709"/>
      </w:pPr>
      <w:r>
        <w:t>basis on which allowable notional revenue, Pass-through Costs, and Recoverable Costs were allocated between the parties</w:t>
      </w:r>
      <w:r w:rsidR="0027348C">
        <w:t xml:space="preserve"> or otherwise determined in accordance with Schedule 3C</w:t>
      </w:r>
      <w:r w:rsidR="00C67AAE">
        <w:t>; and</w:t>
      </w:r>
    </w:p>
    <w:p w:rsidR="00555D48" w:rsidRPr="003951AE" w:rsidRDefault="00C67AAE" w:rsidP="005C5B0D">
      <w:pPr>
        <w:pStyle w:val="Subclause2"/>
        <w:numPr>
          <w:ilvl w:val="0"/>
          <w:numId w:val="22"/>
        </w:numPr>
        <w:ind w:left="1418" w:hanging="709"/>
      </w:pPr>
      <w:r>
        <w:t>SAIDI Limits, SAIDI Unplanned Boundary Values, SAIFI Limits, and SAIFI Unplanned Boundary Values, as adjusted in accordance with Schedule 4B</w:t>
      </w:r>
      <w:r w:rsidR="00BA09BC">
        <w:t>.</w:t>
      </w:r>
    </w:p>
    <w:p w:rsidR="00555D48" w:rsidRPr="003951AE" w:rsidRDefault="00555D48" w:rsidP="00555D48">
      <w:pPr>
        <w:pStyle w:val="Heading3"/>
        <w:rPr>
          <w:szCs w:val="24"/>
        </w:rPr>
      </w:pPr>
      <w:r w:rsidRPr="003951AE">
        <w:rPr>
          <w:szCs w:val="24"/>
        </w:rPr>
        <w:t>Transactions resulting in an Amalgamation</w:t>
      </w:r>
      <w:r w:rsidR="005D2B1F">
        <w:rPr>
          <w:szCs w:val="24"/>
        </w:rPr>
        <w:t xml:space="preserve"> or Merger</w:t>
      </w:r>
    </w:p>
    <w:p w:rsidR="00D07E0C" w:rsidRDefault="00555D48" w:rsidP="00802375">
      <w:pPr>
        <w:pStyle w:val="Subclause1"/>
        <w:tabs>
          <w:tab w:val="clear" w:pos="1418"/>
        </w:tabs>
        <w:ind w:left="709"/>
      </w:pPr>
      <w:r w:rsidRPr="003951AE">
        <w:t>Where a Non-exempt EDB completes</w:t>
      </w:r>
      <w:r w:rsidR="00D07E0C">
        <w:t>–</w:t>
      </w:r>
    </w:p>
    <w:p w:rsidR="00D07E0C" w:rsidRDefault="00555D48" w:rsidP="00B87C77">
      <w:pPr>
        <w:pStyle w:val="Subclause2"/>
        <w:numPr>
          <w:ilvl w:val="0"/>
          <w:numId w:val="79"/>
        </w:numPr>
        <w:ind w:left="1418" w:hanging="709"/>
      </w:pPr>
      <w:r w:rsidRPr="003951AE">
        <w:t xml:space="preserve">an Amalgamation with one or more </w:t>
      </w:r>
      <w:r w:rsidR="007262CC">
        <w:t>Non-exempt</w:t>
      </w:r>
      <w:r w:rsidR="007262CC" w:rsidRPr="003951AE">
        <w:t xml:space="preserve"> </w:t>
      </w:r>
      <w:r w:rsidRPr="003951AE">
        <w:t>EDBs, clause 3.2.1 of the IM Determination applies</w:t>
      </w:r>
      <w:r w:rsidR="00D07E0C">
        <w:t>;</w:t>
      </w:r>
      <w:r w:rsidR="00F11DE1">
        <w:t xml:space="preserve"> and</w:t>
      </w:r>
    </w:p>
    <w:p w:rsidR="00555D48" w:rsidRPr="003951AE" w:rsidRDefault="00D07E0C" w:rsidP="00B87C77">
      <w:pPr>
        <w:pStyle w:val="Subclause2"/>
        <w:numPr>
          <w:ilvl w:val="0"/>
          <w:numId w:val="79"/>
        </w:numPr>
        <w:ind w:left="1418" w:hanging="709"/>
      </w:pPr>
      <w:proofErr w:type="gramStart"/>
      <w:r w:rsidRPr="003951AE">
        <w:t>a</w:t>
      </w:r>
      <w:proofErr w:type="gramEnd"/>
      <w:r w:rsidRPr="003951AE">
        <w:t xml:space="preserve"> </w:t>
      </w:r>
      <w:r>
        <w:t>Merger</w:t>
      </w:r>
      <w:r w:rsidRPr="003951AE">
        <w:t xml:space="preserve"> with one or more </w:t>
      </w:r>
      <w:r>
        <w:t>Non-exempt</w:t>
      </w:r>
      <w:r w:rsidRPr="003951AE">
        <w:t xml:space="preserve"> EDBs, clause 3.2.1 of the IM Determination applies</w:t>
      </w:r>
      <w:r>
        <w:t xml:space="preserve"> as if it were an Amalgamation</w:t>
      </w:r>
      <w:r w:rsidR="00555D48" w:rsidRPr="003951AE">
        <w:t>.</w:t>
      </w:r>
    </w:p>
    <w:p w:rsidR="006D2841" w:rsidRPr="00CD4177" w:rsidRDefault="006D2841" w:rsidP="006D2841">
      <w:pPr>
        <w:pStyle w:val="Subclause1"/>
        <w:tabs>
          <w:tab w:val="clear" w:pos="1418"/>
        </w:tabs>
        <w:ind w:left="709"/>
        <w:rPr>
          <w:color w:val="1F497D" w:themeColor="text2"/>
          <w:u w:val="single"/>
        </w:rPr>
      </w:pPr>
      <w:r w:rsidRPr="00CD4177">
        <w:rPr>
          <w:color w:val="1F497D" w:themeColor="text2"/>
          <w:u w:val="single"/>
        </w:rPr>
        <w:t xml:space="preserve">For the purpose of clause 10.3, the quality standards within </w:t>
      </w:r>
      <w:r w:rsidR="00E537BD" w:rsidRPr="00CD4177">
        <w:rPr>
          <w:color w:val="1F497D" w:themeColor="text2"/>
          <w:u w:val="single"/>
        </w:rPr>
        <w:t xml:space="preserve">any </w:t>
      </w:r>
      <w:r w:rsidRPr="00CD4177">
        <w:rPr>
          <w:color w:val="1F497D" w:themeColor="text2"/>
          <w:u w:val="single"/>
        </w:rPr>
        <w:t>DPPs and CPPs amalgamated under clause 3.2.1 of the IM Determination will be amal</w:t>
      </w:r>
      <w:r w:rsidR="00E537BD" w:rsidRPr="00CD4177">
        <w:rPr>
          <w:color w:val="1F497D" w:themeColor="text2"/>
          <w:u w:val="single"/>
        </w:rPr>
        <w:t xml:space="preserve">gamated in accordance with the method specified in Schedule 4B. </w:t>
      </w:r>
    </w:p>
    <w:p w:rsidR="00555D48" w:rsidRPr="003951AE" w:rsidRDefault="002F14D4" w:rsidP="00555D48">
      <w:pPr>
        <w:pStyle w:val="Heading3"/>
        <w:rPr>
          <w:szCs w:val="24"/>
        </w:rPr>
      </w:pPr>
      <w:r>
        <w:rPr>
          <w:szCs w:val="24"/>
        </w:rPr>
        <w:t xml:space="preserve">Major </w:t>
      </w:r>
      <w:r w:rsidR="00555D48" w:rsidRPr="003951AE">
        <w:rPr>
          <w:szCs w:val="24"/>
        </w:rPr>
        <w:t>Transactions</w:t>
      </w:r>
    </w:p>
    <w:p w:rsidR="00555D48" w:rsidRPr="003951AE" w:rsidRDefault="007867C6" w:rsidP="007867C6">
      <w:pPr>
        <w:pStyle w:val="Subclause1"/>
        <w:numPr>
          <w:ilvl w:val="0"/>
          <w:numId w:val="0"/>
        </w:numPr>
        <w:ind w:left="705" w:hanging="705"/>
      </w:pPr>
      <w:r>
        <w:t>10.</w:t>
      </w:r>
      <w:r w:rsidRPr="007867C6">
        <w:rPr>
          <w:strike/>
          <w:color w:val="1F497D" w:themeColor="text2"/>
        </w:rPr>
        <w:t>4</w:t>
      </w:r>
      <w:r w:rsidRPr="007867C6">
        <w:rPr>
          <w:color w:val="1F497D" w:themeColor="text2"/>
          <w:u w:val="single"/>
        </w:rPr>
        <w:t>5</w:t>
      </w:r>
      <w:r>
        <w:tab/>
      </w:r>
      <w:r w:rsidR="00517E58">
        <w:t>A</w:t>
      </w:r>
      <w:r w:rsidR="00555D48" w:rsidRPr="003951AE">
        <w:t xml:space="preserve"> Non-exempt EDB </w:t>
      </w:r>
      <w:r w:rsidR="00517E58">
        <w:t xml:space="preserve">that </w:t>
      </w:r>
      <w:r w:rsidR="003A1170">
        <w:t>completes all the terms and conditions of</w:t>
      </w:r>
      <w:r w:rsidR="00555D48" w:rsidRPr="003951AE">
        <w:t xml:space="preserve"> a </w:t>
      </w:r>
      <w:r w:rsidR="002F14D4">
        <w:t>Major T</w:t>
      </w:r>
      <w:r w:rsidR="00555D48" w:rsidRPr="003951AE">
        <w:t>ransaction</w:t>
      </w:r>
      <w:r w:rsidR="002F14D4">
        <w:t xml:space="preserve"> must</w:t>
      </w:r>
      <w:r w:rsidR="00555D48" w:rsidRPr="003951AE">
        <w:t>:</w:t>
      </w:r>
    </w:p>
    <w:p w:rsidR="006735C4" w:rsidRDefault="006735C4" w:rsidP="005C5B0D">
      <w:pPr>
        <w:pStyle w:val="Subclause2"/>
        <w:numPr>
          <w:ilvl w:val="0"/>
          <w:numId w:val="23"/>
        </w:numPr>
        <w:ind w:left="1418" w:hanging="709"/>
      </w:pPr>
      <w:r>
        <w:lastRenderedPageBreak/>
        <w:t>in</w:t>
      </w:r>
      <w:r w:rsidRPr="003951AE">
        <w:t xml:space="preserve"> </w:t>
      </w:r>
      <w:r w:rsidR="00555D48" w:rsidRPr="003951AE">
        <w:t xml:space="preserve">the Assessment Period in which the </w:t>
      </w:r>
      <w:r>
        <w:t>Major T</w:t>
      </w:r>
      <w:r w:rsidRPr="003951AE">
        <w:t xml:space="preserve">ransaction </w:t>
      </w:r>
      <w:r w:rsidR="00555D48" w:rsidRPr="003951AE">
        <w:t xml:space="preserve">is completed, </w:t>
      </w:r>
      <w:r w:rsidR="00CD6A06">
        <w:t xml:space="preserve">adjust </w:t>
      </w:r>
      <w:r w:rsidR="00555D48" w:rsidRPr="003951AE">
        <w:t xml:space="preserve">the allowable notional revenue for that Assessment Period  in </w:t>
      </w:r>
      <w:r w:rsidR="00CF3AE0">
        <w:t>accordance wit</w:t>
      </w:r>
      <w:r w:rsidR="00CF3AE0" w:rsidRPr="00CF3AE0">
        <w:t xml:space="preserve">h </w:t>
      </w:r>
      <w:r w:rsidR="00555D48" w:rsidRPr="00CF3AE0">
        <w:t>Schedule</w:t>
      </w:r>
      <w:r w:rsidR="003D66D1" w:rsidRPr="00CF3AE0">
        <w:t xml:space="preserve"> </w:t>
      </w:r>
      <w:r>
        <w:t>3</w:t>
      </w:r>
      <w:r w:rsidRPr="00CF3AE0">
        <w:t>C</w:t>
      </w:r>
      <w:r w:rsidR="00555D48" w:rsidRPr="00CF3AE0">
        <w:t>;</w:t>
      </w:r>
      <w:r w:rsidR="00E57444" w:rsidRPr="00D124F3">
        <w:t xml:space="preserve"> </w:t>
      </w:r>
    </w:p>
    <w:p w:rsidR="00555D48" w:rsidRPr="00D124F3" w:rsidRDefault="006735C4" w:rsidP="005C5B0D">
      <w:pPr>
        <w:pStyle w:val="Subclause2"/>
        <w:numPr>
          <w:ilvl w:val="0"/>
          <w:numId w:val="23"/>
        </w:numPr>
        <w:ind w:left="1418" w:hanging="709"/>
      </w:pPr>
      <w:r>
        <w:t xml:space="preserve">in the Assessment Period </w:t>
      </w:r>
      <w:r w:rsidRPr="00CD4177">
        <w:rPr>
          <w:strike/>
          <w:color w:val="1F497D" w:themeColor="text2"/>
        </w:rPr>
        <w:t>immediately following the completion of the Major Transaction</w:t>
      </w:r>
      <w:r w:rsidR="00CD4177">
        <w:t xml:space="preserve"> </w:t>
      </w:r>
      <w:r w:rsidR="00CD4177" w:rsidRPr="00CD4177">
        <w:rPr>
          <w:color w:val="1F497D" w:themeColor="text2"/>
          <w:u w:val="single"/>
        </w:rPr>
        <w:t>in which the Major Transaction is completed</w:t>
      </w:r>
      <w:r>
        <w:t>,</w:t>
      </w:r>
      <w:r w:rsidR="007262CC" w:rsidRPr="007262CC">
        <w:t xml:space="preserve"> </w:t>
      </w:r>
      <w:r w:rsidR="007262CC">
        <w:t>calculate the Pass-through Balance using the Pass-through Costs and Recoverable Costs determined</w:t>
      </w:r>
      <w:r>
        <w:t xml:space="preserve"> in accordance with Schedule 3C; </w:t>
      </w:r>
      <w:r w:rsidR="00E57444" w:rsidRPr="00D124F3">
        <w:t>and</w:t>
      </w:r>
    </w:p>
    <w:p w:rsidR="005A11A4" w:rsidRDefault="00555D48" w:rsidP="005C5B0D">
      <w:pPr>
        <w:pStyle w:val="Subclause2"/>
        <w:numPr>
          <w:ilvl w:val="0"/>
          <w:numId w:val="23"/>
        </w:numPr>
        <w:ind w:left="1418" w:hanging="709"/>
      </w:pPr>
      <w:bookmarkStart w:id="17" w:name="_Ref400446682"/>
      <w:proofErr w:type="gramStart"/>
      <w:r w:rsidRPr="00D124F3">
        <w:t>re-calculate</w:t>
      </w:r>
      <w:proofErr w:type="gramEnd"/>
      <w:r w:rsidRPr="00D124F3">
        <w:t xml:space="preserve"> the </w:t>
      </w:r>
      <w:r w:rsidR="00517E58">
        <w:t>q</w:t>
      </w:r>
      <w:r w:rsidRPr="00D124F3">
        <w:t xml:space="preserve">uality </w:t>
      </w:r>
      <w:r w:rsidR="00517E58">
        <w:t xml:space="preserve">standards applicable to the Non-exempt EDB </w:t>
      </w:r>
      <w:r w:rsidRPr="00D124F3">
        <w:t xml:space="preserve">in accordance with Schedule </w:t>
      </w:r>
      <w:r w:rsidR="006735C4">
        <w:t>4</w:t>
      </w:r>
      <w:r w:rsidR="00517E58">
        <w:t>B.</w:t>
      </w:r>
      <w:bookmarkEnd w:id="17"/>
    </w:p>
    <w:p w:rsidR="003A1170" w:rsidRPr="003951AE" w:rsidRDefault="003A1170" w:rsidP="003A1170">
      <w:pPr>
        <w:pStyle w:val="Heading3"/>
        <w:rPr>
          <w:szCs w:val="24"/>
        </w:rPr>
      </w:pPr>
      <w:bookmarkStart w:id="18" w:name="_Ref392777199"/>
      <w:r>
        <w:rPr>
          <w:szCs w:val="24"/>
        </w:rPr>
        <w:t xml:space="preserve">Purchase of </w:t>
      </w:r>
      <w:r w:rsidR="0027348C">
        <w:rPr>
          <w:szCs w:val="24"/>
        </w:rPr>
        <w:t xml:space="preserve">System Fixed Assets </w:t>
      </w:r>
      <w:r>
        <w:rPr>
          <w:szCs w:val="24"/>
        </w:rPr>
        <w:t>from Transpower</w:t>
      </w:r>
    </w:p>
    <w:p w:rsidR="003A1170" w:rsidRPr="003951AE" w:rsidRDefault="007867C6" w:rsidP="007867C6">
      <w:pPr>
        <w:pStyle w:val="Subclause1"/>
        <w:numPr>
          <w:ilvl w:val="0"/>
          <w:numId w:val="0"/>
        </w:numPr>
        <w:ind w:left="705" w:hanging="705"/>
      </w:pPr>
      <w:bookmarkStart w:id="19" w:name="_Ref400446672"/>
      <w:r>
        <w:t>10.</w:t>
      </w:r>
      <w:r w:rsidRPr="007867C6">
        <w:rPr>
          <w:strike/>
          <w:color w:val="1F497D" w:themeColor="text2"/>
        </w:rPr>
        <w:t>5</w:t>
      </w:r>
      <w:r w:rsidRPr="007867C6">
        <w:rPr>
          <w:color w:val="1F497D" w:themeColor="text2"/>
          <w:u w:val="single"/>
        </w:rPr>
        <w:t>6</w:t>
      </w:r>
      <w:r>
        <w:tab/>
      </w:r>
      <w:r w:rsidR="003A1170">
        <w:t>A</w:t>
      </w:r>
      <w:r w:rsidR="003A1170" w:rsidRPr="003951AE">
        <w:t xml:space="preserve"> Non-exempt EDB </w:t>
      </w:r>
      <w:r w:rsidR="003A1170">
        <w:t>that completes all the terms and conditions of</w:t>
      </w:r>
      <w:r w:rsidR="003A1170" w:rsidRPr="003951AE">
        <w:t xml:space="preserve"> a </w:t>
      </w:r>
      <w:r w:rsidR="003A1170">
        <w:t xml:space="preserve">transaction for a transfer of transmission assets from Transpower that become System Fixed Assets of the Non-exempt EDB, </w:t>
      </w:r>
      <w:r w:rsidR="003A1170" w:rsidRPr="00113E4A">
        <w:rPr>
          <w:rFonts w:asciiTheme="minorHAnsi" w:hAnsiTheme="minorHAnsi"/>
        </w:rPr>
        <w:t xml:space="preserve">including a </w:t>
      </w:r>
      <w:r w:rsidR="003A1170">
        <w:rPr>
          <w:rFonts w:asciiTheme="minorHAnsi" w:hAnsiTheme="minorHAnsi"/>
        </w:rPr>
        <w:t>transaction</w:t>
      </w:r>
      <w:r w:rsidR="003A1170" w:rsidRPr="00113E4A">
        <w:rPr>
          <w:rFonts w:asciiTheme="minorHAnsi" w:hAnsiTheme="minorHAnsi"/>
        </w:rPr>
        <w:t xml:space="preserve"> completed in the year immediately preceding the current Regulatory Period for which a Transmission Asset Wash-up Adjustment has been specified by the Commission</w:t>
      </w:r>
      <w:r w:rsidR="003A1170">
        <w:rPr>
          <w:rFonts w:asciiTheme="minorHAnsi" w:hAnsiTheme="minorHAnsi"/>
        </w:rPr>
        <w:t>,</w:t>
      </w:r>
      <w:r w:rsidR="003A1170">
        <w:t xml:space="preserve"> must</w:t>
      </w:r>
      <w:r w:rsidR="003A1170" w:rsidRPr="003A1170">
        <w:t xml:space="preserve"> </w:t>
      </w:r>
      <w:r w:rsidR="003A1170" w:rsidRPr="00D124F3">
        <w:t xml:space="preserve">re-calculate the </w:t>
      </w:r>
      <w:r w:rsidR="003A1170">
        <w:t>q</w:t>
      </w:r>
      <w:r w:rsidR="003A1170" w:rsidRPr="00D124F3">
        <w:t xml:space="preserve">uality </w:t>
      </w:r>
      <w:r w:rsidR="003A1170">
        <w:t>standards applicable to the Non-exempt EDB</w:t>
      </w:r>
      <w:r w:rsidR="003A1170" w:rsidRPr="00D124F3">
        <w:t xml:space="preserve"> in accordance with Schedule </w:t>
      </w:r>
      <w:r w:rsidR="003A1170">
        <w:t>4B.</w:t>
      </w:r>
      <w:bookmarkEnd w:id="19"/>
    </w:p>
    <w:p w:rsidR="00555D48" w:rsidRPr="00F337D6" w:rsidRDefault="00A31251" w:rsidP="00A31251">
      <w:pPr>
        <w:pStyle w:val="ClauseTitle"/>
        <w:rPr>
          <w:szCs w:val="24"/>
        </w:rPr>
      </w:pPr>
      <w:r w:rsidRPr="00F337D6">
        <w:rPr>
          <w:szCs w:val="24"/>
        </w:rPr>
        <w:t>Annual compliance statements</w:t>
      </w:r>
      <w:bookmarkEnd w:id="18"/>
    </w:p>
    <w:p w:rsidR="00A31251" w:rsidRPr="00F337D6" w:rsidRDefault="00A31251" w:rsidP="00802375">
      <w:pPr>
        <w:pStyle w:val="Subclause1"/>
        <w:tabs>
          <w:tab w:val="clear" w:pos="1418"/>
        </w:tabs>
        <w:ind w:left="709"/>
      </w:pPr>
      <w:r w:rsidRPr="00F337D6">
        <w:t>All Non-exempt EDBs must:</w:t>
      </w:r>
    </w:p>
    <w:p w:rsidR="00A31251" w:rsidRDefault="00A31251" w:rsidP="00B87C77">
      <w:pPr>
        <w:pStyle w:val="Subclause2"/>
        <w:numPr>
          <w:ilvl w:val="0"/>
          <w:numId w:val="49"/>
        </w:numPr>
        <w:ind w:left="1418" w:hanging="709"/>
      </w:pPr>
      <w:r w:rsidRPr="00F337D6">
        <w:t xml:space="preserve">provide to the Commission a written statement for each Assessment Period within 50 </w:t>
      </w:r>
      <w:r w:rsidR="00D124F3">
        <w:t>Working Days</w:t>
      </w:r>
      <w:r w:rsidRPr="00F337D6">
        <w:t xml:space="preserve"> following the end of the Assessment Period (the </w:t>
      </w:r>
      <w:r w:rsidR="00540F57">
        <w:t xml:space="preserve">Annual </w:t>
      </w:r>
      <w:r w:rsidRPr="00F337D6">
        <w:t xml:space="preserve">Compliance Statement); </w:t>
      </w:r>
    </w:p>
    <w:p w:rsidR="00CD6A06" w:rsidRPr="00F337D6" w:rsidRDefault="00CD6A06" w:rsidP="00B87C77">
      <w:pPr>
        <w:pStyle w:val="Subclause2"/>
        <w:numPr>
          <w:ilvl w:val="0"/>
          <w:numId w:val="49"/>
        </w:numPr>
        <w:ind w:left="1418" w:hanging="709"/>
      </w:pPr>
      <w:r>
        <w:t xml:space="preserve">provide to the Commission copies of their price-quantity schedules reflecting the prices and quantities disclosed in accordance with </w:t>
      </w:r>
      <w:r w:rsidR="009F22A2">
        <w:t xml:space="preserve">clause </w:t>
      </w:r>
      <w:r>
        <w:t>11.4(</w:t>
      </w:r>
      <w:r w:rsidR="00C33E5D">
        <w:t>c</w:t>
      </w:r>
      <w:r>
        <w:t xml:space="preserve">) </w:t>
      </w:r>
      <w:r w:rsidR="0056292A">
        <w:t>and 11.4</w:t>
      </w:r>
      <w:r w:rsidR="0056292A">
        <w:fldChar w:fldCharType="begin"/>
      </w:r>
      <w:r w:rsidR="0056292A">
        <w:instrText xml:space="preserve"> REF _Ref400442106 \r \h </w:instrText>
      </w:r>
      <w:r w:rsidR="0056292A">
        <w:fldChar w:fldCharType="separate"/>
      </w:r>
      <w:r w:rsidR="00B56D36">
        <w:t>(d)</w:t>
      </w:r>
      <w:r w:rsidR="0056292A">
        <w:fldChar w:fldCharType="end"/>
      </w:r>
      <w:r w:rsidR="0056292A">
        <w:t xml:space="preserve"> </w:t>
      </w:r>
      <w:r>
        <w:t xml:space="preserve">in </w:t>
      </w:r>
      <w:r w:rsidRPr="00604256">
        <w:t>an electronic format that is compatible with Microsoft Excel</w:t>
      </w:r>
      <w:r w:rsidRPr="00CD6A06">
        <w:t xml:space="preserve"> </w:t>
      </w:r>
      <w:r w:rsidRPr="00F337D6">
        <w:t xml:space="preserve">within </w:t>
      </w:r>
      <w:r>
        <w:t>five</w:t>
      </w:r>
      <w:r w:rsidRPr="00F337D6">
        <w:t xml:space="preserve"> </w:t>
      </w:r>
      <w:r w:rsidR="00D124F3">
        <w:t>Working Day</w:t>
      </w:r>
      <w:r w:rsidRPr="00F337D6">
        <w:t xml:space="preserve">s after providing </w:t>
      </w:r>
      <w:r>
        <w:t xml:space="preserve">their </w:t>
      </w:r>
      <w:r w:rsidR="00540F57">
        <w:t xml:space="preserve">Annual </w:t>
      </w:r>
      <w:r>
        <w:t>Compliance Statement</w:t>
      </w:r>
      <w:r w:rsidRPr="00F337D6">
        <w:t xml:space="preserve"> to the Commission</w:t>
      </w:r>
      <w:r>
        <w:t>;</w:t>
      </w:r>
      <w:r w:rsidR="00D124F3" w:rsidRPr="00D124F3">
        <w:t xml:space="preserve"> </w:t>
      </w:r>
      <w:r w:rsidR="00D124F3" w:rsidRPr="00F337D6">
        <w:t>and</w:t>
      </w:r>
    </w:p>
    <w:p w:rsidR="00A31251" w:rsidRDefault="00A31251" w:rsidP="00B87C77">
      <w:pPr>
        <w:pStyle w:val="Subclause2"/>
        <w:numPr>
          <w:ilvl w:val="0"/>
          <w:numId w:val="49"/>
        </w:numPr>
        <w:ind w:left="1418" w:hanging="709"/>
      </w:pPr>
      <w:proofErr w:type="gramStart"/>
      <w:r w:rsidRPr="00F337D6">
        <w:t>make</w:t>
      </w:r>
      <w:proofErr w:type="gramEnd"/>
      <w:r w:rsidRPr="00F337D6">
        <w:t xml:space="preserve"> the </w:t>
      </w:r>
      <w:r w:rsidR="00540F57">
        <w:t xml:space="preserve">Annual </w:t>
      </w:r>
      <w:r w:rsidRPr="00F337D6">
        <w:t xml:space="preserve">Compliance Statement publicly available on its website within </w:t>
      </w:r>
      <w:r w:rsidR="008B5D9C">
        <w:t>five</w:t>
      </w:r>
      <w:r w:rsidRPr="00F337D6">
        <w:t xml:space="preserve"> </w:t>
      </w:r>
      <w:r w:rsidR="00D124F3">
        <w:t>Working Day</w:t>
      </w:r>
      <w:r w:rsidRPr="00F337D6">
        <w:t>s after providing it to the Commission.</w:t>
      </w:r>
    </w:p>
    <w:p w:rsidR="00A31251" w:rsidRPr="00F337D6" w:rsidRDefault="00A31251" w:rsidP="00802375">
      <w:pPr>
        <w:pStyle w:val="Subclause1"/>
        <w:tabs>
          <w:tab w:val="clear" w:pos="1418"/>
        </w:tabs>
        <w:ind w:left="709"/>
      </w:pPr>
      <w:r w:rsidRPr="00F337D6">
        <w:t xml:space="preserve">The </w:t>
      </w:r>
      <w:r w:rsidR="00540F57">
        <w:t xml:space="preserve">Annual </w:t>
      </w:r>
      <w:r w:rsidRPr="00F337D6">
        <w:t>Compliance Statement must:</w:t>
      </w:r>
    </w:p>
    <w:p w:rsidR="00A31251" w:rsidRPr="00F337D6" w:rsidRDefault="00A31251" w:rsidP="005C5B0D">
      <w:pPr>
        <w:pStyle w:val="Subclause2"/>
        <w:numPr>
          <w:ilvl w:val="0"/>
          <w:numId w:val="24"/>
        </w:numPr>
        <w:ind w:left="1418" w:hanging="709"/>
      </w:pPr>
      <w:r w:rsidRPr="00F337D6">
        <w:t>state whether or not the Non-exempt EDB has complied with:</w:t>
      </w:r>
    </w:p>
    <w:p w:rsidR="00A31251" w:rsidRPr="00D124F3" w:rsidRDefault="00CB5100" w:rsidP="005C5B0D">
      <w:pPr>
        <w:pStyle w:val="Subclause3"/>
        <w:numPr>
          <w:ilvl w:val="0"/>
          <w:numId w:val="25"/>
        </w:numPr>
        <w:ind w:left="2127" w:right="0" w:hanging="709"/>
      </w:pPr>
      <w:r w:rsidRPr="00D124F3">
        <w:t>the price path in clause 8 for the Assessment Period; and</w:t>
      </w:r>
    </w:p>
    <w:p w:rsidR="00CB5100" w:rsidRPr="00D124F3" w:rsidRDefault="00CB5100" w:rsidP="005C5B0D">
      <w:pPr>
        <w:pStyle w:val="Subclause3"/>
        <w:numPr>
          <w:ilvl w:val="0"/>
          <w:numId w:val="25"/>
        </w:numPr>
        <w:ind w:left="2127" w:right="0" w:hanging="709"/>
      </w:pPr>
      <w:r w:rsidRPr="00D124F3">
        <w:t>the quality standards in clause 9 for the Assessment Period</w:t>
      </w:r>
      <w:r w:rsidR="00D124F3" w:rsidRPr="00D124F3">
        <w:t>;</w:t>
      </w:r>
    </w:p>
    <w:p w:rsidR="00CB5100" w:rsidRPr="00D124F3" w:rsidRDefault="00CB5100" w:rsidP="00B87C77">
      <w:pPr>
        <w:pStyle w:val="Subclause2"/>
        <w:numPr>
          <w:ilvl w:val="0"/>
          <w:numId w:val="56"/>
        </w:numPr>
        <w:ind w:left="1418" w:hanging="709"/>
      </w:pPr>
      <w:r w:rsidRPr="00D124F3">
        <w:t xml:space="preserve">include any information required under clause </w:t>
      </w:r>
      <w:r w:rsidR="00D124F3" w:rsidRPr="00D124F3">
        <w:fldChar w:fldCharType="begin"/>
      </w:r>
      <w:r w:rsidR="00D124F3" w:rsidRPr="00D124F3">
        <w:instrText xml:space="preserve"> REF _Ref393213409 \r \h </w:instrText>
      </w:r>
      <w:r w:rsidR="00D124F3">
        <w:instrText xml:space="preserve"> \* MERGEFORMAT </w:instrText>
      </w:r>
      <w:r w:rsidR="00D124F3" w:rsidRPr="00D124F3">
        <w:fldChar w:fldCharType="separate"/>
      </w:r>
      <w:r w:rsidR="00B56D36">
        <w:t>11.4</w:t>
      </w:r>
      <w:r w:rsidR="00D124F3" w:rsidRPr="00D124F3">
        <w:fldChar w:fldCharType="end"/>
      </w:r>
      <w:r w:rsidRPr="00D124F3">
        <w:t xml:space="preserve"> (price path compliance);</w:t>
      </w:r>
    </w:p>
    <w:p w:rsidR="00CB5100" w:rsidRPr="00D124F3" w:rsidRDefault="00CB5100" w:rsidP="006A59F0">
      <w:pPr>
        <w:pStyle w:val="Subclause2"/>
        <w:ind w:left="1418" w:hanging="709"/>
      </w:pPr>
      <w:r w:rsidRPr="00D124F3">
        <w:t>include any information require</w:t>
      </w:r>
      <w:r w:rsidR="009F22A2">
        <w:t>d</w:t>
      </w:r>
      <w:r w:rsidRPr="00D124F3">
        <w:t xml:space="preserve"> under clause </w:t>
      </w:r>
      <w:r w:rsidR="00D124F3" w:rsidRPr="00D124F3">
        <w:fldChar w:fldCharType="begin"/>
      </w:r>
      <w:r w:rsidR="00D124F3" w:rsidRPr="00D124F3">
        <w:instrText xml:space="preserve"> REF _Ref393213418 \r \h </w:instrText>
      </w:r>
      <w:r w:rsidR="00D124F3">
        <w:instrText xml:space="preserve"> \* MERGEFORMAT </w:instrText>
      </w:r>
      <w:r w:rsidR="00D124F3" w:rsidRPr="00D124F3">
        <w:fldChar w:fldCharType="separate"/>
      </w:r>
      <w:r w:rsidR="00B56D36">
        <w:t>11.5</w:t>
      </w:r>
      <w:r w:rsidR="00D124F3" w:rsidRPr="00D124F3">
        <w:fldChar w:fldCharType="end"/>
      </w:r>
      <w:r w:rsidRPr="00D124F3">
        <w:t xml:space="preserve"> (quality standards compliance);</w:t>
      </w:r>
    </w:p>
    <w:p w:rsidR="00CB5100" w:rsidRPr="00D124F3" w:rsidRDefault="00CB5100" w:rsidP="006A59F0">
      <w:pPr>
        <w:pStyle w:val="Subclause2"/>
        <w:ind w:left="1418" w:hanging="709"/>
      </w:pPr>
      <w:r w:rsidRPr="00D124F3">
        <w:lastRenderedPageBreak/>
        <w:t>state whether or not</w:t>
      </w:r>
      <w:r w:rsidR="00E57444" w:rsidRPr="00D124F3">
        <w:t>:</w:t>
      </w:r>
    </w:p>
    <w:p w:rsidR="00CB5100" w:rsidRPr="00D124F3" w:rsidRDefault="00CB5100" w:rsidP="005C5B0D">
      <w:pPr>
        <w:pStyle w:val="Subclause3"/>
        <w:numPr>
          <w:ilvl w:val="0"/>
          <w:numId w:val="26"/>
        </w:numPr>
        <w:ind w:left="2127" w:right="0" w:hanging="709"/>
      </w:pPr>
      <w:r w:rsidRPr="00D124F3">
        <w:t xml:space="preserve">the Non-exempt EDB has </w:t>
      </w:r>
      <w:r w:rsidR="00376EE0" w:rsidRPr="00D124F3">
        <w:t>undertaken a R</w:t>
      </w:r>
      <w:r w:rsidRPr="00D124F3">
        <w:t>estructure</w:t>
      </w:r>
      <w:r w:rsidR="00376EE0" w:rsidRPr="00D124F3">
        <w:t xml:space="preserve"> of</w:t>
      </w:r>
      <w:r w:rsidRPr="00D124F3">
        <w:t xml:space="preserve"> Prices during the Assessment Period;</w:t>
      </w:r>
    </w:p>
    <w:p w:rsidR="00CB5100" w:rsidRPr="00D124F3" w:rsidRDefault="00CB5100" w:rsidP="00292A7A">
      <w:pPr>
        <w:pStyle w:val="Subclause3"/>
        <w:ind w:left="2127" w:right="0" w:hanging="709"/>
      </w:pPr>
      <w:r w:rsidRPr="00D124F3">
        <w:t>the Non-exempt EDB has received a transfer of System Fixed Assets from Transpower;</w:t>
      </w:r>
    </w:p>
    <w:p w:rsidR="00CB5100" w:rsidRPr="00D124F3" w:rsidRDefault="00CB5100" w:rsidP="00292A7A">
      <w:pPr>
        <w:pStyle w:val="Subclause3"/>
        <w:ind w:left="2127" w:right="0" w:hanging="709"/>
      </w:pPr>
      <w:r w:rsidRPr="00D124F3">
        <w:t>an</w:t>
      </w:r>
      <w:r w:rsidR="00376EE0" w:rsidRPr="00D124F3">
        <w:t>y</w:t>
      </w:r>
      <w:r w:rsidRPr="00D124F3">
        <w:t xml:space="preserve"> Amalgamation or Merger has taken place in the Assessment Period;</w:t>
      </w:r>
    </w:p>
    <w:p w:rsidR="00CB5100" w:rsidRPr="00D124F3" w:rsidRDefault="00CB5100" w:rsidP="00292A7A">
      <w:pPr>
        <w:pStyle w:val="Subclause3"/>
        <w:ind w:left="2127" w:right="0" w:hanging="709"/>
      </w:pPr>
      <w:r w:rsidRPr="00D124F3">
        <w:t>a</w:t>
      </w:r>
      <w:r w:rsidR="00310F8A" w:rsidRPr="00310F8A">
        <w:rPr>
          <w:color w:val="1F497D" w:themeColor="text2"/>
          <w:u w:val="single"/>
        </w:rPr>
        <w:t>ny</w:t>
      </w:r>
      <w:r w:rsidR="00112FD6">
        <w:t xml:space="preserve"> </w:t>
      </w:r>
      <w:r w:rsidR="00376EE0" w:rsidRPr="00D124F3">
        <w:t>Major Transaction</w:t>
      </w:r>
      <w:r w:rsidRPr="00D124F3">
        <w:t xml:space="preserve"> has taken place in the Assessment Period;</w:t>
      </w:r>
    </w:p>
    <w:p w:rsidR="00CB5100" w:rsidRPr="00D124F3" w:rsidRDefault="00CB5100" w:rsidP="00E016D5">
      <w:pPr>
        <w:pStyle w:val="Subclause2"/>
        <w:ind w:left="1418" w:hanging="709"/>
      </w:pPr>
      <w:r w:rsidRPr="00D124F3">
        <w:t>if there has been an Amalgamation, Merger, or</w:t>
      </w:r>
      <w:r w:rsidR="00D124F3" w:rsidRPr="00D124F3">
        <w:t xml:space="preserve"> Major Transaction</w:t>
      </w:r>
      <w:r w:rsidRPr="00D124F3">
        <w:t xml:space="preserve">, include any additional information in accordance with clause </w:t>
      </w:r>
      <w:r w:rsidR="001C59FF">
        <w:fldChar w:fldCharType="begin"/>
      </w:r>
      <w:r w:rsidR="001C59FF">
        <w:instrText xml:space="preserve"> REF _Ref393213486 \r \h </w:instrText>
      </w:r>
      <w:r w:rsidR="001C59FF">
        <w:fldChar w:fldCharType="separate"/>
      </w:r>
      <w:r w:rsidR="00B56D36">
        <w:t>11.6</w:t>
      </w:r>
      <w:r w:rsidR="001C59FF">
        <w:fldChar w:fldCharType="end"/>
      </w:r>
      <w:r w:rsidR="001C59FF">
        <w:t xml:space="preserve"> (large transactions compliance)</w:t>
      </w:r>
      <w:r w:rsidRPr="00D124F3">
        <w:t>; and</w:t>
      </w:r>
    </w:p>
    <w:p w:rsidR="001C59FF" w:rsidRDefault="001C59FF" w:rsidP="001C59FF">
      <w:pPr>
        <w:pStyle w:val="Subclause2"/>
        <w:ind w:left="1418" w:hanging="709"/>
      </w:pPr>
      <w:r>
        <w:t xml:space="preserve">if there has been a Restructure of Prices in the Assessment Period or the previous Assessment Period, include any additional information in accordance with clauses </w:t>
      </w:r>
      <w:r>
        <w:fldChar w:fldCharType="begin"/>
      </w:r>
      <w:r>
        <w:instrText xml:space="preserve"> REF _Ref400447810 \r \h </w:instrText>
      </w:r>
      <w:r>
        <w:fldChar w:fldCharType="separate"/>
      </w:r>
      <w:r w:rsidR="00B56D36">
        <w:t>11.7</w:t>
      </w:r>
      <w:r>
        <w:fldChar w:fldCharType="end"/>
      </w:r>
      <w:r>
        <w:t xml:space="preserve"> and </w:t>
      </w:r>
      <w:r>
        <w:fldChar w:fldCharType="begin"/>
      </w:r>
      <w:r>
        <w:instrText xml:space="preserve"> REF _Ref400447815 \r \h </w:instrText>
      </w:r>
      <w:r>
        <w:fldChar w:fldCharType="separate"/>
      </w:r>
      <w:r w:rsidR="00B56D36">
        <w:t>11.8</w:t>
      </w:r>
      <w:r>
        <w:fldChar w:fldCharType="end"/>
      </w:r>
      <w:r>
        <w:t xml:space="preserve"> (Restructure of Prices compliance);</w:t>
      </w:r>
    </w:p>
    <w:p w:rsidR="005A11A4" w:rsidRDefault="00CB5100" w:rsidP="00E016D5">
      <w:pPr>
        <w:pStyle w:val="Subclause2"/>
        <w:ind w:left="1418" w:hanging="709"/>
      </w:pPr>
      <w:proofErr w:type="gramStart"/>
      <w:r w:rsidRPr="00D124F3">
        <w:t>state</w:t>
      </w:r>
      <w:proofErr w:type="gramEnd"/>
      <w:r w:rsidRPr="00D124F3">
        <w:t xml:space="preserve"> the date on which the statement was </w:t>
      </w:r>
      <w:r w:rsidRPr="00CD4177">
        <w:rPr>
          <w:strike/>
          <w:color w:val="1F497D" w:themeColor="text2"/>
        </w:rPr>
        <w:t>prepared</w:t>
      </w:r>
      <w:r w:rsidR="000C03FB" w:rsidRPr="00CD4177">
        <w:rPr>
          <w:color w:val="1F497D" w:themeColor="text2"/>
        </w:rPr>
        <w:t xml:space="preserve"> </w:t>
      </w:r>
      <w:r w:rsidR="00E537BD" w:rsidRPr="00CD4177">
        <w:rPr>
          <w:color w:val="1F497D" w:themeColor="text2"/>
          <w:u w:val="single"/>
        </w:rPr>
        <w:t>certified</w:t>
      </w:r>
      <w:r w:rsidRPr="00D124F3">
        <w:t>.</w:t>
      </w:r>
    </w:p>
    <w:p w:rsidR="00CB5100" w:rsidRPr="00D124F3" w:rsidRDefault="00CB5100" w:rsidP="00802375">
      <w:pPr>
        <w:pStyle w:val="Subclause1"/>
        <w:tabs>
          <w:tab w:val="clear" w:pos="1418"/>
        </w:tabs>
        <w:ind w:left="709"/>
      </w:pPr>
      <w:r w:rsidRPr="00D124F3">
        <w:t xml:space="preserve">The </w:t>
      </w:r>
      <w:r w:rsidR="00540F57">
        <w:t xml:space="preserve">Annual </w:t>
      </w:r>
      <w:r w:rsidRPr="00D124F3">
        <w:t>Compliance Statement must be accompanied by:</w:t>
      </w:r>
    </w:p>
    <w:p w:rsidR="00CB5100" w:rsidRPr="00D124F3" w:rsidRDefault="00CB5100" w:rsidP="00B87C77">
      <w:pPr>
        <w:pStyle w:val="Subclause2"/>
        <w:numPr>
          <w:ilvl w:val="0"/>
          <w:numId w:val="50"/>
        </w:numPr>
        <w:ind w:left="1418" w:hanging="709"/>
      </w:pPr>
      <w:r w:rsidRPr="00D124F3">
        <w:t xml:space="preserve">a certificate in the form set out in Schedule </w:t>
      </w:r>
      <w:r w:rsidR="007554A4" w:rsidRPr="00D124F3">
        <w:t>6</w:t>
      </w:r>
      <w:r w:rsidRPr="00D124F3">
        <w:t>, signed by at least one Director of the Non-exempt EDB; and</w:t>
      </w:r>
    </w:p>
    <w:p w:rsidR="00E07DE1" w:rsidRDefault="00CB5100" w:rsidP="00E016D5">
      <w:pPr>
        <w:pStyle w:val="Subclause2"/>
        <w:ind w:left="1418" w:hanging="709"/>
      </w:pPr>
      <w:proofErr w:type="gramStart"/>
      <w:r w:rsidRPr="00D124F3">
        <w:t>an</w:t>
      </w:r>
      <w:proofErr w:type="gramEnd"/>
      <w:r w:rsidRPr="00D124F3">
        <w:t xml:space="preserve"> assurance report, meeting the requirements specified in Schedule </w:t>
      </w:r>
      <w:r w:rsidR="007554A4" w:rsidRPr="00D124F3">
        <w:t>7</w:t>
      </w:r>
      <w:r w:rsidRPr="00D124F3">
        <w:t xml:space="preserve">, in respect of all information contained in the </w:t>
      </w:r>
      <w:r w:rsidR="00C5316F">
        <w:t xml:space="preserve">Annual </w:t>
      </w:r>
      <w:r w:rsidRPr="00D124F3">
        <w:t>Compliance Statement.</w:t>
      </w:r>
    </w:p>
    <w:p w:rsidR="00CB5100" w:rsidRPr="00D124F3" w:rsidRDefault="00CB5100" w:rsidP="00CB5100">
      <w:pPr>
        <w:pStyle w:val="Heading3"/>
        <w:rPr>
          <w:szCs w:val="24"/>
        </w:rPr>
      </w:pPr>
      <w:r w:rsidRPr="00D124F3">
        <w:rPr>
          <w:szCs w:val="24"/>
        </w:rPr>
        <w:t>Price path compliance</w:t>
      </w:r>
    </w:p>
    <w:p w:rsidR="00CB5100" w:rsidRPr="00D124F3" w:rsidRDefault="00CB5100" w:rsidP="00802375">
      <w:pPr>
        <w:pStyle w:val="Subclause1"/>
        <w:tabs>
          <w:tab w:val="clear" w:pos="1418"/>
        </w:tabs>
        <w:ind w:left="709"/>
      </w:pPr>
      <w:bookmarkStart w:id="20" w:name="_Ref393213409"/>
      <w:r w:rsidRPr="00D124F3">
        <w:t xml:space="preserve">The </w:t>
      </w:r>
      <w:r w:rsidR="00C5316F">
        <w:t xml:space="preserve">Annual </w:t>
      </w:r>
      <w:r w:rsidRPr="00D124F3">
        <w:t>Compliance Statement must include any information reasonably necessary to demonstrate whether the Non-exempt EDB has complied with the price path set out in clause 8, including but not limited to:</w:t>
      </w:r>
      <w:bookmarkEnd w:id="20"/>
    </w:p>
    <w:p w:rsidR="00F337D6" w:rsidRDefault="00F337D6" w:rsidP="00B87C77">
      <w:pPr>
        <w:pStyle w:val="Subclause2"/>
        <w:numPr>
          <w:ilvl w:val="0"/>
          <w:numId w:val="51"/>
        </w:numPr>
        <w:ind w:left="1418" w:hanging="709"/>
      </w:pPr>
      <w:r w:rsidRPr="00F337D6">
        <w:t>if the Non-exempt EDB has not complied with the price path, the reasons for the non-compliance;</w:t>
      </w:r>
    </w:p>
    <w:p w:rsidR="00B87EFC" w:rsidRPr="00F337D6" w:rsidRDefault="00B87EFC" w:rsidP="00B87C77">
      <w:pPr>
        <w:pStyle w:val="Subclause2"/>
        <w:numPr>
          <w:ilvl w:val="0"/>
          <w:numId w:val="51"/>
        </w:numPr>
        <w:ind w:left="1418" w:hanging="709"/>
      </w:pPr>
      <w:r>
        <w:t>actions taken to mitigate any non-compliance and to prevent similar non-compliance in future Assessment Periods;</w:t>
      </w:r>
    </w:p>
    <w:p w:rsidR="00F337D6" w:rsidRPr="00F337D6" w:rsidRDefault="00F337D6" w:rsidP="00E016D5">
      <w:pPr>
        <w:pStyle w:val="Subclause2"/>
        <w:ind w:left="1418" w:hanging="709"/>
      </w:pPr>
      <w:r w:rsidRPr="00F337D6">
        <w:t xml:space="preserve">the amount of allowable notional revenue, the amount of notional revenue, </w:t>
      </w:r>
      <w:r w:rsidR="00FF666D">
        <w:t xml:space="preserve">Distribution </w:t>
      </w:r>
      <w:r w:rsidRPr="00F337D6">
        <w:t>Prices, Quantities, units of measurement associated with all numeric data, and other relevant data, information, and calculations;</w:t>
      </w:r>
    </w:p>
    <w:p w:rsidR="00B02EF4" w:rsidRDefault="00B02EF4" w:rsidP="00E016D5">
      <w:pPr>
        <w:pStyle w:val="Subclause2"/>
        <w:ind w:left="1418" w:hanging="709"/>
      </w:pPr>
      <w:bookmarkStart w:id="21" w:name="_Ref400442106"/>
      <w:r>
        <w:t xml:space="preserve">the Pass-through Balance, Pass-through Prices, </w:t>
      </w:r>
      <w:r w:rsidR="0056292A">
        <w:t xml:space="preserve">and </w:t>
      </w:r>
      <w:r>
        <w:t>Quantities</w:t>
      </w:r>
      <w:r w:rsidR="0056292A">
        <w:t xml:space="preserve"> for the Assessment Period</w:t>
      </w:r>
      <w:r w:rsidR="00E537BD">
        <w:t>,</w:t>
      </w:r>
      <w:r w:rsidR="0056292A">
        <w:t xml:space="preserve"> and the </w:t>
      </w:r>
      <w:r w:rsidR="00E537BD" w:rsidRPr="00CD4177">
        <w:rPr>
          <w:color w:val="1F497D" w:themeColor="text2"/>
          <w:u w:val="single"/>
        </w:rPr>
        <w:t>Pass-through Balance for the</w:t>
      </w:r>
      <w:r w:rsidR="00E537BD" w:rsidRPr="00CD4177">
        <w:rPr>
          <w:color w:val="1F497D" w:themeColor="text2"/>
        </w:rPr>
        <w:t xml:space="preserve"> </w:t>
      </w:r>
      <w:r w:rsidR="0056292A">
        <w:t xml:space="preserve">preceding </w:t>
      </w:r>
      <w:r w:rsidR="0056292A">
        <w:lastRenderedPageBreak/>
        <w:t>Assessment Period</w:t>
      </w:r>
      <w:r>
        <w:t>,</w:t>
      </w:r>
      <w:r w:rsidR="0056292A">
        <w:t xml:space="preserve"> </w:t>
      </w:r>
      <w:r w:rsidR="0056292A" w:rsidRPr="00CD4177">
        <w:rPr>
          <w:strike/>
          <w:color w:val="1F497D" w:themeColor="text2"/>
        </w:rPr>
        <w:t>along with</w:t>
      </w:r>
      <w:r w:rsidR="000C03FB" w:rsidRPr="00CD4177">
        <w:rPr>
          <w:color w:val="1F497D" w:themeColor="text2"/>
        </w:rPr>
        <w:t xml:space="preserve"> </w:t>
      </w:r>
      <w:r w:rsidR="00E537BD" w:rsidRPr="00CD4177">
        <w:rPr>
          <w:color w:val="1F497D" w:themeColor="text2"/>
          <w:u w:val="single"/>
        </w:rPr>
        <w:t>and</w:t>
      </w:r>
      <w:r w:rsidR="0056292A">
        <w:t xml:space="preserve"> the</w:t>
      </w:r>
      <w:r>
        <w:t xml:space="preserve"> units of measurement associated with all numeric data, and other rele</w:t>
      </w:r>
      <w:r w:rsidR="0056292A">
        <w:t>vant data information, and calc</w:t>
      </w:r>
      <w:r>
        <w:t>ulations;</w:t>
      </w:r>
      <w:bookmarkEnd w:id="21"/>
    </w:p>
    <w:p w:rsidR="00F337D6" w:rsidRDefault="00F337D6" w:rsidP="00E016D5">
      <w:pPr>
        <w:pStyle w:val="Subclause2"/>
        <w:ind w:left="1418" w:hanging="709"/>
      </w:pPr>
      <w:r w:rsidRPr="00F337D6">
        <w:t xml:space="preserve">the amount of Pass-through Costs and Recoverable Costs, </w:t>
      </w:r>
      <w:r w:rsidR="00B02EF4">
        <w:t>included in the calculation of the Pass-through Balance</w:t>
      </w:r>
      <w:r w:rsidR="009D0285">
        <w:t xml:space="preserve"> for the Assessment Period, </w:t>
      </w:r>
      <w:r w:rsidR="009D0285" w:rsidRPr="00CD4177">
        <w:rPr>
          <w:strike/>
          <w:color w:val="1F497D" w:themeColor="text2"/>
        </w:rPr>
        <w:t xml:space="preserve">the Assessment Periods to which the costs </w:t>
      </w:r>
      <w:r w:rsidR="00C05BBF" w:rsidRPr="00CD4177">
        <w:rPr>
          <w:strike/>
          <w:color w:val="1F497D" w:themeColor="text2"/>
        </w:rPr>
        <w:t>apply</w:t>
      </w:r>
      <w:r w:rsidR="009D0285" w:rsidRPr="00CD4177">
        <w:rPr>
          <w:strike/>
          <w:color w:val="1F497D" w:themeColor="text2"/>
        </w:rPr>
        <w:t>,</w:t>
      </w:r>
      <w:r w:rsidR="009D0285">
        <w:t xml:space="preserve"> and supporting data, information, and calculations used to determine those amounts</w:t>
      </w:r>
      <w:r w:rsidRPr="00F337D6">
        <w:t>;</w:t>
      </w:r>
    </w:p>
    <w:p w:rsidR="009D0285" w:rsidRDefault="009D0285" w:rsidP="00E016D5">
      <w:pPr>
        <w:pStyle w:val="Subclause2"/>
        <w:ind w:left="1418" w:hanging="709"/>
      </w:pPr>
      <w:r w:rsidRPr="000A0716">
        <w:rPr>
          <w:strike/>
          <w:color w:val="1F497D" w:themeColor="text2"/>
        </w:rPr>
        <w:t>information relating to any Recoverable Costs for the Assessment Period under clauses 3.1.3(1)(b) and (c) of the IM Determination, including</w:t>
      </w:r>
      <w:r w:rsidRPr="000A0716">
        <w:rPr>
          <w:color w:val="1F497D" w:themeColor="text2"/>
        </w:rPr>
        <w:t xml:space="preserve"> </w:t>
      </w:r>
      <w:r>
        <w:t>evidence of the amount of charge relating to any new investment contract entered into in the Assessment Period consistent with clause 3.1.3(1)(c) of the IM Determination, which need not be publicly disclosed under 11.1(c);</w:t>
      </w:r>
    </w:p>
    <w:p w:rsidR="009D0285" w:rsidRDefault="009D0285" w:rsidP="00E016D5">
      <w:pPr>
        <w:pStyle w:val="Subclause2"/>
        <w:ind w:left="1418" w:hanging="709"/>
      </w:pPr>
      <w:r>
        <w:t xml:space="preserve">the amount of any Pass-through Costs and Recoverable Costs </w:t>
      </w:r>
      <w:r w:rsidR="004D32F9">
        <w:t xml:space="preserve">(actual or forecast) </w:t>
      </w:r>
      <w:r>
        <w:t xml:space="preserve">used to set </w:t>
      </w:r>
      <w:r w:rsidR="004D32F9">
        <w:t>P</w:t>
      </w:r>
      <w:r>
        <w:t>ass-through Prices for the Assessment period;</w:t>
      </w:r>
    </w:p>
    <w:p w:rsidR="005A11A4" w:rsidRDefault="00F337D6" w:rsidP="00E016D5">
      <w:pPr>
        <w:pStyle w:val="Subclause2"/>
        <w:ind w:left="1418" w:hanging="709"/>
      </w:pPr>
      <w:r w:rsidRPr="00F337D6">
        <w:t>an explanation as to the cause, or likely cause, of any differences between the amounts</w:t>
      </w:r>
      <w:r w:rsidR="002F14D4">
        <w:t xml:space="preserve"> of Pass-through or Recoverable Costs</w:t>
      </w:r>
      <w:r w:rsidRPr="00F337D6">
        <w:t xml:space="preserve"> used to set Prices and actual amounts</w:t>
      </w:r>
      <w:r w:rsidR="00053F4A">
        <w:t xml:space="preserve"> of those Pass-through Costs and Recoverable Costs</w:t>
      </w:r>
      <w:r w:rsidRPr="000C03FB">
        <w:rPr>
          <w:strike/>
        </w:rPr>
        <w:t>;</w:t>
      </w:r>
      <w:r w:rsidR="009D0285" w:rsidRPr="000C03FB">
        <w:rPr>
          <w:strike/>
        </w:rPr>
        <w:t xml:space="preserve"> and</w:t>
      </w:r>
      <w:r w:rsidR="000C03FB" w:rsidRPr="000C03FB">
        <w:rPr>
          <w:u w:val="single"/>
        </w:rPr>
        <w:t>.</w:t>
      </w:r>
    </w:p>
    <w:p w:rsidR="009D0285" w:rsidRPr="00CD4177" w:rsidRDefault="009D0285" w:rsidP="00E016D5">
      <w:pPr>
        <w:pStyle w:val="Subclause2"/>
        <w:ind w:left="1418" w:hanging="709"/>
        <w:rPr>
          <w:strike/>
          <w:color w:val="1F497D" w:themeColor="text2"/>
        </w:rPr>
      </w:pPr>
      <w:proofErr w:type="gramStart"/>
      <w:r w:rsidRPr="00CD4177">
        <w:rPr>
          <w:strike/>
          <w:color w:val="1F497D" w:themeColor="text2"/>
        </w:rPr>
        <w:t>where</w:t>
      </w:r>
      <w:proofErr w:type="gramEnd"/>
      <w:r w:rsidRPr="00CD4177">
        <w:rPr>
          <w:strike/>
          <w:color w:val="1F497D" w:themeColor="text2"/>
        </w:rPr>
        <w:t xml:space="preserve"> the Pass-through Balance does not equal zero, an explanation as to why.</w:t>
      </w:r>
    </w:p>
    <w:p w:rsidR="00F337D6" w:rsidRPr="00F337D6" w:rsidRDefault="00F337D6" w:rsidP="00F337D6">
      <w:pPr>
        <w:pStyle w:val="Heading3"/>
        <w:rPr>
          <w:szCs w:val="24"/>
        </w:rPr>
      </w:pPr>
      <w:r w:rsidRPr="00F337D6">
        <w:rPr>
          <w:szCs w:val="24"/>
        </w:rPr>
        <w:t>Quality standards compliance</w:t>
      </w:r>
    </w:p>
    <w:p w:rsidR="00F337D6" w:rsidRPr="003D0C9B" w:rsidRDefault="00F337D6" w:rsidP="00802375">
      <w:pPr>
        <w:pStyle w:val="Subclause1"/>
        <w:tabs>
          <w:tab w:val="clear" w:pos="1418"/>
        </w:tabs>
        <w:ind w:left="709"/>
      </w:pPr>
      <w:bookmarkStart w:id="22" w:name="_Ref393213418"/>
      <w:r w:rsidRPr="00F337D6">
        <w:t xml:space="preserve">The </w:t>
      </w:r>
      <w:r w:rsidR="00C5316F">
        <w:t xml:space="preserve">Annual </w:t>
      </w:r>
      <w:r w:rsidRPr="00F337D6">
        <w:t xml:space="preserve">Compliance Statement must include any information reasonably necessary to </w:t>
      </w:r>
      <w:r w:rsidRPr="003D0C9B">
        <w:t>demonstrate whether the Non-exempt EDB has complied with the quality standards set out in clause 9, including but not limited to:</w:t>
      </w:r>
      <w:bookmarkEnd w:id="22"/>
    </w:p>
    <w:p w:rsidR="00F337D6" w:rsidRDefault="001A1B60" w:rsidP="00B87C77">
      <w:pPr>
        <w:pStyle w:val="Subclause2"/>
        <w:numPr>
          <w:ilvl w:val="0"/>
          <w:numId w:val="52"/>
        </w:numPr>
        <w:ind w:left="1418" w:hanging="709"/>
      </w:pPr>
      <w:r w:rsidRPr="003D0C9B">
        <w:t>if the Non-exempt EDB has not complied with the quality standards in clause 9, the reasons</w:t>
      </w:r>
      <w:r w:rsidRPr="002F54CC">
        <w:t xml:space="preserve"> for not complying;</w:t>
      </w:r>
    </w:p>
    <w:p w:rsidR="00B87EFC" w:rsidRDefault="00B87EFC" w:rsidP="00E016D5">
      <w:pPr>
        <w:pStyle w:val="Subclause2"/>
        <w:ind w:left="1418" w:hanging="709"/>
      </w:pPr>
      <w:r>
        <w:t>actions taken to mitigate any non-compliance and to prevent similar non-compliance in future Assessment Periods;</w:t>
      </w:r>
    </w:p>
    <w:p w:rsidR="00A674C4" w:rsidRDefault="00A674C4" w:rsidP="00E016D5">
      <w:pPr>
        <w:pStyle w:val="Subclause2"/>
        <w:ind w:left="1418" w:hanging="709"/>
      </w:pPr>
      <w:r>
        <w:t xml:space="preserve">SAIDI </w:t>
      </w:r>
      <w:r w:rsidR="00295C27">
        <w:t>and</w:t>
      </w:r>
      <w:r w:rsidR="001922A6">
        <w:t xml:space="preserve"> SAIFI Assessed Values,</w:t>
      </w:r>
      <w:r w:rsidR="00FF666D">
        <w:t xml:space="preserve"> </w:t>
      </w:r>
      <w:r w:rsidR="00295C27">
        <w:t>Limits,</w:t>
      </w:r>
      <w:r w:rsidR="001C59FF">
        <w:t xml:space="preserve"> Unplanned Boundary Values,</w:t>
      </w:r>
      <w:r w:rsidR="00295C27">
        <w:t xml:space="preserve"> </w:t>
      </w:r>
      <w:r w:rsidR="00FF666D">
        <w:t>Caps, Collars,</w:t>
      </w:r>
      <w:r w:rsidR="001922A6">
        <w:t xml:space="preserve"> </w:t>
      </w:r>
      <w:r w:rsidR="001A1B60" w:rsidRPr="002F54CC">
        <w:t xml:space="preserve">and the Targets for the Assessment Period, and any </w:t>
      </w:r>
      <w:r>
        <w:t xml:space="preserve">supporting </w:t>
      </w:r>
      <w:r w:rsidR="001A1B60" w:rsidRPr="002F54CC">
        <w:t>calculations</w:t>
      </w:r>
      <w:r w:rsidR="00FF666D">
        <w:t xml:space="preserve"> (including those in Schedule </w:t>
      </w:r>
      <w:r w:rsidR="001C59FF">
        <w:t>4A</w:t>
      </w:r>
      <w:r w:rsidR="00FF666D">
        <w:t>) and the annual reliability assessments for the two previous Assessment Periods</w:t>
      </w:r>
      <w:r w:rsidR="00D124F3">
        <w:t>;</w:t>
      </w:r>
    </w:p>
    <w:p w:rsidR="001A1B60" w:rsidRDefault="00A674C4" w:rsidP="00DC73FA">
      <w:pPr>
        <w:pStyle w:val="Subclause2"/>
        <w:ind w:left="1418" w:hanging="709"/>
      </w:pPr>
      <w:r>
        <w:t xml:space="preserve">any re-calculations of the SAIDI and SAIFI </w:t>
      </w:r>
      <w:r w:rsidR="00295C27">
        <w:t>Limits,</w:t>
      </w:r>
      <w:r w:rsidR="001C59FF">
        <w:t xml:space="preserve"> Unplanned Boundary Values,</w:t>
      </w:r>
      <w:r>
        <w:t xml:space="preserve"> Targets, Caps, and Collars following a </w:t>
      </w:r>
      <w:r w:rsidR="00901EFA">
        <w:t>Major Transaction or transfer of transmission assets from Transpower that become System Fixed Assets</w:t>
      </w:r>
      <w:r w:rsidR="006735C4">
        <w:t>,</w:t>
      </w:r>
      <w:r>
        <w:t xml:space="preserve"> </w:t>
      </w:r>
      <w:r w:rsidR="006735C4">
        <w:t>including any supporting information, calculations, or data used to determine the historic SAIDI and SAIFI Values of the newly acquired or transferred assets</w:t>
      </w:r>
      <w:r w:rsidR="006735C4" w:rsidRPr="002F54CC">
        <w:t>;</w:t>
      </w:r>
    </w:p>
    <w:p w:rsidR="001A1B60" w:rsidRDefault="001A1B60" w:rsidP="00E016D5">
      <w:pPr>
        <w:pStyle w:val="Subclause2"/>
        <w:ind w:left="1418" w:hanging="709"/>
      </w:pPr>
      <w:r w:rsidRPr="002F54CC">
        <w:lastRenderedPageBreak/>
        <w:t xml:space="preserve">a description of the policies and procedures which the Non-exempt EDB has used for capturing and recording Interruptions and for calculating SAIDI and SAIFI </w:t>
      </w:r>
      <w:r w:rsidR="001C59FF">
        <w:t xml:space="preserve">Assessed </w:t>
      </w:r>
      <w:r w:rsidRPr="002F54CC">
        <w:t>Values for the Assessment Period; and</w:t>
      </w:r>
    </w:p>
    <w:p w:rsidR="001A1B60" w:rsidRDefault="001A1B60" w:rsidP="00E016D5">
      <w:pPr>
        <w:pStyle w:val="Subclause2"/>
        <w:ind w:left="1418" w:hanging="709"/>
      </w:pPr>
      <w:proofErr w:type="gramStart"/>
      <w:r w:rsidRPr="002F54CC">
        <w:t>the</w:t>
      </w:r>
      <w:proofErr w:type="gramEnd"/>
      <w:r w:rsidRPr="002F54CC">
        <w:t xml:space="preserve"> cause of </w:t>
      </w:r>
      <w:r w:rsidR="006735C4">
        <w:t>each</w:t>
      </w:r>
      <w:r w:rsidR="006735C4" w:rsidRPr="002F54CC">
        <w:t xml:space="preserve"> </w:t>
      </w:r>
      <w:r w:rsidRPr="002F54CC">
        <w:t>Major Event Day within the Assessment Period.</w:t>
      </w:r>
    </w:p>
    <w:p w:rsidR="001A1B60" w:rsidRDefault="001C59FF" w:rsidP="001A1B60">
      <w:pPr>
        <w:pStyle w:val="Heading3"/>
      </w:pPr>
      <w:r>
        <w:t>Large transactions compliance</w:t>
      </w:r>
    </w:p>
    <w:p w:rsidR="001A1B60" w:rsidRPr="001A1B60" w:rsidRDefault="001A1B60" w:rsidP="00896925">
      <w:pPr>
        <w:pStyle w:val="Subclause1"/>
        <w:tabs>
          <w:tab w:val="clear" w:pos="1418"/>
          <w:tab w:val="num" w:pos="709"/>
        </w:tabs>
        <w:ind w:left="709"/>
      </w:pPr>
      <w:bookmarkStart w:id="23" w:name="_Ref393213486"/>
      <w:r w:rsidRPr="002F54CC">
        <w:t xml:space="preserve">If a Non-exempt EDB participates in an Amalgamation, a Merger, or Major Transaction, the </w:t>
      </w:r>
      <w:r w:rsidR="00C5316F">
        <w:t xml:space="preserve">Annual </w:t>
      </w:r>
      <w:r w:rsidRPr="002F54CC">
        <w:t>Compliance Statement for that Assessment Period must:</w:t>
      </w:r>
      <w:bookmarkEnd w:id="23"/>
    </w:p>
    <w:p w:rsidR="001A1B60" w:rsidRPr="00C328BC" w:rsidRDefault="001A1B60" w:rsidP="00B87C77">
      <w:pPr>
        <w:pStyle w:val="Subclause2"/>
        <w:numPr>
          <w:ilvl w:val="0"/>
          <w:numId w:val="61"/>
        </w:numPr>
        <w:ind w:left="1418" w:hanging="709"/>
      </w:pPr>
      <w:r w:rsidRPr="00C328BC">
        <w:t>state whether the Non-exempt EDB has complied with clause</w:t>
      </w:r>
      <w:r w:rsidR="00EB2B95" w:rsidRPr="00CD4177">
        <w:rPr>
          <w:color w:val="1F497D" w:themeColor="text2"/>
          <w:u w:val="single"/>
        </w:rPr>
        <w:t>s</w:t>
      </w:r>
      <w:r w:rsidRPr="00C328BC">
        <w:t xml:space="preserve"> 10</w:t>
      </w:r>
      <w:r w:rsidR="00EB2B95" w:rsidRPr="00CD4177">
        <w:rPr>
          <w:color w:val="1F497D" w:themeColor="text2"/>
          <w:u w:val="single"/>
        </w:rPr>
        <w:t>.1 to 10.4</w:t>
      </w:r>
      <w:r w:rsidRPr="00C328BC">
        <w:t>; and</w:t>
      </w:r>
    </w:p>
    <w:p w:rsidR="00A91CA4" w:rsidRDefault="001A1B60" w:rsidP="00E016D5">
      <w:pPr>
        <w:pStyle w:val="Subclause2"/>
        <w:ind w:left="1418" w:hanging="709"/>
      </w:pPr>
      <w:proofErr w:type="gramStart"/>
      <w:r w:rsidRPr="00C328BC">
        <w:t>include</w:t>
      </w:r>
      <w:proofErr w:type="gramEnd"/>
      <w:r w:rsidRPr="00C328BC">
        <w:t xml:space="preserve"> any information or calculations required to be made under clause</w:t>
      </w:r>
      <w:r w:rsidR="00EB2B95" w:rsidRPr="00CD4177">
        <w:rPr>
          <w:color w:val="1F497D" w:themeColor="text2"/>
          <w:u w:val="single"/>
        </w:rPr>
        <w:t>s</w:t>
      </w:r>
      <w:r w:rsidRPr="00C328BC">
        <w:t xml:space="preserve"> 10</w:t>
      </w:r>
      <w:r w:rsidR="00EB2B95" w:rsidRPr="00CD4177">
        <w:rPr>
          <w:color w:val="1F497D" w:themeColor="text2"/>
          <w:u w:val="single"/>
        </w:rPr>
        <w:t>.1 to 10.4</w:t>
      </w:r>
      <w:r w:rsidRPr="00C328BC">
        <w:t>.</w:t>
      </w:r>
    </w:p>
    <w:p w:rsidR="00896925" w:rsidRDefault="001C59FF" w:rsidP="00896925">
      <w:pPr>
        <w:pStyle w:val="Heading3"/>
        <w:rPr>
          <w:i w:val="0"/>
        </w:rPr>
      </w:pPr>
      <w:r>
        <w:t>Restructure of Prices compliance</w:t>
      </w:r>
    </w:p>
    <w:p w:rsidR="00896925" w:rsidRPr="00896925" w:rsidRDefault="00896925" w:rsidP="00896925">
      <w:pPr>
        <w:pStyle w:val="Subclause1"/>
        <w:tabs>
          <w:tab w:val="clear" w:pos="1418"/>
          <w:tab w:val="num" w:pos="709"/>
        </w:tabs>
        <w:ind w:left="709"/>
        <w:rPr>
          <w:szCs w:val="24"/>
        </w:rPr>
      </w:pPr>
      <w:bookmarkStart w:id="24" w:name="_Ref400447810"/>
      <w:r w:rsidRPr="00896925">
        <w:rPr>
          <w:color w:val="000000"/>
          <w:szCs w:val="24"/>
        </w:rPr>
        <w:t xml:space="preserve">If a Non-exempt EDB has </w:t>
      </w:r>
      <w:r w:rsidR="00E87800">
        <w:rPr>
          <w:color w:val="000000"/>
          <w:szCs w:val="24"/>
        </w:rPr>
        <w:t>undertaken a Restructure of</w:t>
      </w:r>
      <w:r w:rsidRPr="00896925">
        <w:rPr>
          <w:color w:val="000000"/>
          <w:szCs w:val="24"/>
        </w:rPr>
        <w:t xml:space="preserve"> Prices</w:t>
      </w:r>
      <w:r w:rsidR="00E87800">
        <w:rPr>
          <w:color w:val="000000"/>
          <w:szCs w:val="24"/>
        </w:rPr>
        <w:t xml:space="preserve"> </w:t>
      </w:r>
      <w:r w:rsidR="001C59FF">
        <w:rPr>
          <w:color w:val="000000"/>
          <w:szCs w:val="24"/>
        </w:rPr>
        <w:t>that first applied during</w:t>
      </w:r>
      <w:r w:rsidR="00E87800">
        <w:rPr>
          <w:color w:val="000000"/>
          <w:szCs w:val="24"/>
        </w:rPr>
        <w:t xml:space="preserve"> the current or preceding Assessment Period</w:t>
      </w:r>
      <w:r w:rsidRPr="00896925">
        <w:rPr>
          <w:color w:val="000000"/>
          <w:szCs w:val="24"/>
        </w:rPr>
        <w:t xml:space="preserve">, </w:t>
      </w:r>
      <w:r w:rsidR="00B02EF4">
        <w:rPr>
          <w:color w:val="000000"/>
          <w:szCs w:val="24"/>
        </w:rPr>
        <w:t>the Annual Compliance Statement must</w:t>
      </w:r>
      <w:r w:rsidR="004D32F9">
        <w:rPr>
          <w:color w:val="000000"/>
          <w:szCs w:val="24"/>
        </w:rPr>
        <w:t xml:space="preserve"> state the nature of the Restructure of Prices and identify the </w:t>
      </w:r>
      <w:r w:rsidR="00B502DF">
        <w:rPr>
          <w:color w:val="000000"/>
          <w:szCs w:val="24"/>
        </w:rPr>
        <w:t>Consumer Group</w:t>
      </w:r>
      <w:r w:rsidR="004D32F9">
        <w:rPr>
          <w:color w:val="000000"/>
          <w:szCs w:val="24"/>
        </w:rPr>
        <w:t>s impacted by the Restructure of Prices.</w:t>
      </w:r>
      <w:bookmarkEnd w:id="24"/>
    </w:p>
    <w:p w:rsidR="00896925" w:rsidRPr="00896925" w:rsidRDefault="00896925" w:rsidP="00896925">
      <w:pPr>
        <w:pStyle w:val="Subclause1"/>
        <w:tabs>
          <w:tab w:val="clear" w:pos="1418"/>
          <w:tab w:val="num" w:pos="709"/>
        </w:tabs>
        <w:ind w:left="709"/>
        <w:rPr>
          <w:szCs w:val="24"/>
        </w:rPr>
      </w:pPr>
      <w:bookmarkStart w:id="25" w:name="_Ref400447815"/>
      <w:r w:rsidRPr="00896925">
        <w:rPr>
          <w:color w:val="000000"/>
          <w:szCs w:val="24"/>
        </w:rPr>
        <w:t xml:space="preserve">If </w:t>
      </w:r>
      <w:r w:rsidR="00B02EF4">
        <w:rPr>
          <w:color w:val="000000"/>
          <w:szCs w:val="24"/>
        </w:rPr>
        <w:t>a Non-exempt EDB has undertaken a R</w:t>
      </w:r>
      <w:r w:rsidRPr="00896925">
        <w:rPr>
          <w:color w:val="000000"/>
          <w:szCs w:val="24"/>
        </w:rPr>
        <w:t>estructure</w:t>
      </w:r>
      <w:r w:rsidR="00B02EF4">
        <w:rPr>
          <w:color w:val="000000"/>
          <w:szCs w:val="24"/>
        </w:rPr>
        <w:t xml:space="preserve"> of</w:t>
      </w:r>
      <w:r w:rsidRPr="00896925">
        <w:rPr>
          <w:color w:val="000000"/>
          <w:szCs w:val="24"/>
        </w:rPr>
        <w:t xml:space="preserve"> Prices</w:t>
      </w:r>
      <w:r w:rsidR="00B02EF4">
        <w:rPr>
          <w:color w:val="000000"/>
          <w:szCs w:val="24"/>
        </w:rPr>
        <w:t xml:space="preserve"> </w:t>
      </w:r>
      <w:r w:rsidR="00B02EF4" w:rsidRPr="00CD4177">
        <w:rPr>
          <w:strike/>
          <w:color w:val="1F497D" w:themeColor="text2"/>
          <w:szCs w:val="24"/>
        </w:rPr>
        <w:t>in or that first apply to the</w:t>
      </w:r>
      <w:r w:rsidR="000C03FB" w:rsidRPr="00CD4177">
        <w:rPr>
          <w:color w:val="1F497D" w:themeColor="text2"/>
          <w:szCs w:val="24"/>
        </w:rPr>
        <w:t xml:space="preserve"> </w:t>
      </w:r>
      <w:r w:rsidR="00EB6571" w:rsidRPr="00CD4177">
        <w:rPr>
          <w:color w:val="1F497D" w:themeColor="text2"/>
          <w:szCs w:val="24"/>
          <w:u w:val="single"/>
        </w:rPr>
        <w:t>that first applied during the current or preceding</w:t>
      </w:r>
      <w:r w:rsidR="00B02EF4" w:rsidRPr="00CD4177">
        <w:rPr>
          <w:color w:val="1F497D" w:themeColor="text2"/>
          <w:szCs w:val="24"/>
        </w:rPr>
        <w:t xml:space="preserve"> </w:t>
      </w:r>
      <w:r w:rsidR="00B02EF4">
        <w:rPr>
          <w:color w:val="000000"/>
          <w:szCs w:val="24"/>
        </w:rPr>
        <w:t>Assessment Period,</w:t>
      </w:r>
      <w:r w:rsidRPr="00896925">
        <w:rPr>
          <w:color w:val="000000"/>
          <w:szCs w:val="24"/>
        </w:rPr>
        <w:t xml:space="preserve"> and there is no Quantity for the 12 month period ending on 31 March two years prior that reasonably corresponds to a restructured Price</w:t>
      </w:r>
      <w:r w:rsidR="00B02EF4">
        <w:rPr>
          <w:color w:val="000000"/>
          <w:szCs w:val="24"/>
        </w:rPr>
        <w:t>, the Annual Compliance Statement must include</w:t>
      </w:r>
      <w:r w:rsidRPr="00896925">
        <w:rPr>
          <w:color w:val="000000"/>
          <w:szCs w:val="24"/>
        </w:rPr>
        <w:t>:</w:t>
      </w:r>
      <w:bookmarkEnd w:id="25"/>
    </w:p>
    <w:p w:rsidR="00896925" w:rsidRPr="00896925" w:rsidRDefault="00896925" w:rsidP="00B87C77">
      <w:pPr>
        <w:pStyle w:val="Subclause2"/>
        <w:numPr>
          <w:ilvl w:val="0"/>
          <w:numId w:val="62"/>
        </w:numPr>
        <w:ind w:left="1418" w:hanging="709"/>
      </w:pPr>
      <w:r w:rsidRPr="00896925">
        <w:rPr>
          <w:color w:val="000000"/>
        </w:rPr>
        <w:t>the methodology used to determine the Quantity for the 12 month period ending on 31 March two years prior that corresponds to each restructured Price;</w:t>
      </w:r>
    </w:p>
    <w:p w:rsidR="00896925" w:rsidRPr="00896925" w:rsidRDefault="00896925" w:rsidP="00B87C77">
      <w:pPr>
        <w:pStyle w:val="Subclause2"/>
        <w:numPr>
          <w:ilvl w:val="0"/>
          <w:numId w:val="62"/>
        </w:numPr>
        <w:ind w:left="1418" w:hanging="709"/>
      </w:pPr>
      <w:r w:rsidRPr="00896925">
        <w:rPr>
          <w:color w:val="000000"/>
        </w:rPr>
        <w:t>Quantity information corresponding to each restructured Price for the Assessment Period in which the restructure occurred, including a forecast of the Quantity for that period prepared by the Non-exempt EDB at the time it restructured its Prices, and the actual Quantity; and</w:t>
      </w:r>
    </w:p>
    <w:p w:rsidR="00896925" w:rsidRPr="00896925" w:rsidRDefault="00896925" w:rsidP="00B87C77">
      <w:pPr>
        <w:pStyle w:val="Subclause2"/>
        <w:numPr>
          <w:ilvl w:val="0"/>
          <w:numId w:val="62"/>
        </w:numPr>
        <w:ind w:left="1418" w:hanging="709"/>
      </w:pPr>
      <w:proofErr w:type="gramStart"/>
      <w:r w:rsidRPr="00896925">
        <w:rPr>
          <w:color w:val="000000"/>
        </w:rPr>
        <w:t>an</w:t>
      </w:r>
      <w:proofErr w:type="gramEnd"/>
      <w:r w:rsidRPr="00896925">
        <w:rPr>
          <w:color w:val="000000"/>
        </w:rPr>
        <w:t xml:space="preserve"> explanation for any differences between the actual and forecast Quantities associated with each Price for the Assessment Period in which the restructure occurred.</w:t>
      </w:r>
    </w:p>
    <w:p w:rsidR="00A91CA4" w:rsidRDefault="00A91CA4" w:rsidP="00A91CA4">
      <w:pPr>
        <w:pStyle w:val="ClauseTitle"/>
      </w:pPr>
      <w:bookmarkStart w:id="26" w:name="_Ref392777219"/>
      <w:r w:rsidRPr="00A91CA4">
        <w:t>Reconsideration of a default price-quality path</w:t>
      </w:r>
      <w:bookmarkEnd w:id="26"/>
    </w:p>
    <w:p w:rsidR="00F168EE" w:rsidRDefault="00A91CA4" w:rsidP="006356F1">
      <w:pPr>
        <w:pStyle w:val="Subclause1"/>
        <w:numPr>
          <w:ilvl w:val="0"/>
          <w:numId w:val="0"/>
        </w:numPr>
      </w:pPr>
      <w:r w:rsidRPr="00A91CA4">
        <w:t>A default price-quality path in this determination may be reconsidered in accordance with Subpart 5 of Part 4 of the IM Determination.</w:t>
      </w:r>
    </w:p>
    <w:p w:rsidR="00F168EE" w:rsidRDefault="00F168EE">
      <w:r>
        <w:br w:type="page"/>
      </w:r>
    </w:p>
    <w:p w:rsidR="00A91CA4" w:rsidRDefault="00F168EE" w:rsidP="002C294D">
      <w:pPr>
        <w:pStyle w:val="Scheduletitles"/>
        <w:ind w:hanging="720"/>
      </w:pPr>
      <w:bookmarkStart w:id="27" w:name="_Ref392850184"/>
      <w:r>
        <w:lastRenderedPageBreak/>
        <w:t>Starting Prices</w:t>
      </w:r>
      <w:bookmarkEnd w:id="27"/>
    </w:p>
    <w:p w:rsidR="00F168EE" w:rsidRPr="008E2FDA" w:rsidRDefault="00F168EE" w:rsidP="00AF34AF">
      <w:pPr>
        <w:pStyle w:val="Schnumberedtext"/>
        <w:ind w:left="709" w:hanging="709"/>
      </w:pPr>
      <w:r w:rsidRPr="008E2FDA">
        <w:t xml:space="preserve">The starting </w:t>
      </w:r>
      <w:r w:rsidR="00784F5D">
        <w:t xml:space="preserve">Distribution </w:t>
      </w:r>
      <w:r w:rsidRPr="008E2FDA">
        <w:t xml:space="preserve">Prices </w:t>
      </w:r>
      <w:r w:rsidR="0063484B">
        <w:t xml:space="preserve">that apply to the Regulatory Period 1 April 2015 to 31 March 2020 </w:t>
      </w:r>
      <w:r w:rsidRPr="008E2FDA">
        <w:t>for each Non-exempt EDB, specified as maximum allowable revenue, are as set out in Table 1</w:t>
      </w:r>
      <w:r w:rsidR="00C100B5" w:rsidRPr="008E2FDA">
        <w:t>.1</w:t>
      </w:r>
      <w:r w:rsidRPr="008E2FDA">
        <w:t>.</w:t>
      </w:r>
    </w:p>
    <w:p w:rsidR="009B7146" w:rsidRDefault="009B7146" w:rsidP="009B7146">
      <w:pPr>
        <w:pStyle w:val="SchTableheading"/>
      </w:pPr>
      <w:r w:rsidRPr="008E2FDA">
        <w:t>Table 1</w:t>
      </w:r>
      <w:r w:rsidR="00C100B5" w:rsidRPr="008E2FDA">
        <w:t>.1</w:t>
      </w:r>
      <w:r w:rsidRPr="008E2FDA">
        <w:t xml:space="preserve">: Starting Prices </w:t>
      </w:r>
      <w:r w:rsidR="006356F1">
        <w:t>for the Regulatory Period</w:t>
      </w:r>
      <w:r w:rsidR="006356F1">
        <w:br/>
      </w:r>
      <w:r w:rsidR="008E2FDA">
        <w:t>1 April 2015 – 31 March 2020</w:t>
      </w:r>
    </w:p>
    <w:tbl>
      <w:tblPr>
        <w:tblStyle w:val="SchTabletext"/>
        <w:tblW w:w="7510" w:type="dxa"/>
        <w:tblInd w:w="1586" w:type="dxa"/>
        <w:tblLook w:val="04A0" w:firstRow="1" w:lastRow="0" w:firstColumn="1" w:lastColumn="0" w:noHBand="0" w:noVBand="1"/>
      </w:tblPr>
      <w:tblGrid>
        <w:gridCol w:w="2234"/>
        <w:gridCol w:w="2753"/>
        <w:gridCol w:w="2523"/>
      </w:tblGrid>
      <w:tr w:rsidR="00E06A77" w:rsidTr="00E07DE1">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234" w:type="dxa"/>
            <w:vAlign w:val="bottom"/>
          </w:tcPr>
          <w:p w:rsidR="00E06A77" w:rsidRPr="00E06A77" w:rsidRDefault="00E06A77" w:rsidP="00E57444">
            <w:pPr>
              <w:pStyle w:val="Tablebodytext"/>
              <w:rPr>
                <w:sz w:val="20"/>
                <w:szCs w:val="20"/>
              </w:rPr>
            </w:pPr>
            <w:r w:rsidRPr="00E06A77">
              <w:rPr>
                <w:sz w:val="20"/>
                <w:szCs w:val="20"/>
              </w:rPr>
              <w:t>Non-Exempt EDB</w:t>
            </w:r>
          </w:p>
        </w:tc>
        <w:tc>
          <w:tcPr>
            <w:tcW w:w="2753" w:type="dxa"/>
            <w:vAlign w:val="bottom"/>
          </w:tcPr>
          <w:p w:rsidR="00E06A77" w:rsidRPr="00E06A77" w:rsidRDefault="006B1165" w:rsidP="006B1165">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Maximum allowable revenue</w:t>
            </w:r>
            <w:r w:rsidR="00E06A77">
              <w:rPr>
                <w:sz w:val="20"/>
                <w:szCs w:val="20"/>
              </w:rPr>
              <w:t xml:space="preserve"> </w:t>
            </w:r>
            <w:r w:rsidR="00E06A77" w:rsidRPr="00E06A77">
              <w:rPr>
                <w:sz w:val="20"/>
                <w:szCs w:val="20"/>
              </w:rPr>
              <w:t>($000)</w:t>
            </w:r>
          </w:p>
        </w:tc>
        <w:tc>
          <w:tcPr>
            <w:tcW w:w="2523" w:type="dxa"/>
            <w:vAlign w:val="bottom"/>
          </w:tcPr>
          <w:p w:rsidR="00E06A77" w:rsidRPr="00E06A77" w:rsidRDefault="004D32F9" w:rsidP="001A5B14">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Change in Constant Price Revenue (</w:t>
            </w:r>
            <w:r w:rsidR="00E06A77" w:rsidRPr="00E06A77">
              <w:rPr>
                <w:sz w:val="20"/>
                <w:szCs w:val="20"/>
              </w:rPr>
              <w:t>ΔD</w:t>
            </w:r>
            <w:r>
              <w:rPr>
                <w:sz w:val="20"/>
                <w:szCs w:val="20"/>
              </w:rPr>
              <w:t>)</w:t>
            </w:r>
          </w:p>
        </w:tc>
      </w:tr>
      <w:tr w:rsidR="004D32F9"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bottom w:val="single" w:sz="8" w:space="0" w:color="808080" w:themeColor="background1" w:themeShade="80"/>
            </w:tcBorders>
          </w:tcPr>
          <w:p w:rsidR="004D32F9" w:rsidRPr="00E06A77" w:rsidRDefault="004D32F9" w:rsidP="00C32AD5">
            <w:pPr>
              <w:pStyle w:val="Quotation"/>
              <w:spacing w:after="0"/>
              <w:ind w:left="0" w:right="34"/>
              <w:rPr>
                <w:color w:val="000000"/>
                <w:lang w:eastAsia="en-NZ"/>
              </w:rPr>
            </w:pPr>
            <w:r>
              <w:rPr>
                <w:lang w:eastAsia="en-US"/>
              </w:rPr>
              <w:t>–</w:t>
            </w:r>
          </w:p>
        </w:tc>
        <w:tc>
          <w:tcPr>
            <w:tcW w:w="2753" w:type="dxa"/>
            <w:tcBorders>
              <w:bottom w:val="single" w:sz="8" w:space="0" w:color="808080" w:themeColor="background1" w:themeShade="80"/>
            </w:tcBorders>
          </w:tcPr>
          <w:p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bottom w:val="single" w:sz="8" w:space="0" w:color="808080" w:themeColor="background1" w:themeShade="80"/>
            </w:tcBorders>
          </w:tcPr>
          <w:p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bottom w:val="single" w:sz="8" w:space="0" w:color="808080" w:themeColor="background1" w:themeShade="80"/>
            </w:tcBorders>
          </w:tcPr>
          <w:p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bottom w:val="single" w:sz="8" w:space="0" w:color="808080" w:themeColor="background1" w:themeShade="80"/>
            </w:tcBorders>
          </w:tcPr>
          <w:p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bottom w:val="single" w:sz="8" w:space="0" w:color="808080" w:themeColor="background1" w:themeShade="80"/>
            </w:tcBorders>
          </w:tcPr>
          <w:p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r w:rsidR="004D32F9" w:rsidTr="00E91B3E">
        <w:trPr>
          <w:trHeight w:val="340"/>
        </w:trPr>
        <w:tc>
          <w:tcPr>
            <w:cnfStyle w:val="001000000000" w:firstRow="0" w:lastRow="0" w:firstColumn="1" w:lastColumn="0" w:oddVBand="0" w:evenVBand="0" w:oddHBand="0" w:evenHBand="0" w:firstRowFirstColumn="0" w:firstRowLastColumn="0" w:lastRowFirstColumn="0" w:lastRowLastColumn="0"/>
            <w:tcW w:w="2234" w:type="dxa"/>
            <w:tcBorders>
              <w:top w:val="single" w:sz="8" w:space="0" w:color="808080" w:themeColor="background1" w:themeShade="80"/>
            </w:tcBorders>
          </w:tcPr>
          <w:p w:rsidR="004D32F9" w:rsidRPr="00E06A77" w:rsidRDefault="004D32F9" w:rsidP="00C32AD5">
            <w:pPr>
              <w:pStyle w:val="Quotation"/>
              <w:spacing w:after="0"/>
              <w:ind w:left="0" w:right="34"/>
              <w:rPr>
                <w:color w:val="000000"/>
                <w:lang w:eastAsia="en-NZ"/>
              </w:rPr>
            </w:pPr>
            <w:r>
              <w:rPr>
                <w:lang w:eastAsia="en-US"/>
              </w:rPr>
              <w:t>–</w:t>
            </w:r>
          </w:p>
        </w:tc>
        <w:tc>
          <w:tcPr>
            <w:tcW w:w="2753" w:type="dxa"/>
            <w:tcBorders>
              <w:top w:val="single" w:sz="8" w:space="0" w:color="808080" w:themeColor="background1" w:themeShade="80"/>
            </w:tcBorders>
          </w:tcPr>
          <w:p w:rsidR="004D32F9" w:rsidRPr="00E06A77" w:rsidRDefault="004D32F9" w:rsidP="006B1165">
            <w:pPr>
              <w:pStyle w:val="Quotation"/>
              <w:spacing w:after="0"/>
              <w:ind w:left="7"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c>
          <w:tcPr>
            <w:tcW w:w="2523" w:type="dxa"/>
            <w:tcBorders>
              <w:top w:val="single" w:sz="8" w:space="0" w:color="808080" w:themeColor="background1" w:themeShade="80"/>
            </w:tcBorders>
          </w:tcPr>
          <w:p w:rsidR="004D32F9" w:rsidRPr="00E06A77" w:rsidRDefault="004D32F9" w:rsidP="00C32AD5">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lang w:eastAsia="en-US"/>
              </w:rPr>
              <w:t>–</w:t>
            </w:r>
          </w:p>
        </w:tc>
      </w:tr>
    </w:tbl>
    <w:p w:rsidR="00DA5CFE" w:rsidRDefault="00DA5CFE" w:rsidP="00DA5CFE">
      <w:pPr>
        <w:rPr>
          <w:color w:val="000000"/>
          <w:szCs w:val="24"/>
          <w:lang w:eastAsia="en-NZ"/>
        </w:rPr>
      </w:pPr>
    </w:p>
    <w:p w:rsidR="00B66CC1" w:rsidRDefault="00B66CC1">
      <w:pPr>
        <w:rPr>
          <w:rFonts w:cs="Arial"/>
          <w:b/>
          <w:szCs w:val="17"/>
        </w:rPr>
      </w:pPr>
      <w:r>
        <w:br w:type="page"/>
      </w:r>
    </w:p>
    <w:p w:rsidR="00B66CC1" w:rsidRDefault="00B66CC1" w:rsidP="002C294D">
      <w:pPr>
        <w:pStyle w:val="Scheduletitles"/>
        <w:ind w:hanging="720"/>
      </w:pPr>
      <w:bookmarkStart w:id="28" w:name="_Ref392850218"/>
      <w:r>
        <w:lastRenderedPageBreak/>
        <w:t>Annual rates of change</w:t>
      </w:r>
      <w:bookmarkEnd w:id="28"/>
    </w:p>
    <w:p w:rsidR="00B66CC1" w:rsidRDefault="00D47460" w:rsidP="00B87C77">
      <w:pPr>
        <w:pStyle w:val="Schnumberedtext"/>
        <w:numPr>
          <w:ilvl w:val="0"/>
          <w:numId w:val="28"/>
        </w:numPr>
        <w:ind w:left="709" w:hanging="709"/>
      </w:pPr>
      <w:r w:rsidRPr="00D47460">
        <w:t xml:space="preserve">The annual rate of change for all Non-exempt EDBs is the </w:t>
      </w:r>
      <w:r w:rsidR="00943DD7">
        <w:t xml:space="preserve">annual </w:t>
      </w:r>
      <w:r w:rsidRPr="00D47460">
        <w:t>rate of change generally applicable to all Non-exempt EDBs</w:t>
      </w:r>
      <w:r w:rsidR="0060276B" w:rsidRPr="00D47460">
        <w:t xml:space="preserve"> for that Regulatory Period</w:t>
      </w:r>
      <w:r w:rsidRPr="00D47460">
        <w:t xml:space="preserve">, unless an alternative rate of change is specified for the </w:t>
      </w:r>
      <w:r w:rsidR="008E2FDA">
        <w:t>Non-exempt EDB</w:t>
      </w:r>
      <w:r w:rsidRPr="004F616A">
        <w:t>.</w:t>
      </w:r>
    </w:p>
    <w:p w:rsidR="00D47460" w:rsidRPr="002F54CC" w:rsidRDefault="00D47460" w:rsidP="00CA2DB7">
      <w:pPr>
        <w:pStyle w:val="Schnumberedtext"/>
        <w:ind w:hanging="720"/>
      </w:pPr>
      <w:r w:rsidRPr="002F54CC">
        <w:t>The annual rate of change generally applicable to all Non-exempt EDBs</w:t>
      </w:r>
      <w:r w:rsidR="0060276B">
        <w:t xml:space="preserve"> for the Regulatory Period 1 April 2015 to 31 March 2020 is </w:t>
      </w:r>
      <w:r w:rsidR="00E87800">
        <w:t>[--</w:t>
      </w:r>
      <w:proofErr w:type="gramStart"/>
      <w:r w:rsidR="00E87800">
        <w:t>]</w:t>
      </w:r>
      <w:r w:rsidR="0060276B">
        <w:t>%</w:t>
      </w:r>
      <w:proofErr w:type="gramEnd"/>
      <w:r w:rsidRPr="004F616A">
        <w:t>.</w:t>
      </w:r>
    </w:p>
    <w:p w:rsidR="00D47460" w:rsidRDefault="00022BCB" w:rsidP="00CA2DB7">
      <w:pPr>
        <w:pStyle w:val="Schnumberedtext"/>
        <w:spacing w:before="240"/>
        <w:ind w:hanging="720"/>
      </w:pPr>
      <w:r>
        <w:t>The Non-exempt EDBs subject to an alternative</w:t>
      </w:r>
      <w:r w:rsidRPr="002F54CC">
        <w:t xml:space="preserve"> </w:t>
      </w:r>
      <w:r w:rsidR="00943DD7">
        <w:t xml:space="preserve">annual </w:t>
      </w:r>
      <w:r w:rsidR="00D47460" w:rsidRPr="002F54CC">
        <w:t>rate of change</w:t>
      </w:r>
      <w:r w:rsidR="0060276B">
        <w:t xml:space="preserve"> for the Regulatory Period 1 April 2015 to 31 March 2020</w:t>
      </w:r>
      <w:r>
        <w:t xml:space="preserve">, </w:t>
      </w:r>
      <w:r w:rsidR="004D32F9">
        <w:t xml:space="preserve">and </w:t>
      </w:r>
      <w:r>
        <w:t>the alternative rate of change</w:t>
      </w:r>
      <w:r w:rsidR="004D32F9">
        <w:t xml:space="preserve"> that applies</w:t>
      </w:r>
      <w:r>
        <w:t>,</w:t>
      </w:r>
      <w:r w:rsidR="004D32F9">
        <w:t xml:space="preserve"> are as</w:t>
      </w:r>
      <w:r w:rsidRPr="002F54CC">
        <w:t xml:space="preserve"> </w:t>
      </w:r>
      <w:r w:rsidR="00D47460" w:rsidRPr="002F54CC">
        <w:t>set out in Table 2</w:t>
      </w:r>
      <w:r w:rsidR="00C100B5">
        <w:t>.</w:t>
      </w:r>
      <w:r w:rsidR="0060276B">
        <w:t>1</w:t>
      </w:r>
      <w:r w:rsidR="00D47460" w:rsidRPr="002F54CC">
        <w:t>.</w:t>
      </w:r>
    </w:p>
    <w:p w:rsidR="00D47460" w:rsidRDefault="00D47460" w:rsidP="00D47460">
      <w:pPr>
        <w:pStyle w:val="SchTableheading"/>
      </w:pPr>
      <w:r w:rsidRPr="004F616A">
        <w:t>Table 2</w:t>
      </w:r>
      <w:r w:rsidR="00C100B5" w:rsidRPr="004F616A">
        <w:t>.</w:t>
      </w:r>
      <w:r w:rsidR="0060276B">
        <w:t>1</w:t>
      </w:r>
      <w:r w:rsidRPr="004F616A">
        <w:t>:</w:t>
      </w:r>
      <w:r>
        <w:t xml:space="preserve"> </w:t>
      </w:r>
      <w:r w:rsidRPr="00D47460">
        <w:t xml:space="preserve">Alternative rates of change </w:t>
      </w:r>
      <w:r w:rsidR="006356F1">
        <w:t>for the</w:t>
      </w:r>
      <w:r w:rsidR="006356F1">
        <w:br/>
      </w:r>
      <w:r w:rsidR="003C4503" w:rsidRPr="003C4503">
        <w:t>Regulatory Period 1 April 2015 - 31 March 2020</w:t>
      </w:r>
    </w:p>
    <w:tbl>
      <w:tblPr>
        <w:tblStyle w:val="SchTabletext"/>
        <w:tblW w:w="6994" w:type="dxa"/>
        <w:tblInd w:w="-34" w:type="dxa"/>
        <w:tblLook w:val="04A0" w:firstRow="1" w:lastRow="0" w:firstColumn="1" w:lastColumn="0" w:noHBand="0" w:noVBand="1"/>
      </w:tblPr>
      <w:tblGrid>
        <w:gridCol w:w="3017"/>
        <w:gridCol w:w="3977"/>
      </w:tblGrid>
      <w:tr w:rsidR="00D47460" w:rsidRPr="00E06A77" w:rsidTr="00886D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17" w:type="dxa"/>
            <w:vAlign w:val="bottom"/>
          </w:tcPr>
          <w:p w:rsidR="00D47460" w:rsidRPr="00E06A77" w:rsidRDefault="00D47460" w:rsidP="00886D66">
            <w:pPr>
              <w:pStyle w:val="Tablebodytext"/>
              <w:ind w:right="-32"/>
              <w:rPr>
                <w:sz w:val="20"/>
                <w:szCs w:val="20"/>
              </w:rPr>
            </w:pPr>
            <w:r>
              <w:rPr>
                <w:sz w:val="20"/>
                <w:szCs w:val="20"/>
              </w:rPr>
              <w:t>Non-exempt EDB</w:t>
            </w:r>
          </w:p>
        </w:tc>
        <w:tc>
          <w:tcPr>
            <w:tcW w:w="3977" w:type="dxa"/>
          </w:tcPr>
          <w:p w:rsidR="00D47460" w:rsidRPr="00E06A77" w:rsidRDefault="00022BCB" w:rsidP="003C4503">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Alternative r</w:t>
            </w:r>
            <w:r w:rsidR="00D47460" w:rsidRPr="00D47460">
              <w:rPr>
                <w:sz w:val="20"/>
                <w:szCs w:val="20"/>
              </w:rPr>
              <w:t xml:space="preserve">ate of change </w:t>
            </w:r>
          </w:p>
        </w:tc>
      </w:tr>
      <w:tr w:rsidR="00D47460" w:rsidRPr="00E06A77" w:rsidTr="00C32AD5">
        <w:trPr>
          <w:trHeight w:val="340"/>
        </w:trPr>
        <w:tc>
          <w:tcPr>
            <w:cnfStyle w:val="001000000000" w:firstRow="0" w:lastRow="0" w:firstColumn="1" w:lastColumn="0" w:oddVBand="0" w:evenVBand="0" w:oddHBand="0" w:evenHBand="0" w:firstRowFirstColumn="0" w:firstRowLastColumn="0" w:lastRowFirstColumn="0" w:lastRowLastColumn="0"/>
            <w:tcW w:w="3017" w:type="dxa"/>
          </w:tcPr>
          <w:p w:rsidR="00D47460" w:rsidRPr="00E06A77" w:rsidRDefault="00295C27" w:rsidP="00886D66">
            <w:pPr>
              <w:pStyle w:val="Quotation"/>
              <w:spacing w:after="0"/>
              <w:ind w:left="0" w:right="-32"/>
              <w:rPr>
                <w:color w:val="000000"/>
                <w:lang w:eastAsia="en-NZ"/>
              </w:rPr>
            </w:pPr>
            <w:r>
              <w:rPr>
                <w:color w:val="000000"/>
                <w:lang w:eastAsia="en-NZ"/>
              </w:rPr>
              <w:t>–</w:t>
            </w:r>
          </w:p>
        </w:tc>
        <w:tc>
          <w:tcPr>
            <w:tcW w:w="3977" w:type="dxa"/>
          </w:tcPr>
          <w:p w:rsidR="00D47460" w:rsidRPr="00E06A77" w:rsidRDefault="00295C27" w:rsidP="00CA2DB7">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color w:val="000000"/>
                <w:lang w:eastAsia="en-NZ"/>
              </w:rPr>
              <w:t>–</w:t>
            </w:r>
          </w:p>
        </w:tc>
      </w:tr>
      <w:tr w:rsidR="00D47460" w:rsidRPr="00E06A77" w:rsidTr="00C32AD5">
        <w:trPr>
          <w:trHeight w:val="340"/>
        </w:trPr>
        <w:tc>
          <w:tcPr>
            <w:cnfStyle w:val="001000000000" w:firstRow="0" w:lastRow="0" w:firstColumn="1" w:lastColumn="0" w:oddVBand="0" w:evenVBand="0" w:oddHBand="0" w:evenHBand="0" w:firstRowFirstColumn="0" w:firstRowLastColumn="0" w:lastRowFirstColumn="0" w:lastRowLastColumn="0"/>
            <w:tcW w:w="3017" w:type="dxa"/>
          </w:tcPr>
          <w:p w:rsidR="00D47460" w:rsidRDefault="00295C27" w:rsidP="00886D66">
            <w:pPr>
              <w:pStyle w:val="Quotation"/>
              <w:spacing w:after="0"/>
              <w:ind w:left="0" w:right="-32"/>
              <w:rPr>
                <w:color w:val="000000"/>
                <w:lang w:eastAsia="en-NZ"/>
              </w:rPr>
            </w:pPr>
            <w:r>
              <w:rPr>
                <w:color w:val="000000"/>
                <w:lang w:eastAsia="en-NZ"/>
              </w:rPr>
              <w:t>–</w:t>
            </w:r>
          </w:p>
        </w:tc>
        <w:tc>
          <w:tcPr>
            <w:tcW w:w="3977" w:type="dxa"/>
          </w:tcPr>
          <w:p w:rsidR="00D47460" w:rsidRDefault="00295C27" w:rsidP="00CA2DB7">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color w:val="000000"/>
                <w:lang w:eastAsia="en-NZ"/>
              </w:rPr>
              <w:t>–</w:t>
            </w:r>
          </w:p>
        </w:tc>
      </w:tr>
      <w:tr w:rsidR="00D47460" w:rsidRPr="00E06A77" w:rsidTr="00C32AD5">
        <w:trPr>
          <w:trHeight w:val="340"/>
        </w:trPr>
        <w:tc>
          <w:tcPr>
            <w:cnfStyle w:val="001000000000" w:firstRow="0" w:lastRow="0" w:firstColumn="1" w:lastColumn="0" w:oddVBand="0" w:evenVBand="0" w:oddHBand="0" w:evenHBand="0" w:firstRowFirstColumn="0" w:firstRowLastColumn="0" w:lastRowFirstColumn="0" w:lastRowLastColumn="0"/>
            <w:tcW w:w="3017" w:type="dxa"/>
          </w:tcPr>
          <w:p w:rsidR="00D47460" w:rsidRDefault="00295C27" w:rsidP="00886D66">
            <w:pPr>
              <w:pStyle w:val="Quotation"/>
              <w:spacing w:after="0"/>
              <w:ind w:left="0" w:right="-32"/>
              <w:rPr>
                <w:color w:val="000000"/>
                <w:lang w:eastAsia="en-NZ"/>
              </w:rPr>
            </w:pPr>
            <w:r>
              <w:rPr>
                <w:color w:val="000000"/>
                <w:lang w:eastAsia="en-NZ"/>
              </w:rPr>
              <w:t>–</w:t>
            </w:r>
          </w:p>
        </w:tc>
        <w:tc>
          <w:tcPr>
            <w:tcW w:w="3977" w:type="dxa"/>
          </w:tcPr>
          <w:p w:rsidR="00D47460" w:rsidRDefault="00295C27" w:rsidP="00CA2DB7">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color w:val="000000"/>
                <w:lang w:eastAsia="en-NZ"/>
              </w:rPr>
              <w:t>–</w:t>
            </w:r>
          </w:p>
        </w:tc>
      </w:tr>
      <w:tr w:rsidR="00D47460" w:rsidRPr="00E06A77" w:rsidTr="00C32AD5">
        <w:trPr>
          <w:trHeight w:val="340"/>
        </w:trPr>
        <w:tc>
          <w:tcPr>
            <w:cnfStyle w:val="001000000000" w:firstRow="0" w:lastRow="0" w:firstColumn="1" w:lastColumn="0" w:oddVBand="0" w:evenVBand="0" w:oddHBand="0" w:evenHBand="0" w:firstRowFirstColumn="0" w:firstRowLastColumn="0" w:lastRowFirstColumn="0" w:lastRowLastColumn="0"/>
            <w:tcW w:w="3017" w:type="dxa"/>
          </w:tcPr>
          <w:p w:rsidR="00D47460" w:rsidRDefault="00295C27" w:rsidP="00886D66">
            <w:pPr>
              <w:pStyle w:val="Quotation"/>
              <w:spacing w:after="0"/>
              <w:ind w:left="0" w:right="-32"/>
              <w:rPr>
                <w:color w:val="000000"/>
                <w:lang w:eastAsia="en-NZ"/>
              </w:rPr>
            </w:pPr>
            <w:r>
              <w:rPr>
                <w:color w:val="000000"/>
                <w:lang w:eastAsia="en-NZ"/>
              </w:rPr>
              <w:t>–</w:t>
            </w:r>
          </w:p>
        </w:tc>
        <w:tc>
          <w:tcPr>
            <w:tcW w:w="3977" w:type="dxa"/>
          </w:tcPr>
          <w:p w:rsidR="00D47460" w:rsidRDefault="00295C27" w:rsidP="00CA2DB7">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color w:val="000000"/>
                <w:lang w:eastAsia="en-NZ"/>
              </w:rPr>
              <w:t xml:space="preserve"> –</w:t>
            </w:r>
          </w:p>
        </w:tc>
      </w:tr>
      <w:tr w:rsidR="00D47460" w:rsidRPr="00E06A77" w:rsidTr="00C32AD5">
        <w:trPr>
          <w:trHeight w:val="340"/>
        </w:trPr>
        <w:tc>
          <w:tcPr>
            <w:cnfStyle w:val="001000000000" w:firstRow="0" w:lastRow="0" w:firstColumn="1" w:lastColumn="0" w:oddVBand="0" w:evenVBand="0" w:oddHBand="0" w:evenHBand="0" w:firstRowFirstColumn="0" w:firstRowLastColumn="0" w:lastRowFirstColumn="0" w:lastRowLastColumn="0"/>
            <w:tcW w:w="3017" w:type="dxa"/>
          </w:tcPr>
          <w:p w:rsidR="00D47460" w:rsidRDefault="00295C27" w:rsidP="00886D66">
            <w:pPr>
              <w:pStyle w:val="Quotation"/>
              <w:spacing w:after="0"/>
              <w:ind w:left="0" w:right="-32"/>
              <w:rPr>
                <w:color w:val="000000"/>
                <w:lang w:eastAsia="en-NZ"/>
              </w:rPr>
            </w:pPr>
            <w:r>
              <w:rPr>
                <w:color w:val="000000"/>
                <w:lang w:eastAsia="en-NZ"/>
              </w:rPr>
              <w:t>–</w:t>
            </w:r>
          </w:p>
        </w:tc>
        <w:tc>
          <w:tcPr>
            <w:tcW w:w="3977" w:type="dxa"/>
          </w:tcPr>
          <w:p w:rsidR="00D47460" w:rsidRDefault="00295C27" w:rsidP="00CA2DB7">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color w:val="000000"/>
                <w:lang w:eastAsia="en-NZ"/>
              </w:rPr>
              <w:t>–</w:t>
            </w:r>
          </w:p>
        </w:tc>
      </w:tr>
      <w:tr w:rsidR="00D47460" w:rsidRPr="00E06A77" w:rsidTr="00C32AD5">
        <w:trPr>
          <w:trHeight w:val="340"/>
        </w:trPr>
        <w:tc>
          <w:tcPr>
            <w:cnfStyle w:val="001000000000" w:firstRow="0" w:lastRow="0" w:firstColumn="1" w:lastColumn="0" w:oddVBand="0" w:evenVBand="0" w:oddHBand="0" w:evenHBand="0" w:firstRowFirstColumn="0" w:firstRowLastColumn="0" w:lastRowFirstColumn="0" w:lastRowLastColumn="0"/>
            <w:tcW w:w="3017" w:type="dxa"/>
          </w:tcPr>
          <w:p w:rsidR="00D47460" w:rsidRDefault="00295C27" w:rsidP="00886D66">
            <w:pPr>
              <w:pStyle w:val="Quotation"/>
              <w:spacing w:after="0"/>
              <w:ind w:left="0" w:right="-32"/>
              <w:rPr>
                <w:color w:val="000000"/>
                <w:lang w:eastAsia="en-NZ"/>
              </w:rPr>
            </w:pPr>
            <w:r>
              <w:rPr>
                <w:color w:val="000000"/>
                <w:lang w:eastAsia="en-NZ"/>
              </w:rPr>
              <w:t>–</w:t>
            </w:r>
          </w:p>
        </w:tc>
        <w:tc>
          <w:tcPr>
            <w:tcW w:w="3977" w:type="dxa"/>
          </w:tcPr>
          <w:p w:rsidR="00D47460" w:rsidRDefault="00295C27" w:rsidP="00CA2DB7">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color w:val="000000"/>
                <w:lang w:eastAsia="en-NZ"/>
              </w:rPr>
              <w:t>–</w:t>
            </w:r>
          </w:p>
        </w:tc>
      </w:tr>
      <w:tr w:rsidR="00D47460" w:rsidRPr="00E06A77" w:rsidTr="00C32AD5">
        <w:trPr>
          <w:trHeight w:val="340"/>
        </w:trPr>
        <w:tc>
          <w:tcPr>
            <w:cnfStyle w:val="001000000000" w:firstRow="0" w:lastRow="0" w:firstColumn="1" w:lastColumn="0" w:oddVBand="0" w:evenVBand="0" w:oddHBand="0" w:evenHBand="0" w:firstRowFirstColumn="0" w:firstRowLastColumn="0" w:lastRowFirstColumn="0" w:lastRowLastColumn="0"/>
            <w:tcW w:w="3017" w:type="dxa"/>
            <w:tcBorders>
              <w:bottom w:val="single" w:sz="8" w:space="0" w:color="808080" w:themeColor="background1" w:themeShade="80"/>
            </w:tcBorders>
          </w:tcPr>
          <w:p w:rsidR="00D47460" w:rsidRDefault="00295C27" w:rsidP="00886D66">
            <w:pPr>
              <w:pStyle w:val="Quotation"/>
              <w:spacing w:after="0"/>
              <w:ind w:left="0" w:right="-32"/>
              <w:rPr>
                <w:color w:val="000000"/>
                <w:lang w:eastAsia="en-NZ"/>
              </w:rPr>
            </w:pPr>
            <w:r>
              <w:rPr>
                <w:color w:val="000000"/>
                <w:lang w:eastAsia="en-NZ"/>
              </w:rPr>
              <w:t>–</w:t>
            </w:r>
          </w:p>
        </w:tc>
        <w:tc>
          <w:tcPr>
            <w:tcW w:w="3977" w:type="dxa"/>
            <w:tcBorders>
              <w:bottom w:val="single" w:sz="8" w:space="0" w:color="808080" w:themeColor="background1" w:themeShade="80"/>
            </w:tcBorders>
          </w:tcPr>
          <w:p w:rsidR="00D47460" w:rsidRDefault="00295C27" w:rsidP="00CA2DB7">
            <w:pPr>
              <w:pStyle w:val="Quotation"/>
              <w:spacing w:after="0"/>
              <w:ind w:left="0" w:right="0"/>
              <w:cnfStyle w:val="000000000000" w:firstRow="0" w:lastRow="0" w:firstColumn="0" w:lastColumn="0" w:oddVBand="0" w:evenVBand="0" w:oddHBand="0" w:evenHBand="0" w:firstRowFirstColumn="0" w:firstRowLastColumn="0" w:lastRowFirstColumn="0" w:lastRowLastColumn="0"/>
              <w:rPr>
                <w:color w:val="000000"/>
                <w:lang w:eastAsia="en-NZ"/>
              </w:rPr>
            </w:pPr>
            <w:r>
              <w:rPr>
                <w:color w:val="000000"/>
                <w:lang w:eastAsia="en-NZ"/>
              </w:rPr>
              <w:t>–</w:t>
            </w:r>
          </w:p>
        </w:tc>
      </w:tr>
    </w:tbl>
    <w:p w:rsidR="00053F4A" w:rsidRDefault="00053F4A">
      <w:pPr>
        <w:rPr>
          <w:b/>
          <w:szCs w:val="24"/>
        </w:rPr>
      </w:pPr>
      <w:bookmarkStart w:id="29" w:name="_Toc348091314"/>
      <w:bookmarkStart w:id="30" w:name="_Toc372728461"/>
      <w:r>
        <w:rPr>
          <w:szCs w:val="24"/>
        </w:rPr>
        <w:br w:type="page"/>
      </w:r>
    </w:p>
    <w:p w:rsidR="00D2348A" w:rsidRPr="00B551BE" w:rsidRDefault="00D2348A" w:rsidP="00D2348A">
      <w:pPr>
        <w:pStyle w:val="Scheduletitles"/>
        <w:numPr>
          <w:ilvl w:val="0"/>
          <w:numId w:val="0"/>
        </w:numPr>
        <w:ind w:left="1418" w:hanging="1418"/>
        <w:rPr>
          <w:szCs w:val="24"/>
        </w:rPr>
      </w:pPr>
      <w:r w:rsidRPr="00B551BE">
        <w:rPr>
          <w:szCs w:val="24"/>
        </w:rPr>
        <w:lastRenderedPageBreak/>
        <w:t xml:space="preserve">Schedule </w:t>
      </w:r>
      <w:r w:rsidR="006735C4">
        <w:rPr>
          <w:szCs w:val="24"/>
        </w:rPr>
        <w:t>3</w:t>
      </w:r>
      <w:r w:rsidR="006735C4" w:rsidRPr="00B551BE">
        <w:rPr>
          <w:szCs w:val="24"/>
        </w:rPr>
        <w:t>A</w:t>
      </w:r>
      <w:r w:rsidRPr="00B551BE">
        <w:rPr>
          <w:szCs w:val="24"/>
        </w:rPr>
        <w:t xml:space="preserve">: </w:t>
      </w:r>
      <w:r w:rsidRPr="00B551BE">
        <w:rPr>
          <w:szCs w:val="24"/>
        </w:rPr>
        <w:tab/>
        <w:t xml:space="preserve">Calculation of allowable notional revenue </w:t>
      </w:r>
      <w:bookmarkEnd w:id="29"/>
      <w:r w:rsidRPr="00B551BE">
        <w:rPr>
          <w:szCs w:val="24"/>
        </w:rPr>
        <w:t xml:space="preserve">for </w:t>
      </w:r>
      <w:r w:rsidR="009C5EB1">
        <w:rPr>
          <w:szCs w:val="24"/>
        </w:rPr>
        <w:t xml:space="preserve">the </w:t>
      </w:r>
      <w:r w:rsidR="00112FD6">
        <w:rPr>
          <w:szCs w:val="24"/>
        </w:rPr>
        <w:t>f</w:t>
      </w:r>
      <w:r w:rsidRPr="00B551BE">
        <w:rPr>
          <w:szCs w:val="24"/>
        </w:rPr>
        <w:t>irst Assessment Period</w:t>
      </w:r>
      <w:bookmarkEnd w:id="30"/>
    </w:p>
    <w:p w:rsidR="00D2348A" w:rsidRPr="00B551BE" w:rsidRDefault="00D2348A" w:rsidP="00B87C77">
      <w:pPr>
        <w:pStyle w:val="Schnumberedtext"/>
        <w:numPr>
          <w:ilvl w:val="0"/>
          <w:numId w:val="31"/>
        </w:numPr>
        <w:ind w:hanging="720"/>
      </w:pPr>
      <w:r w:rsidRPr="00B551BE">
        <w:t xml:space="preserve">The </w:t>
      </w:r>
      <w:r w:rsidR="008E2FDA">
        <w:t>a</w:t>
      </w:r>
      <w:r w:rsidRPr="00B551BE">
        <w:t xml:space="preserve">llowable </w:t>
      </w:r>
      <w:r w:rsidR="008E2FDA">
        <w:t>n</w:t>
      </w:r>
      <w:r w:rsidRPr="00B551BE">
        <w:t xml:space="preserve">otional </w:t>
      </w:r>
      <w:r w:rsidR="008E2FDA">
        <w:t>r</w:t>
      </w:r>
      <w:r w:rsidRPr="00B551BE">
        <w:t xml:space="preserve">evenue for the </w:t>
      </w:r>
      <w:r w:rsidR="008B5D9C">
        <w:t>f</w:t>
      </w:r>
      <w:r w:rsidRPr="00B551BE">
        <w:t xml:space="preserve">irst Assessment Period </w:t>
      </w:r>
      <w:r w:rsidR="00CB0960" w:rsidRPr="00CB0960">
        <w:rPr>
          <w:color w:val="1F497D" w:themeColor="text2"/>
          <w:u w:val="single"/>
        </w:rPr>
        <w:t>of the Regulatory Period</w:t>
      </w:r>
      <w:r w:rsidR="00CB0960">
        <w:t xml:space="preserve"> </w:t>
      </w:r>
      <w:r w:rsidRPr="00B551BE">
        <w:t xml:space="preserve">must be calculated in accordance with </w:t>
      </w:r>
      <w:r w:rsidR="005F7078" w:rsidRPr="00B551BE">
        <w:t xml:space="preserve">the </w:t>
      </w:r>
      <w:r w:rsidR="009C5EB1">
        <w:t>formula –</w:t>
      </w:r>
    </w:p>
    <w:p w:rsidR="00C51334" w:rsidRDefault="00D17757" w:rsidP="00F11DE1">
      <w:pPr>
        <w:pStyle w:val="BodyText"/>
        <w:ind w:left="709"/>
        <w:jc w:val="center"/>
        <w:rPr>
          <w:szCs w:val="24"/>
        </w:rPr>
      </w:pPr>
      <w:r w:rsidRPr="00821688">
        <w:rPr>
          <w:position w:val="-24"/>
          <w:szCs w:val="24"/>
        </w:rPr>
        <w:object w:dxaOrig="1520" w:dyaOrig="660">
          <v:shape id="_x0000_i1027" type="#_x0000_t75" style="width:79.4pt;height:31.75pt" o:ole="">
            <v:imagedata r:id="rId13" o:title=""/>
          </v:shape>
          <o:OLEObject Type="Embed" ProgID="Equation.3" ShapeID="_x0000_i1027" DrawAspect="Content" ObjectID="_1476274112" r:id="rId14"/>
        </w:object>
      </w:r>
    </w:p>
    <w:p w:rsidR="005F7078" w:rsidRPr="002F54CC" w:rsidRDefault="00113E4A" w:rsidP="005F7078">
      <w:pPr>
        <w:pStyle w:val="BodyText"/>
        <w:ind w:left="709"/>
        <w:rPr>
          <w:szCs w:val="24"/>
        </w:rPr>
      </w:pPr>
      <w:proofErr w:type="gramStart"/>
      <w:r>
        <w:rPr>
          <w:szCs w:val="24"/>
        </w:rPr>
        <w:t>where-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433"/>
      </w:tblGrid>
      <w:tr w:rsidR="009C5EB1" w:rsidRPr="00F337D6" w:rsidTr="00AF083D">
        <w:tc>
          <w:tcPr>
            <w:tcW w:w="992" w:type="dxa"/>
          </w:tcPr>
          <w:p w:rsidR="009C5EB1" w:rsidRPr="008E2FDA" w:rsidRDefault="009C5EB1" w:rsidP="00821688">
            <w:pPr>
              <w:pStyle w:val="BodyText"/>
              <w:ind w:left="-108"/>
              <w:rPr>
                <w:i/>
                <w:szCs w:val="24"/>
              </w:rPr>
            </w:pPr>
            <w:r w:rsidRPr="008E2FDA">
              <w:rPr>
                <w:i/>
                <w:szCs w:val="24"/>
              </w:rPr>
              <w:t>t</w:t>
            </w:r>
          </w:p>
        </w:tc>
        <w:tc>
          <w:tcPr>
            <w:tcW w:w="7433" w:type="dxa"/>
          </w:tcPr>
          <w:p w:rsidR="009C5EB1" w:rsidRPr="002F54CC" w:rsidRDefault="00821688" w:rsidP="00C32AD5">
            <w:pPr>
              <w:pStyle w:val="BodyText"/>
              <w:ind w:left="34"/>
              <w:rPr>
                <w:szCs w:val="24"/>
              </w:rPr>
            </w:pPr>
            <w:r>
              <w:rPr>
                <w:szCs w:val="24"/>
              </w:rPr>
              <w:t>i</w:t>
            </w:r>
            <w:r w:rsidR="009C5EB1">
              <w:rPr>
                <w:szCs w:val="24"/>
              </w:rPr>
              <w:t>s the first Assessment Period of the Regulatory Period</w:t>
            </w:r>
          </w:p>
        </w:tc>
      </w:tr>
      <w:tr w:rsidR="005F7078" w:rsidRPr="00F337D6" w:rsidTr="00AF083D">
        <w:tc>
          <w:tcPr>
            <w:tcW w:w="992" w:type="dxa"/>
          </w:tcPr>
          <w:p w:rsidR="005F7078" w:rsidRPr="002F54CC" w:rsidRDefault="009C5EB1" w:rsidP="00821688">
            <w:pPr>
              <w:pStyle w:val="BodyText"/>
              <w:ind w:left="-108"/>
              <w:rPr>
                <w:i/>
                <w:szCs w:val="24"/>
              </w:rPr>
            </w:pPr>
            <w:r w:rsidRPr="002F54CC">
              <w:rPr>
                <w:position w:val="-12"/>
                <w:szCs w:val="24"/>
              </w:rPr>
              <w:object w:dxaOrig="660" w:dyaOrig="380" w14:anchorId="326DB9DD">
                <v:shape id="_x0000_i1028" type="#_x0000_t75" style="width:34.95pt;height:18pt" o:ole="">
                  <v:imagedata r:id="rId15" o:title=""/>
                </v:shape>
                <o:OLEObject Type="Embed" ProgID="Equation.3" ShapeID="_x0000_i1028" DrawAspect="Content" ObjectID="_1476274113" r:id="rId16"/>
              </w:object>
            </w:r>
          </w:p>
        </w:tc>
        <w:tc>
          <w:tcPr>
            <w:tcW w:w="7433" w:type="dxa"/>
          </w:tcPr>
          <w:p w:rsidR="005F7078" w:rsidRPr="00AF4817" w:rsidRDefault="005F7078" w:rsidP="00943DD7">
            <w:pPr>
              <w:pStyle w:val="BodyText"/>
              <w:ind w:left="34"/>
              <w:rPr>
                <w:szCs w:val="24"/>
              </w:rPr>
            </w:pPr>
            <w:r w:rsidRPr="00AF4817">
              <w:rPr>
                <w:szCs w:val="24"/>
              </w:rPr>
              <w:t xml:space="preserve">is the maximum allowable revenue for the </w:t>
            </w:r>
            <w:r w:rsidR="009C5EB1" w:rsidRPr="00AF4817">
              <w:rPr>
                <w:szCs w:val="24"/>
              </w:rPr>
              <w:t>f</w:t>
            </w:r>
            <w:r w:rsidRPr="00AF4817">
              <w:rPr>
                <w:szCs w:val="24"/>
              </w:rPr>
              <w:t xml:space="preserve">irst Assessment Period as specified in </w:t>
            </w:r>
            <w:r w:rsidR="00943DD7">
              <w:rPr>
                <w:szCs w:val="24"/>
              </w:rPr>
              <w:t>Schedule 1</w:t>
            </w:r>
            <w:r w:rsidRPr="00AF4817">
              <w:rPr>
                <w:szCs w:val="24"/>
              </w:rPr>
              <w:t>;</w:t>
            </w:r>
          </w:p>
        </w:tc>
      </w:tr>
      <w:tr w:rsidR="005F7078" w:rsidRPr="00F337D6" w:rsidTr="00AF083D">
        <w:tc>
          <w:tcPr>
            <w:tcW w:w="992" w:type="dxa"/>
          </w:tcPr>
          <w:p w:rsidR="005F7078" w:rsidRPr="002F54CC" w:rsidRDefault="005F7078" w:rsidP="00821688">
            <w:pPr>
              <w:pStyle w:val="BodyText"/>
              <w:ind w:left="-108"/>
              <w:rPr>
                <w:szCs w:val="24"/>
              </w:rPr>
            </w:pPr>
            <w:r w:rsidRPr="002F54CC">
              <w:rPr>
                <w:position w:val="-14"/>
                <w:szCs w:val="24"/>
              </w:rPr>
              <w:object w:dxaOrig="440" w:dyaOrig="360" w14:anchorId="7192A7AB">
                <v:shape id="_x0000_i1029" type="#_x0000_t75" style="width:22.25pt;height:19.05pt" o:ole="">
                  <v:imagedata r:id="rId17" o:title=""/>
                </v:shape>
                <o:OLEObject Type="Embed" ProgID="Equation.3" ShapeID="_x0000_i1029" DrawAspect="Content" ObjectID="_1476274114" r:id="rId18"/>
              </w:object>
            </w:r>
          </w:p>
        </w:tc>
        <w:tc>
          <w:tcPr>
            <w:tcW w:w="7433" w:type="dxa"/>
          </w:tcPr>
          <w:p w:rsidR="005F7078" w:rsidRPr="00AF4817" w:rsidRDefault="005F7078" w:rsidP="003179E1">
            <w:pPr>
              <w:pStyle w:val="BodyText"/>
              <w:ind w:left="34"/>
              <w:rPr>
                <w:szCs w:val="24"/>
              </w:rPr>
            </w:pPr>
            <w:r w:rsidRPr="00AF4817">
              <w:rPr>
                <w:szCs w:val="24"/>
              </w:rPr>
              <w:t xml:space="preserve">is the change in constant price revenue </w:t>
            </w:r>
            <w:r w:rsidR="009C5EB1" w:rsidRPr="00AF4817">
              <w:rPr>
                <w:szCs w:val="24"/>
              </w:rPr>
              <w:t xml:space="preserve">specified </w:t>
            </w:r>
            <w:r w:rsidRPr="00AF4817">
              <w:rPr>
                <w:szCs w:val="24"/>
              </w:rPr>
              <w:t xml:space="preserve">in </w:t>
            </w:r>
            <w:r w:rsidR="00943DD7">
              <w:rPr>
                <w:szCs w:val="24"/>
              </w:rPr>
              <w:t>Schedule 1</w:t>
            </w:r>
            <w:r w:rsidRPr="00AF4817">
              <w:rPr>
                <w:szCs w:val="24"/>
              </w:rPr>
              <w:t>;</w:t>
            </w:r>
          </w:p>
        </w:tc>
      </w:tr>
    </w:tbl>
    <w:p w:rsidR="005F7078" w:rsidRDefault="005F7078" w:rsidP="00D2348A">
      <w:pPr>
        <w:pStyle w:val="Scheduletext"/>
      </w:pPr>
    </w:p>
    <w:p w:rsidR="005F7078" w:rsidRDefault="005F7078">
      <w:pPr>
        <w:rPr>
          <w:color w:val="000000"/>
          <w:szCs w:val="24"/>
          <w:lang w:eastAsia="en-NZ"/>
        </w:rPr>
      </w:pPr>
      <w:r>
        <w:br w:type="page"/>
      </w:r>
    </w:p>
    <w:p w:rsidR="005F7078" w:rsidRDefault="005F7078" w:rsidP="005F7078">
      <w:pPr>
        <w:pStyle w:val="Scheduletitles"/>
        <w:numPr>
          <w:ilvl w:val="0"/>
          <w:numId w:val="0"/>
        </w:numPr>
        <w:ind w:left="1418" w:hanging="1418"/>
      </w:pPr>
      <w:r w:rsidRPr="00112FD6">
        <w:lastRenderedPageBreak/>
        <w:t xml:space="preserve">Schedule </w:t>
      </w:r>
      <w:r w:rsidR="006735C4">
        <w:t>3</w:t>
      </w:r>
      <w:r w:rsidR="006735C4" w:rsidRPr="00112FD6">
        <w:t>B</w:t>
      </w:r>
      <w:r w:rsidRPr="00112FD6">
        <w:t xml:space="preserve">: </w:t>
      </w:r>
      <w:r w:rsidRPr="00112FD6">
        <w:tab/>
        <w:t xml:space="preserve">Calculation of allowable notional revenue for </w:t>
      </w:r>
      <w:r w:rsidR="007554A4" w:rsidRPr="00112FD6">
        <w:t xml:space="preserve">the remaining </w:t>
      </w:r>
      <w:r w:rsidR="00112FD6" w:rsidRPr="00112FD6">
        <w:t>Assessment Periods</w:t>
      </w:r>
    </w:p>
    <w:p w:rsidR="00B551BE" w:rsidRPr="002F54CC" w:rsidRDefault="005F7078" w:rsidP="00B87C77">
      <w:pPr>
        <w:pStyle w:val="Schnumberedtext"/>
        <w:numPr>
          <w:ilvl w:val="0"/>
          <w:numId w:val="33"/>
        </w:numPr>
        <w:ind w:hanging="720"/>
        <w:rPr>
          <w:rStyle w:val="Emphasis-Bold"/>
        </w:rPr>
      </w:pPr>
      <w:r w:rsidRPr="002F54CC">
        <w:t xml:space="preserve">The </w:t>
      </w:r>
      <w:r w:rsidR="008E2FDA">
        <w:t>a</w:t>
      </w:r>
      <w:r w:rsidRPr="002F54CC">
        <w:t xml:space="preserve">llowable </w:t>
      </w:r>
      <w:r w:rsidR="008E2FDA">
        <w:t>n</w:t>
      </w:r>
      <w:r w:rsidRPr="002F54CC">
        <w:t xml:space="preserve">otional </w:t>
      </w:r>
      <w:r w:rsidR="008E2FDA">
        <w:t>r</w:t>
      </w:r>
      <w:r w:rsidRPr="002F54CC">
        <w:t xml:space="preserve">evenue for all Assessment Periods other than the </w:t>
      </w:r>
      <w:proofErr w:type="spellStart"/>
      <w:r w:rsidRPr="00CB0960">
        <w:rPr>
          <w:strike/>
          <w:color w:val="1F497D" w:themeColor="text2"/>
        </w:rPr>
        <w:t>F</w:t>
      </w:r>
      <w:r w:rsidR="00CB0960" w:rsidRPr="00CB0960">
        <w:rPr>
          <w:color w:val="1F497D" w:themeColor="text2"/>
          <w:u w:val="single"/>
        </w:rPr>
        <w:t>f</w:t>
      </w:r>
      <w:r w:rsidRPr="002F54CC">
        <w:t>irst</w:t>
      </w:r>
      <w:proofErr w:type="spellEnd"/>
      <w:r w:rsidRPr="002F54CC">
        <w:t xml:space="preserve"> Assessment Period </w:t>
      </w:r>
      <w:r w:rsidR="00CB0960" w:rsidRPr="00CB0960">
        <w:rPr>
          <w:color w:val="1F497D" w:themeColor="text2"/>
          <w:u w:val="single"/>
        </w:rPr>
        <w:t>of the Regulatory Period</w:t>
      </w:r>
      <w:r w:rsidR="00CB0960" w:rsidRPr="002F54CC">
        <w:t xml:space="preserve"> </w:t>
      </w:r>
      <w:r w:rsidRPr="002F54CC">
        <w:t xml:space="preserve">must be calculated in accordance </w:t>
      </w:r>
      <w:r w:rsidR="004D32F9">
        <w:t xml:space="preserve">with </w:t>
      </w:r>
      <w:r w:rsidR="00B551BE">
        <w:t xml:space="preserve">the </w:t>
      </w:r>
      <w:r w:rsidR="00943DD7">
        <w:t xml:space="preserve">formula </w:t>
      </w:r>
      <w:r w:rsidR="009F22A2">
        <w:t>-</w:t>
      </w:r>
    </w:p>
    <w:p w:rsidR="00C51334" w:rsidRDefault="008906A3" w:rsidP="00F11DE1">
      <w:pPr>
        <w:pStyle w:val="BodyText"/>
        <w:ind w:left="709"/>
        <w:jc w:val="center"/>
      </w:pPr>
      <w:r w:rsidRPr="002F54CC">
        <w:rPr>
          <w:position w:val="-28"/>
        </w:rPr>
        <w:object w:dxaOrig="5940" w:dyaOrig="540">
          <v:shape id="_x0000_i1030" type="#_x0000_t75" style="width:312.35pt;height:27.55pt" o:ole="">
            <v:imagedata r:id="rId19" o:title=""/>
          </v:shape>
          <o:OLEObject Type="Embed" ProgID="Equation.3" ShapeID="_x0000_i1030" DrawAspect="Content" ObjectID="_1476274115" r:id="rId20"/>
        </w:object>
      </w:r>
    </w:p>
    <w:p w:rsidR="005F7078" w:rsidRPr="002F54CC" w:rsidRDefault="00113E4A" w:rsidP="005F7078">
      <w:pPr>
        <w:pStyle w:val="BodyText"/>
        <w:ind w:left="709"/>
        <w:rPr>
          <w:szCs w:val="24"/>
        </w:rPr>
      </w:pPr>
      <w:proofErr w:type="gramStart"/>
      <w:r>
        <w:rPr>
          <w:szCs w:val="24"/>
        </w:rPr>
        <w:t>where-</w:t>
      </w:r>
      <w:proofErr w:type="gramEnd"/>
    </w:p>
    <w:tbl>
      <w:tblPr>
        <w:tblW w:w="0" w:type="auto"/>
        <w:jc w:val="center"/>
        <w:tblInd w:w="1561" w:type="dxa"/>
        <w:tblLook w:val="0000" w:firstRow="0" w:lastRow="0" w:firstColumn="0" w:lastColumn="0" w:noHBand="0" w:noVBand="0"/>
      </w:tblPr>
      <w:tblGrid>
        <w:gridCol w:w="1916"/>
        <w:gridCol w:w="5765"/>
      </w:tblGrid>
      <w:tr w:rsidR="005F7078" w:rsidRPr="002F54CC" w:rsidTr="00821688">
        <w:trPr>
          <w:cantSplit/>
          <w:jc w:val="center"/>
        </w:trPr>
        <w:tc>
          <w:tcPr>
            <w:tcW w:w="1916" w:type="dxa"/>
            <w:shd w:val="clear" w:color="auto" w:fill="auto"/>
          </w:tcPr>
          <w:p w:rsidR="005F7078" w:rsidRPr="00821688" w:rsidRDefault="005F7078" w:rsidP="00821688">
            <w:pPr>
              <w:spacing w:before="60" w:after="60" w:line="264" w:lineRule="auto"/>
              <w:ind w:left="-59" w:right="57"/>
              <w:rPr>
                <w:rFonts w:ascii="Times New Roman" w:hAnsi="Times New Roman"/>
                <w:i/>
                <w:szCs w:val="24"/>
              </w:rPr>
            </w:pPr>
            <w:r w:rsidRPr="00821688">
              <w:rPr>
                <w:rFonts w:ascii="Times New Roman" w:hAnsi="Times New Roman"/>
                <w:i/>
                <w:szCs w:val="24"/>
              </w:rPr>
              <w:t>t</w:t>
            </w:r>
          </w:p>
        </w:tc>
        <w:tc>
          <w:tcPr>
            <w:tcW w:w="5765" w:type="dxa"/>
            <w:shd w:val="clear" w:color="auto" w:fill="auto"/>
          </w:tcPr>
          <w:p w:rsidR="005F7078" w:rsidRPr="002F54CC" w:rsidRDefault="005F7078" w:rsidP="00C32AD5">
            <w:pPr>
              <w:spacing w:before="60" w:after="60" w:line="264" w:lineRule="auto"/>
              <w:ind w:left="-14" w:right="57"/>
              <w:rPr>
                <w:szCs w:val="24"/>
              </w:rPr>
            </w:pPr>
            <w:r w:rsidRPr="002F54CC">
              <w:rPr>
                <w:szCs w:val="24"/>
              </w:rPr>
              <w:t>is the year in which the Assessment Period ends</w:t>
            </w:r>
            <w:r w:rsidR="00787367">
              <w:rPr>
                <w:szCs w:val="24"/>
              </w:rPr>
              <w:t>;</w:t>
            </w:r>
          </w:p>
        </w:tc>
      </w:tr>
      <w:tr w:rsidR="005F7078" w:rsidRPr="002F54CC" w:rsidTr="00821688">
        <w:trPr>
          <w:cantSplit/>
          <w:jc w:val="center"/>
        </w:trPr>
        <w:tc>
          <w:tcPr>
            <w:tcW w:w="1916" w:type="dxa"/>
            <w:shd w:val="clear" w:color="auto" w:fill="auto"/>
          </w:tcPr>
          <w:p w:rsidR="005F7078" w:rsidRPr="00821688" w:rsidRDefault="005F7078" w:rsidP="00821688">
            <w:pPr>
              <w:spacing w:before="60" w:after="60" w:line="264" w:lineRule="auto"/>
              <w:ind w:left="-59" w:right="57"/>
              <w:rPr>
                <w:rFonts w:ascii="Times New Roman" w:hAnsi="Times New Roman"/>
                <w:i/>
                <w:szCs w:val="24"/>
              </w:rPr>
            </w:pPr>
            <w:proofErr w:type="spellStart"/>
            <w:r w:rsidRPr="00821688">
              <w:rPr>
                <w:rFonts w:ascii="Times New Roman" w:hAnsi="Times New Roman"/>
                <w:i/>
                <w:szCs w:val="24"/>
              </w:rPr>
              <w:t>i</w:t>
            </w:r>
            <w:proofErr w:type="spellEnd"/>
          </w:p>
        </w:tc>
        <w:tc>
          <w:tcPr>
            <w:tcW w:w="5765" w:type="dxa"/>
            <w:shd w:val="clear" w:color="auto" w:fill="auto"/>
          </w:tcPr>
          <w:p w:rsidR="005F7078" w:rsidRPr="002F54CC" w:rsidRDefault="008906A3" w:rsidP="00C32AD5">
            <w:pPr>
              <w:spacing w:before="60" w:after="60" w:line="264" w:lineRule="auto"/>
              <w:ind w:left="-14" w:right="57"/>
              <w:rPr>
                <w:szCs w:val="24"/>
              </w:rPr>
            </w:pPr>
            <w:r>
              <w:rPr>
                <w:szCs w:val="24"/>
              </w:rPr>
              <w:t>denotes</w:t>
            </w:r>
            <w:r w:rsidRPr="002F54CC">
              <w:rPr>
                <w:szCs w:val="24"/>
              </w:rPr>
              <w:t xml:space="preserve"> </w:t>
            </w:r>
            <w:r w:rsidR="005F7078" w:rsidRPr="002F54CC">
              <w:rPr>
                <w:szCs w:val="24"/>
              </w:rPr>
              <w:t xml:space="preserve">each </w:t>
            </w:r>
            <w:r w:rsidR="00EA5876">
              <w:rPr>
                <w:szCs w:val="24"/>
              </w:rPr>
              <w:t xml:space="preserve">Distribution </w:t>
            </w:r>
            <w:r w:rsidR="005F7078" w:rsidRPr="002F54CC">
              <w:rPr>
                <w:szCs w:val="24"/>
              </w:rPr>
              <w:t>Price relating to an Electricity Lines Service</w:t>
            </w:r>
            <w:r w:rsidR="00787367">
              <w:rPr>
                <w:szCs w:val="24"/>
              </w:rPr>
              <w:t>;</w:t>
            </w:r>
          </w:p>
        </w:tc>
      </w:tr>
      <w:tr w:rsidR="005F7078" w:rsidRPr="002F54CC" w:rsidTr="00821688">
        <w:trPr>
          <w:cantSplit/>
          <w:jc w:val="center"/>
        </w:trPr>
        <w:tc>
          <w:tcPr>
            <w:tcW w:w="1916" w:type="dxa"/>
            <w:shd w:val="clear" w:color="auto" w:fill="auto"/>
          </w:tcPr>
          <w:p w:rsidR="005F7078" w:rsidRPr="00821688" w:rsidRDefault="00DC73FA" w:rsidP="00821688">
            <w:pPr>
              <w:spacing w:before="60" w:after="60" w:line="264" w:lineRule="auto"/>
              <w:ind w:left="-59" w:right="57"/>
              <w:rPr>
                <w:rFonts w:ascii="Times New Roman" w:hAnsi="Times New Roman"/>
                <w:szCs w:val="24"/>
              </w:rPr>
            </w:pPr>
            <w:r w:rsidRPr="00821688">
              <w:rPr>
                <w:rFonts w:ascii="Times New Roman" w:hAnsi="Times New Roman"/>
                <w:position w:val="-14"/>
                <w:szCs w:val="24"/>
              </w:rPr>
              <w:object w:dxaOrig="639" w:dyaOrig="380">
                <v:shape id="_x0000_i1031" type="#_x0000_t75" style="width:30.7pt;height:22.25pt" o:ole="">
                  <v:imagedata r:id="rId21" o:title=""/>
                </v:shape>
                <o:OLEObject Type="Embed" ProgID="Equation.3" ShapeID="_x0000_i1031" DrawAspect="Content" ObjectID="_1476274116" r:id="rId22"/>
              </w:object>
            </w:r>
          </w:p>
        </w:tc>
        <w:tc>
          <w:tcPr>
            <w:tcW w:w="5765" w:type="dxa"/>
            <w:shd w:val="clear" w:color="auto" w:fill="auto"/>
          </w:tcPr>
          <w:p w:rsidR="005F7078" w:rsidRPr="002F54CC" w:rsidRDefault="005F7078" w:rsidP="00943DD7">
            <w:pPr>
              <w:spacing w:before="60" w:after="60" w:line="264" w:lineRule="auto"/>
              <w:ind w:left="-14" w:right="57"/>
              <w:rPr>
                <w:szCs w:val="24"/>
              </w:rPr>
            </w:pPr>
            <w:r w:rsidRPr="002F54CC">
              <w:rPr>
                <w:szCs w:val="24"/>
              </w:rPr>
              <w:t xml:space="preserve">is the </w:t>
            </w:r>
            <w:proofErr w:type="spellStart"/>
            <w:r w:rsidRPr="00821688">
              <w:rPr>
                <w:rFonts w:ascii="Times New Roman" w:hAnsi="Times New Roman"/>
                <w:i/>
                <w:szCs w:val="24"/>
              </w:rPr>
              <w:t>i</w:t>
            </w:r>
            <w:r w:rsidRPr="002F54CC">
              <w:rPr>
                <w:szCs w:val="24"/>
                <w:vertAlign w:val="superscript"/>
              </w:rPr>
              <w:t>th</w:t>
            </w:r>
            <w:proofErr w:type="spellEnd"/>
            <w:r w:rsidRPr="002F54CC">
              <w:rPr>
                <w:szCs w:val="24"/>
              </w:rPr>
              <w:t xml:space="preserve"> </w:t>
            </w:r>
            <w:r w:rsidR="00EA5876">
              <w:rPr>
                <w:szCs w:val="24"/>
              </w:rPr>
              <w:t xml:space="preserve">Distribution </w:t>
            </w:r>
            <w:r w:rsidRPr="002F54CC">
              <w:rPr>
                <w:szCs w:val="24"/>
              </w:rPr>
              <w:t>Price</w:t>
            </w:r>
            <w:r w:rsidR="00943DD7">
              <w:rPr>
                <w:szCs w:val="24"/>
              </w:rPr>
              <w:t xml:space="preserve"> during</w:t>
            </w:r>
            <w:r w:rsidRPr="002F54CC">
              <w:rPr>
                <w:szCs w:val="24"/>
              </w:rPr>
              <w:t xml:space="preserve"> any part of the Assessment Period ending the year prior to year </w:t>
            </w:r>
            <w:r w:rsidRPr="00821688">
              <w:rPr>
                <w:rFonts w:ascii="Times New Roman" w:hAnsi="Times New Roman"/>
                <w:i/>
                <w:szCs w:val="24"/>
              </w:rPr>
              <w:t>t</w:t>
            </w:r>
            <w:r w:rsidR="00787367">
              <w:rPr>
                <w:rFonts w:ascii="Times New Roman" w:hAnsi="Times New Roman"/>
                <w:szCs w:val="24"/>
              </w:rPr>
              <w:t>;</w:t>
            </w:r>
          </w:p>
        </w:tc>
      </w:tr>
      <w:tr w:rsidR="005F7078" w:rsidRPr="002F54CC" w:rsidTr="00821688">
        <w:trPr>
          <w:cantSplit/>
          <w:jc w:val="center"/>
        </w:trPr>
        <w:tc>
          <w:tcPr>
            <w:tcW w:w="1916" w:type="dxa"/>
            <w:shd w:val="clear" w:color="auto" w:fill="auto"/>
          </w:tcPr>
          <w:p w:rsidR="005F7078" w:rsidRPr="00821688" w:rsidRDefault="00821688" w:rsidP="00821688">
            <w:pPr>
              <w:spacing w:before="60" w:after="60" w:line="264" w:lineRule="auto"/>
              <w:ind w:left="-59" w:right="57"/>
              <w:rPr>
                <w:rFonts w:ascii="Times New Roman" w:hAnsi="Times New Roman"/>
                <w:szCs w:val="24"/>
              </w:rPr>
            </w:pPr>
            <w:r w:rsidRPr="00821688">
              <w:rPr>
                <w:rFonts w:ascii="Times New Roman" w:hAnsi="Times New Roman"/>
                <w:position w:val="-18"/>
                <w:szCs w:val="24"/>
              </w:rPr>
              <w:object w:dxaOrig="639" w:dyaOrig="420">
                <v:shape id="_x0000_i1032" type="#_x0000_t75" style="width:31.75pt;height:20.1pt" o:ole="">
                  <v:imagedata r:id="rId23" o:title=""/>
                </v:shape>
                <o:OLEObject Type="Embed" ProgID="Equation.3" ShapeID="_x0000_i1032" DrawAspect="Content" ObjectID="_1476274117" r:id="rId24"/>
              </w:object>
            </w:r>
          </w:p>
        </w:tc>
        <w:tc>
          <w:tcPr>
            <w:tcW w:w="5765" w:type="dxa"/>
            <w:shd w:val="clear" w:color="auto" w:fill="auto"/>
          </w:tcPr>
          <w:p w:rsidR="005F7078" w:rsidRPr="002F54CC" w:rsidRDefault="009C5EB1" w:rsidP="00C32AD5">
            <w:pPr>
              <w:spacing w:before="60" w:after="60" w:line="264" w:lineRule="auto"/>
              <w:ind w:left="-14" w:right="57"/>
              <w:rPr>
                <w:szCs w:val="24"/>
              </w:rPr>
            </w:pPr>
            <w:r w:rsidRPr="009C5EB1">
              <w:rPr>
                <w:szCs w:val="24"/>
              </w:rPr>
              <w:t xml:space="preserve">is the Quantity corresponding to the </w:t>
            </w:r>
            <w:proofErr w:type="spellStart"/>
            <w:r w:rsidRPr="00821688">
              <w:rPr>
                <w:rFonts w:ascii="Times New Roman" w:hAnsi="Times New Roman"/>
                <w:i/>
                <w:szCs w:val="24"/>
              </w:rPr>
              <w:t>i</w:t>
            </w:r>
            <w:r w:rsidRPr="009C5EB1">
              <w:rPr>
                <w:szCs w:val="24"/>
              </w:rPr>
              <w:t>th</w:t>
            </w:r>
            <w:proofErr w:type="spellEnd"/>
            <w:r w:rsidRPr="009C5EB1">
              <w:rPr>
                <w:szCs w:val="24"/>
              </w:rPr>
              <w:t xml:space="preserve"> </w:t>
            </w:r>
            <w:r w:rsidR="00FF0D8F">
              <w:rPr>
                <w:szCs w:val="24"/>
              </w:rPr>
              <w:t xml:space="preserve">Distribution </w:t>
            </w:r>
            <w:r w:rsidRPr="009C5EB1">
              <w:rPr>
                <w:szCs w:val="24"/>
              </w:rPr>
              <w:t xml:space="preserve">Price for the Assessment Period ending 2 years prior to year </w:t>
            </w:r>
            <w:r w:rsidRPr="00821688">
              <w:rPr>
                <w:rFonts w:ascii="Times New Roman" w:hAnsi="Times New Roman"/>
                <w:i/>
                <w:szCs w:val="24"/>
              </w:rPr>
              <w:t>t</w:t>
            </w:r>
            <w:r w:rsidR="00787367">
              <w:rPr>
                <w:szCs w:val="24"/>
              </w:rPr>
              <w:t>;</w:t>
            </w:r>
          </w:p>
        </w:tc>
      </w:tr>
      <w:tr w:rsidR="005F7078" w:rsidRPr="002F54CC" w:rsidTr="00821688">
        <w:trPr>
          <w:cantSplit/>
          <w:jc w:val="center"/>
        </w:trPr>
        <w:tc>
          <w:tcPr>
            <w:tcW w:w="1916" w:type="dxa"/>
            <w:shd w:val="clear" w:color="auto" w:fill="auto"/>
          </w:tcPr>
          <w:p w:rsidR="005F7078" w:rsidRPr="00821688" w:rsidRDefault="00821688" w:rsidP="00821688">
            <w:pPr>
              <w:spacing w:before="60" w:after="60" w:line="264" w:lineRule="auto"/>
              <w:ind w:left="-59" w:right="57"/>
              <w:rPr>
                <w:rFonts w:ascii="Times New Roman" w:hAnsi="Times New Roman"/>
                <w:szCs w:val="24"/>
              </w:rPr>
            </w:pPr>
            <w:r w:rsidRPr="00821688">
              <w:rPr>
                <w:rFonts w:ascii="Times New Roman" w:hAnsi="Times New Roman"/>
                <w:position w:val="-12"/>
                <w:szCs w:val="24"/>
              </w:rPr>
              <w:object w:dxaOrig="1500" w:dyaOrig="380">
                <v:shape id="_x0000_i1033" type="#_x0000_t75" style="width:77.3pt;height:19.05pt" o:ole="">
                  <v:imagedata r:id="rId25" o:title=""/>
                </v:shape>
                <o:OLEObject Type="Embed" ProgID="Equation.3" ShapeID="_x0000_i1033" DrawAspect="Content" ObjectID="_1476274118" r:id="rId26"/>
              </w:object>
            </w:r>
          </w:p>
        </w:tc>
        <w:tc>
          <w:tcPr>
            <w:tcW w:w="5765" w:type="dxa"/>
            <w:shd w:val="clear" w:color="auto" w:fill="auto"/>
          </w:tcPr>
          <w:p w:rsidR="005F7078" w:rsidRPr="002F54CC" w:rsidRDefault="005F7078" w:rsidP="00C32AD5">
            <w:pPr>
              <w:spacing w:before="60" w:after="60" w:line="264" w:lineRule="auto"/>
              <w:ind w:left="-14" w:right="57"/>
              <w:rPr>
                <w:szCs w:val="24"/>
              </w:rPr>
            </w:pPr>
            <w:r w:rsidRPr="002F54CC">
              <w:rPr>
                <w:szCs w:val="24"/>
              </w:rPr>
              <w:t xml:space="preserve">is the difference between allowable notional revenue and notional revenue for the Assessment Period ending the year prior to year </w:t>
            </w:r>
            <w:r w:rsidRPr="00821688">
              <w:rPr>
                <w:rFonts w:ascii="Times New Roman" w:hAnsi="Times New Roman"/>
                <w:i/>
                <w:szCs w:val="24"/>
              </w:rPr>
              <w:t>t</w:t>
            </w:r>
            <w:r w:rsidR="00787367">
              <w:rPr>
                <w:szCs w:val="24"/>
              </w:rPr>
              <w:t>;</w:t>
            </w:r>
          </w:p>
        </w:tc>
      </w:tr>
      <w:tr w:rsidR="005F7078" w:rsidRPr="002F54CC" w:rsidTr="00821688">
        <w:trPr>
          <w:cantSplit/>
          <w:jc w:val="center"/>
        </w:trPr>
        <w:tc>
          <w:tcPr>
            <w:tcW w:w="1916" w:type="dxa"/>
            <w:shd w:val="clear" w:color="auto" w:fill="auto"/>
          </w:tcPr>
          <w:p w:rsidR="005F7078" w:rsidRPr="00821688" w:rsidRDefault="00821688" w:rsidP="00821688">
            <w:pPr>
              <w:spacing w:before="60" w:after="60" w:line="264" w:lineRule="auto"/>
              <w:ind w:left="-59" w:right="57"/>
              <w:rPr>
                <w:rFonts w:ascii="Times New Roman" w:hAnsi="Times New Roman"/>
                <w:szCs w:val="24"/>
              </w:rPr>
            </w:pPr>
            <w:r w:rsidRPr="00821688">
              <w:rPr>
                <w:rFonts w:ascii="Times New Roman" w:hAnsi="Times New Roman"/>
                <w:position w:val="-4"/>
                <w:szCs w:val="24"/>
              </w:rPr>
              <w:object w:dxaOrig="279" w:dyaOrig="260">
                <v:shape id="_x0000_i1034" type="#_x0000_t75" style="width:11.65pt;height:12.7pt" o:ole="">
                  <v:imagedata r:id="rId27" o:title=""/>
                </v:shape>
                <o:OLEObject Type="Embed" ProgID="Equation.3" ShapeID="_x0000_i1034" DrawAspect="Content" ObjectID="_1476274119" r:id="rId28"/>
              </w:object>
            </w:r>
          </w:p>
        </w:tc>
        <w:tc>
          <w:tcPr>
            <w:tcW w:w="5765" w:type="dxa"/>
            <w:shd w:val="clear" w:color="auto" w:fill="auto"/>
          </w:tcPr>
          <w:p w:rsidR="005F7078" w:rsidRPr="00821688" w:rsidRDefault="005F7078" w:rsidP="00C32AD5">
            <w:pPr>
              <w:spacing w:before="60" w:after="60" w:line="264" w:lineRule="auto"/>
              <w:ind w:left="-14" w:right="57"/>
              <w:rPr>
                <w:szCs w:val="24"/>
              </w:rPr>
            </w:pPr>
            <w:r w:rsidRPr="00821688">
              <w:rPr>
                <w:szCs w:val="24"/>
              </w:rPr>
              <w:t xml:space="preserve">is the annual rate of change in prices, </w:t>
            </w:r>
            <w:r w:rsidR="00BA0E3E">
              <w:rPr>
                <w:color w:val="1F497D" w:themeColor="text2"/>
                <w:szCs w:val="24"/>
                <w:u w:val="single"/>
              </w:rPr>
              <w:t>applicable to the N</w:t>
            </w:r>
            <w:r w:rsidR="00CB0960" w:rsidRPr="00CB0960">
              <w:rPr>
                <w:color w:val="1F497D" w:themeColor="text2"/>
                <w:szCs w:val="24"/>
                <w:u w:val="single"/>
              </w:rPr>
              <w:t>on-exempt EDB,</w:t>
            </w:r>
            <w:r w:rsidR="00CB0960">
              <w:rPr>
                <w:szCs w:val="24"/>
              </w:rPr>
              <w:t xml:space="preserve"> </w:t>
            </w:r>
            <w:r w:rsidRPr="00821688">
              <w:rPr>
                <w:szCs w:val="24"/>
              </w:rPr>
              <w:t xml:space="preserve">as specified in </w:t>
            </w:r>
            <w:r w:rsidR="00B551BE" w:rsidRPr="00821688">
              <w:rPr>
                <w:szCs w:val="24"/>
              </w:rPr>
              <w:t>Schedule 2</w:t>
            </w:r>
            <w:r w:rsidR="00787367">
              <w:rPr>
                <w:szCs w:val="24"/>
              </w:rPr>
              <w:t>; and</w:t>
            </w:r>
          </w:p>
        </w:tc>
      </w:tr>
      <w:tr w:rsidR="005F7078" w:rsidRPr="002F54CC" w:rsidTr="00821688">
        <w:trPr>
          <w:cantSplit/>
          <w:jc w:val="center"/>
        </w:trPr>
        <w:tc>
          <w:tcPr>
            <w:tcW w:w="1916" w:type="dxa"/>
            <w:shd w:val="clear" w:color="auto" w:fill="auto"/>
          </w:tcPr>
          <w:p w:rsidR="005F7078" w:rsidRPr="00821688" w:rsidRDefault="0063484B" w:rsidP="00821688">
            <w:pPr>
              <w:spacing w:before="60" w:after="60" w:line="264" w:lineRule="auto"/>
              <w:ind w:left="-59" w:right="57"/>
              <w:rPr>
                <w:rFonts w:ascii="Times New Roman" w:hAnsi="Times New Roman"/>
                <w:szCs w:val="24"/>
              </w:rPr>
            </w:pPr>
            <w:r w:rsidRPr="00821688">
              <w:rPr>
                <w:rFonts w:ascii="Times New Roman" w:hAnsi="Times New Roman"/>
                <w:position w:val="-12"/>
                <w:szCs w:val="24"/>
              </w:rPr>
              <w:object w:dxaOrig="660" w:dyaOrig="360">
                <v:shape id="_x0000_i1035" type="#_x0000_t75" style="width:47.65pt;height:20.1pt" o:ole="">
                  <v:imagedata r:id="rId29" o:title=""/>
                </v:shape>
                <o:OLEObject Type="Embed" ProgID="Equation.3" ShapeID="_x0000_i1035" DrawAspect="Content" ObjectID="_1476274120" r:id="rId30"/>
              </w:object>
            </w:r>
          </w:p>
        </w:tc>
        <w:tc>
          <w:tcPr>
            <w:tcW w:w="5765" w:type="dxa"/>
            <w:shd w:val="clear" w:color="auto" w:fill="auto"/>
          </w:tcPr>
          <w:p w:rsidR="005F7078" w:rsidRPr="002F54CC" w:rsidRDefault="005F7078" w:rsidP="00C32AD5">
            <w:pPr>
              <w:spacing w:before="60" w:after="60" w:line="264" w:lineRule="auto"/>
              <w:ind w:left="-14" w:right="57"/>
              <w:rPr>
                <w:szCs w:val="24"/>
              </w:rPr>
            </w:pPr>
            <w:r w:rsidRPr="002F54CC">
              <w:rPr>
                <w:szCs w:val="24"/>
              </w:rPr>
              <w:t xml:space="preserve">is the derived change in the CPI to be applied for the Assessment Period ending in year </w:t>
            </w:r>
            <w:r w:rsidRPr="002F54CC">
              <w:rPr>
                <w:i/>
                <w:szCs w:val="24"/>
              </w:rPr>
              <w:t>t</w:t>
            </w:r>
            <w:r w:rsidRPr="002F54CC">
              <w:rPr>
                <w:szCs w:val="24"/>
              </w:rPr>
              <w:t>, being equal to:</w:t>
            </w:r>
          </w:p>
          <w:p w:rsidR="005F7078" w:rsidRPr="002F54CC" w:rsidRDefault="00821688" w:rsidP="00F11DE1">
            <w:pPr>
              <w:spacing w:before="60" w:after="60" w:line="264" w:lineRule="auto"/>
              <w:ind w:left="-14" w:right="57"/>
              <w:jc w:val="center"/>
              <w:rPr>
                <w:szCs w:val="24"/>
              </w:rPr>
            </w:pPr>
            <w:r w:rsidRPr="00821688">
              <w:rPr>
                <w:position w:val="-32"/>
                <w:szCs w:val="24"/>
              </w:rPr>
              <w:object w:dxaOrig="4819" w:dyaOrig="740">
                <v:shape id="_x0000_i1036" type="#_x0000_t75" style="width:240.35pt;height:37.05pt" o:ole="" fillcolor="window">
                  <v:imagedata r:id="rId31" o:title=""/>
                </v:shape>
                <o:OLEObject Type="Embed" ProgID="Equation.3" ShapeID="_x0000_i1036" DrawAspect="Content" ObjectID="_1476274121" r:id="rId32"/>
              </w:object>
            </w:r>
          </w:p>
          <w:p w:rsidR="005F7078" w:rsidRPr="002F54CC" w:rsidRDefault="00113E4A" w:rsidP="00C32AD5">
            <w:pPr>
              <w:spacing w:before="60" w:after="60" w:line="264" w:lineRule="auto"/>
              <w:ind w:left="-14" w:right="57"/>
              <w:rPr>
                <w:szCs w:val="24"/>
              </w:rPr>
            </w:pPr>
            <w:r>
              <w:rPr>
                <w:szCs w:val="24"/>
              </w:rPr>
              <w:t>where-</w:t>
            </w:r>
          </w:p>
          <w:p w:rsidR="005F7078" w:rsidRPr="002F54CC" w:rsidRDefault="005F7078" w:rsidP="00943DD7">
            <w:pPr>
              <w:spacing w:before="60" w:after="60" w:line="264" w:lineRule="auto"/>
              <w:ind w:left="-14" w:right="57"/>
              <w:rPr>
                <w:szCs w:val="24"/>
              </w:rPr>
            </w:pPr>
            <w:proofErr w:type="spellStart"/>
            <w:r w:rsidRPr="00821688">
              <w:rPr>
                <w:rFonts w:ascii="Times New Roman" w:hAnsi="Times New Roman"/>
                <w:i/>
                <w:szCs w:val="24"/>
              </w:rPr>
              <w:t>CPI</w:t>
            </w:r>
            <w:r w:rsidRPr="00821688">
              <w:rPr>
                <w:rStyle w:val="Emphasis-Subscript"/>
                <w:rFonts w:ascii="Times New Roman" w:hAnsi="Times New Roman"/>
                <w:i/>
                <w:szCs w:val="24"/>
              </w:rPr>
              <w:t>q</w:t>
            </w:r>
            <w:proofErr w:type="spellEnd"/>
            <w:r w:rsidRPr="00821688">
              <w:rPr>
                <w:rStyle w:val="Emphasis-Subscript"/>
                <w:rFonts w:ascii="Times New Roman" w:hAnsi="Times New Roman"/>
                <w:i/>
                <w:szCs w:val="24"/>
              </w:rPr>
              <w:t>, t-n</w:t>
            </w:r>
            <w:r w:rsidRPr="002F54CC">
              <w:rPr>
                <w:szCs w:val="24"/>
              </w:rPr>
              <w:t xml:space="preserve"> is the CPI for the quarter year ending </w:t>
            </w:r>
            <w:r w:rsidRPr="00821688">
              <w:rPr>
                <w:rFonts w:ascii="Times New Roman" w:hAnsi="Times New Roman"/>
                <w:i/>
                <w:szCs w:val="24"/>
              </w:rPr>
              <w:t>q</w:t>
            </w:r>
            <w:r w:rsidRPr="002F54CC">
              <w:rPr>
                <w:szCs w:val="24"/>
              </w:rPr>
              <w:t xml:space="preserve"> in the 12 month period </w:t>
            </w:r>
            <w:r w:rsidRPr="002F54CC">
              <w:rPr>
                <w:i/>
                <w:szCs w:val="24"/>
              </w:rPr>
              <w:t>n</w:t>
            </w:r>
            <w:r w:rsidRPr="002F54CC">
              <w:rPr>
                <w:szCs w:val="24"/>
              </w:rPr>
              <w:t xml:space="preserve"> years prior to year </w:t>
            </w:r>
            <w:r w:rsidRPr="002F54CC">
              <w:rPr>
                <w:i/>
                <w:szCs w:val="24"/>
              </w:rPr>
              <w:t>t</w:t>
            </w:r>
            <w:r w:rsidRPr="002F54CC">
              <w:rPr>
                <w:szCs w:val="24"/>
              </w:rPr>
              <w:t>.</w:t>
            </w:r>
          </w:p>
        </w:tc>
      </w:tr>
    </w:tbl>
    <w:p w:rsidR="005F7078" w:rsidRDefault="005F7078" w:rsidP="005F7078">
      <w:pPr>
        <w:pStyle w:val="Scheduletext"/>
      </w:pPr>
    </w:p>
    <w:p w:rsidR="004D1BEC" w:rsidRDefault="004D1BEC">
      <w:r>
        <w:br w:type="page"/>
      </w:r>
    </w:p>
    <w:p w:rsidR="004D1BEC" w:rsidRPr="004F3590" w:rsidRDefault="004D1BEC" w:rsidP="004D1BEC">
      <w:pPr>
        <w:pStyle w:val="Scheduletitles"/>
        <w:numPr>
          <w:ilvl w:val="0"/>
          <w:numId w:val="0"/>
        </w:numPr>
        <w:ind w:left="1418" w:hanging="1418"/>
      </w:pPr>
      <w:r w:rsidRPr="004F3590">
        <w:lastRenderedPageBreak/>
        <w:t xml:space="preserve">Schedule </w:t>
      </w:r>
      <w:r w:rsidR="006735C4">
        <w:t>3</w:t>
      </w:r>
      <w:r w:rsidR="006735C4" w:rsidRPr="004F3590">
        <w:t>C</w:t>
      </w:r>
      <w:r w:rsidRPr="004F3590">
        <w:t xml:space="preserve">: </w:t>
      </w:r>
      <w:r w:rsidRPr="004F3590">
        <w:tab/>
        <w:t xml:space="preserve">Recalculation of </w:t>
      </w:r>
      <w:r w:rsidR="00DC73FA">
        <w:t xml:space="preserve">the </w:t>
      </w:r>
      <w:r w:rsidR="006356F1">
        <w:t>p</w:t>
      </w:r>
      <w:r w:rsidR="00DC73FA">
        <w:t xml:space="preserve">rice </w:t>
      </w:r>
      <w:r w:rsidR="006356F1">
        <w:t>p</w:t>
      </w:r>
      <w:r w:rsidR="00DC73FA">
        <w:t>ath</w:t>
      </w:r>
      <w:r w:rsidRPr="004F3590">
        <w:t xml:space="preserve"> following a </w:t>
      </w:r>
      <w:r w:rsidR="00EA5876" w:rsidRPr="004F3590">
        <w:t>M</w:t>
      </w:r>
      <w:r w:rsidRPr="004F3590">
        <w:t xml:space="preserve">ajor </w:t>
      </w:r>
      <w:r w:rsidR="00EA5876" w:rsidRPr="004F3590">
        <w:t>Tr</w:t>
      </w:r>
      <w:r w:rsidRPr="004F3590">
        <w:t>ansaction</w:t>
      </w:r>
    </w:p>
    <w:p w:rsidR="007262CC" w:rsidRDefault="00CF6BFA" w:rsidP="007262CC">
      <w:pPr>
        <w:pStyle w:val="BodyTextIndent"/>
        <w:ind w:hanging="709"/>
      </w:pPr>
      <w:r w:rsidRPr="004F3590">
        <w:t>1.</w:t>
      </w:r>
      <w:r w:rsidRPr="004F3590">
        <w:tab/>
      </w:r>
      <w:r w:rsidR="007262CC">
        <w:t xml:space="preserve">A Non-exempt EDB that enters into a Major Transaction must </w:t>
      </w:r>
      <w:r w:rsidR="00F62296">
        <w:t xml:space="preserve">demonstrate to the reasonable satisfaction of the Commission </w:t>
      </w:r>
      <w:r w:rsidR="00CB0960" w:rsidRPr="00CB0960">
        <w:rPr>
          <w:color w:val="1F497D" w:themeColor="text2"/>
          <w:u w:val="single"/>
        </w:rPr>
        <w:t xml:space="preserve">the impact of the </w:t>
      </w:r>
      <w:r w:rsidR="005C1429">
        <w:rPr>
          <w:color w:val="1F497D" w:themeColor="text2"/>
          <w:u w:val="single"/>
        </w:rPr>
        <w:t>M</w:t>
      </w:r>
      <w:r w:rsidR="00CB0960" w:rsidRPr="00CB0960">
        <w:rPr>
          <w:color w:val="1F497D" w:themeColor="text2"/>
          <w:u w:val="single"/>
        </w:rPr>
        <w:t xml:space="preserve">ajor </w:t>
      </w:r>
      <w:r w:rsidR="005C1429">
        <w:rPr>
          <w:color w:val="1F497D" w:themeColor="text2"/>
          <w:u w:val="single"/>
        </w:rPr>
        <w:t>T</w:t>
      </w:r>
      <w:r w:rsidR="00CB0960" w:rsidRPr="00CB0960">
        <w:rPr>
          <w:color w:val="1F497D" w:themeColor="text2"/>
          <w:u w:val="single"/>
        </w:rPr>
        <w:t>ransaction on</w:t>
      </w:r>
      <w:r w:rsidR="00CB0960">
        <w:t xml:space="preserve"> </w:t>
      </w:r>
      <w:r w:rsidR="007262CC">
        <w:t>its allowable notional revenue, Pass-through Costs, and Recoverable Costs –</w:t>
      </w:r>
    </w:p>
    <w:p w:rsidR="007262CC" w:rsidRDefault="007262CC" w:rsidP="007262CC">
      <w:pPr>
        <w:pStyle w:val="BodyTextIndent"/>
        <w:ind w:left="1418" w:hanging="709"/>
      </w:pPr>
      <w:r>
        <w:t>(a)</w:t>
      </w:r>
      <w:r>
        <w:tab/>
      </w:r>
      <w:proofErr w:type="gramStart"/>
      <w:r>
        <w:t>in</w:t>
      </w:r>
      <w:proofErr w:type="gramEnd"/>
      <w:r>
        <w:t xml:space="preserve"> accordance with paragraph 2 where the Major Transaction is with another Non-exempt EDB; or</w:t>
      </w:r>
    </w:p>
    <w:p w:rsidR="007262CC" w:rsidRDefault="007262CC" w:rsidP="007262CC">
      <w:pPr>
        <w:pStyle w:val="BodyTextIndent"/>
        <w:ind w:left="1418" w:hanging="709"/>
      </w:pPr>
      <w:r>
        <w:t>(b)</w:t>
      </w:r>
      <w:r>
        <w:tab/>
      </w:r>
      <w:proofErr w:type="gramStart"/>
      <w:r>
        <w:t>in</w:t>
      </w:r>
      <w:proofErr w:type="gramEnd"/>
      <w:r>
        <w:t xml:space="preserve"> accordance with paragraph 5</w:t>
      </w:r>
      <w:r w:rsidRPr="00067D34">
        <w:t xml:space="preserve"> </w:t>
      </w:r>
      <w:r>
        <w:t>where the Major Transaction is with an Exempt EDB.</w:t>
      </w:r>
    </w:p>
    <w:p w:rsidR="007262CC" w:rsidRPr="00AF5E23" w:rsidRDefault="007262CC" w:rsidP="007262CC">
      <w:pPr>
        <w:pStyle w:val="BodyTextIndent"/>
        <w:ind w:hanging="709"/>
        <w:rPr>
          <w:i/>
        </w:rPr>
      </w:pPr>
      <w:r>
        <w:rPr>
          <w:i/>
        </w:rPr>
        <w:t>Transactions with a Non-exempt EDB</w:t>
      </w:r>
    </w:p>
    <w:p w:rsidR="00950A72" w:rsidRPr="004F3590" w:rsidRDefault="007262CC" w:rsidP="00CF6BFA">
      <w:pPr>
        <w:pStyle w:val="BodyTextIndent"/>
        <w:ind w:hanging="709"/>
      </w:pPr>
      <w:r>
        <w:t>2.</w:t>
      </w:r>
      <w:r>
        <w:tab/>
      </w:r>
      <w:r w:rsidR="00950A72" w:rsidRPr="004F3590">
        <w:t>Each</w:t>
      </w:r>
      <w:r w:rsidR="00CF6BFA" w:rsidRPr="004F3590">
        <w:t xml:space="preserve"> Non-exempt EDB </w:t>
      </w:r>
      <w:r w:rsidR="005C1429">
        <w:rPr>
          <w:color w:val="1F497D" w:themeColor="text2"/>
          <w:u w:val="single"/>
        </w:rPr>
        <w:t>party to a M</w:t>
      </w:r>
      <w:r w:rsidR="005C1429" w:rsidRPr="005C1429">
        <w:rPr>
          <w:color w:val="1F497D" w:themeColor="text2"/>
          <w:u w:val="single"/>
        </w:rPr>
        <w:t xml:space="preserve">ajor </w:t>
      </w:r>
      <w:r w:rsidR="005C1429">
        <w:rPr>
          <w:color w:val="1F497D" w:themeColor="text2"/>
          <w:u w:val="single"/>
        </w:rPr>
        <w:t>T</w:t>
      </w:r>
      <w:r w:rsidR="005C1429" w:rsidRPr="005C1429">
        <w:rPr>
          <w:color w:val="1F497D" w:themeColor="text2"/>
          <w:u w:val="single"/>
        </w:rPr>
        <w:t>ransaction</w:t>
      </w:r>
      <w:r w:rsidR="005C1429">
        <w:t xml:space="preserve"> </w:t>
      </w:r>
      <w:r w:rsidR="00CF6BFA" w:rsidRPr="004F3590">
        <w:t xml:space="preserve">must, </w:t>
      </w:r>
      <w:r>
        <w:t>in</w:t>
      </w:r>
      <w:r w:rsidRPr="004F3590">
        <w:t xml:space="preserve"> </w:t>
      </w:r>
      <w:r w:rsidR="00C9263C" w:rsidRPr="004F3590">
        <w:t>the</w:t>
      </w:r>
      <w:r w:rsidR="00CF6BFA" w:rsidRPr="004F3590">
        <w:t xml:space="preserve"> Assessment Period in which </w:t>
      </w:r>
      <w:r w:rsidR="00C9263C" w:rsidRPr="000D1529">
        <w:rPr>
          <w:strike/>
          <w:color w:val="1F497D" w:themeColor="text2"/>
        </w:rPr>
        <w:t>consumers are or will be first supplied Electricity Lines Services by a different</w:t>
      </w:r>
      <w:r w:rsidRPr="000D1529">
        <w:rPr>
          <w:strike/>
          <w:color w:val="1F497D" w:themeColor="text2"/>
        </w:rPr>
        <w:t xml:space="preserve"> Non-exempt</w:t>
      </w:r>
      <w:r w:rsidR="00C9263C" w:rsidRPr="000D1529">
        <w:rPr>
          <w:strike/>
          <w:color w:val="1F497D" w:themeColor="text2"/>
        </w:rPr>
        <w:t xml:space="preserve"> EDB as a result of a</w:t>
      </w:r>
      <w:r w:rsidR="00C9263C" w:rsidRPr="004F3590">
        <w:t xml:space="preserve"> </w:t>
      </w:r>
      <w:r w:rsidR="000D1529" w:rsidRPr="000D1529">
        <w:rPr>
          <w:color w:val="1F497D" w:themeColor="text2"/>
          <w:u w:val="single"/>
        </w:rPr>
        <w:t>the</w:t>
      </w:r>
      <w:r w:rsidR="000D1529">
        <w:t xml:space="preserve"> </w:t>
      </w:r>
      <w:r w:rsidR="00C9263C" w:rsidRPr="004F3590">
        <w:t>Major Transaction</w:t>
      </w:r>
      <w:r w:rsidR="000D1529">
        <w:t xml:space="preserve"> </w:t>
      </w:r>
      <w:r w:rsidR="000D1529" w:rsidRPr="000D1529">
        <w:rPr>
          <w:color w:val="1F497D" w:themeColor="text2"/>
          <w:u w:val="single"/>
        </w:rPr>
        <w:t>occurs</w:t>
      </w:r>
      <w:r w:rsidR="00C9263C" w:rsidRPr="004F3590">
        <w:t xml:space="preserve">, </w:t>
      </w:r>
      <w:r w:rsidR="00950A72" w:rsidRPr="004F3590">
        <w:t>agree a reasonable allocation of:</w:t>
      </w:r>
    </w:p>
    <w:p w:rsidR="00CF6BFA" w:rsidRPr="004F3590" w:rsidRDefault="00CF6BFA" w:rsidP="00CF6BFA">
      <w:pPr>
        <w:pStyle w:val="BodyTextIndent"/>
        <w:ind w:left="1418" w:hanging="709"/>
      </w:pPr>
      <w:r w:rsidRPr="004F3590">
        <w:t>(a)</w:t>
      </w:r>
      <w:r w:rsidRPr="004F3590">
        <w:tab/>
      </w:r>
      <w:proofErr w:type="gramStart"/>
      <w:r w:rsidRPr="004F3590">
        <w:t>the</w:t>
      </w:r>
      <w:proofErr w:type="gramEnd"/>
      <w:r w:rsidRPr="004F3590">
        <w:t xml:space="preserve"> allowable notional rev</w:t>
      </w:r>
      <w:r w:rsidR="00950A72" w:rsidRPr="004F3590">
        <w:t xml:space="preserve">enue for that Assessment Period attributable to the </w:t>
      </w:r>
      <w:r w:rsidR="007262CC">
        <w:t xml:space="preserve">ICPs transferred as a result of the </w:t>
      </w:r>
      <w:r w:rsidR="00950A72" w:rsidRPr="004F3590">
        <w:t xml:space="preserve">transaction; </w:t>
      </w:r>
      <w:r w:rsidR="006B1165">
        <w:t>and</w:t>
      </w:r>
    </w:p>
    <w:p w:rsidR="00950A72" w:rsidRPr="004F3590" w:rsidRDefault="00950A72" w:rsidP="00CF6BFA">
      <w:pPr>
        <w:pStyle w:val="BodyTextIndent"/>
        <w:ind w:left="1418" w:hanging="709"/>
      </w:pPr>
      <w:r w:rsidRPr="004F3590">
        <w:t>(b)</w:t>
      </w:r>
      <w:r w:rsidRPr="004F3590">
        <w:tab/>
      </w:r>
      <w:proofErr w:type="gramStart"/>
      <w:r w:rsidRPr="004F3590">
        <w:t>the</w:t>
      </w:r>
      <w:proofErr w:type="gramEnd"/>
      <w:r w:rsidRPr="004F3590">
        <w:t xml:space="preserve"> Pass-through Costs and Recoverable Costs attributable to</w:t>
      </w:r>
      <w:r w:rsidR="007262CC" w:rsidRPr="007262CC">
        <w:t xml:space="preserve"> </w:t>
      </w:r>
      <w:r w:rsidR="00C67AAE">
        <w:t xml:space="preserve">the </w:t>
      </w:r>
      <w:r w:rsidR="007262CC">
        <w:t>ICPs transferred as a result of</w:t>
      </w:r>
      <w:r w:rsidRPr="004F3590">
        <w:t xml:space="preserve"> the transaction.</w:t>
      </w:r>
    </w:p>
    <w:p w:rsidR="00950A72" w:rsidRPr="004F3590" w:rsidRDefault="007262CC" w:rsidP="00950A72">
      <w:pPr>
        <w:pStyle w:val="BodyTextIndent"/>
        <w:ind w:hanging="709"/>
      </w:pPr>
      <w:r>
        <w:t>3</w:t>
      </w:r>
      <w:r w:rsidR="00950A72" w:rsidRPr="004F3590">
        <w:t>.</w:t>
      </w:r>
      <w:r w:rsidR="00950A72" w:rsidRPr="004F3590">
        <w:tab/>
        <w:t xml:space="preserve">The Non-exempt EDB transferring </w:t>
      </w:r>
      <w:r w:rsidR="00950A72" w:rsidRPr="000D1529">
        <w:rPr>
          <w:strike/>
          <w:color w:val="1F497D" w:themeColor="text2"/>
        </w:rPr>
        <w:t>assets</w:t>
      </w:r>
      <w:r w:rsidR="00950A72" w:rsidRPr="004F3590">
        <w:t xml:space="preserve"> </w:t>
      </w:r>
      <w:r w:rsidR="000D1529" w:rsidRPr="000D1529">
        <w:rPr>
          <w:color w:val="1F497D" w:themeColor="text2"/>
          <w:u w:val="single"/>
        </w:rPr>
        <w:t>ICPs</w:t>
      </w:r>
      <w:r w:rsidR="000D1529">
        <w:t xml:space="preserve"> </w:t>
      </w:r>
      <w:r w:rsidR="00950A72" w:rsidRPr="004F3590">
        <w:t xml:space="preserve">to another </w:t>
      </w:r>
      <w:r>
        <w:t xml:space="preserve">Non-exempt </w:t>
      </w:r>
      <w:r w:rsidR="00950A72" w:rsidRPr="004F3590">
        <w:t>EDB as part of a Major Transaction must:</w:t>
      </w:r>
    </w:p>
    <w:p w:rsidR="00950A72" w:rsidRPr="004F3590" w:rsidRDefault="00950A72" w:rsidP="00CF3AE0">
      <w:pPr>
        <w:pStyle w:val="BodyTextIndent"/>
        <w:ind w:left="1418" w:hanging="709"/>
      </w:pPr>
      <w:r w:rsidRPr="004F3590">
        <w:t>(a)</w:t>
      </w:r>
      <w:r w:rsidRPr="004F3590">
        <w:tab/>
      </w:r>
      <w:proofErr w:type="gramStart"/>
      <w:r w:rsidR="00C67AAE">
        <w:t>reduce</w:t>
      </w:r>
      <w:proofErr w:type="gramEnd"/>
      <w:r w:rsidR="00C67AAE" w:rsidRPr="004F3590">
        <w:t xml:space="preserve"> </w:t>
      </w:r>
      <w:r w:rsidRPr="004F3590">
        <w:t xml:space="preserve">its allowable notional revenue for that Assessment Period by the amount </w:t>
      </w:r>
      <w:r w:rsidR="007262CC">
        <w:t>determined in accordance with</w:t>
      </w:r>
      <w:r w:rsidRPr="004F3590">
        <w:t xml:space="preserve"> paragraph </w:t>
      </w:r>
      <w:r w:rsidR="007262CC">
        <w:t>2</w:t>
      </w:r>
      <w:r w:rsidRPr="004F3590">
        <w:t xml:space="preserve">(a); </w:t>
      </w:r>
      <w:r w:rsidR="006B1165">
        <w:t>and</w:t>
      </w:r>
    </w:p>
    <w:p w:rsidR="00950A72" w:rsidRPr="004F3590" w:rsidRDefault="00950A72" w:rsidP="00CF3AE0">
      <w:pPr>
        <w:pStyle w:val="BodyTextIndent"/>
        <w:ind w:left="1418" w:hanging="709"/>
      </w:pPr>
      <w:r w:rsidRPr="004F3590">
        <w:t>(b)</w:t>
      </w:r>
      <w:r w:rsidRPr="004F3590">
        <w:tab/>
      </w:r>
      <w:proofErr w:type="gramStart"/>
      <w:r w:rsidR="00CF3AE0" w:rsidRPr="004F3590">
        <w:t>exclude</w:t>
      </w:r>
      <w:proofErr w:type="gramEnd"/>
      <w:r w:rsidR="00CF3AE0" w:rsidRPr="004F3590">
        <w:t xml:space="preserve"> any Pass-through Costs and</w:t>
      </w:r>
      <w:r w:rsidR="00EA5876" w:rsidRPr="004F3590">
        <w:t xml:space="preserve"> </w:t>
      </w:r>
      <w:r w:rsidR="00CF3AE0" w:rsidRPr="004F3590">
        <w:t xml:space="preserve">Recoverable Costs </w:t>
      </w:r>
      <w:r w:rsidR="007262CC">
        <w:t>by the amounts determined in accordance with</w:t>
      </w:r>
      <w:r w:rsidR="00CF3AE0" w:rsidRPr="004F3590">
        <w:t xml:space="preserve"> paragraph </w:t>
      </w:r>
      <w:r w:rsidR="007262CC">
        <w:t>2</w:t>
      </w:r>
      <w:r w:rsidR="00CF3AE0" w:rsidRPr="004F3590">
        <w:t>(b) for the purposes of calculating</w:t>
      </w:r>
      <w:r w:rsidR="007262CC" w:rsidRPr="007262CC">
        <w:t xml:space="preserve"> </w:t>
      </w:r>
      <w:r w:rsidR="007262CC">
        <w:t>the Pass-through Balance</w:t>
      </w:r>
      <w:r w:rsidR="00CF3AE0" w:rsidRPr="004F3590">
        <w:t>.</w:t>
      </w:r>
    </w:p>
    <w:p w:rsidR="00CF3AE0" w:rsidRPr="004F3590" w:rsidRDefault="007262CC" w:rsidP="00CF3AE0">
      <w:pPr>
        <w:pStyle w:val="BodyTextIndent"/>
        <w:ind w:hanging="709"/>
      </w:pPr>
      <w:r>
        <w:t>4</w:t>
      </w:r>
      <w:r w:rsidR="00CF3AE0" w:rsidRPr="004F3590">
        <w:t>.</w:t>
      </w:r>
      <w:r w:rsidR="00CF3AE0" w:rsidRPr="004F3590">
        <w:tab/>
        <w:t xml:space="preserve">The Non-exempt EDB receiving </w:t>
      </w:r>
      <w:r w:rsidR="00CF3AE0" w:rsidRPr="000D1529">
        <w:rPr>
          <w:strike/>
          <w:color w:val="1F497D" w:themeColor="text2"/>
        </w:rPr>
        <w:t>a transfer of assets</w:t>
      </w:r>
      <w:r w:rsidR="00CF3AE0" w:rsidRPr="004F3590">
        <w:t xml:space="preserve"> </w:t>
      </w:r>
      <w:r w:rsidR="000D1529" w:rsidRPr="000D1529">
        <w:rPr>
          <w:color w:val="1F497D" w:themeColor="text2"/>
          <w:u w:val="single"/>
        </w:rPr>
        <w:t>ICPs</w:t>
      </w:r>
      <w:r w:rsidR="000D1529">
        <w:t xml:space="preserve"> </w:t>
      </w:r>
      <w:r w:rsidR="00CF3AE0" w:rsidRPr="004F3590">
        <w:t xml:space="preserve">from another </w:t>
      </w:r>
      <w:r>
        <w:t xml:space="preserve">Non-exempt </w:t>
      </w:r>
      <w:r w:rsidR="00CF3AE0" w:rsidRPr="004F3590">
        <w:t>EDB as part of a Major Transaction must:</w:t>
      </w:r>
    </w:p>
    <w:p w:rsidR="00CF3AE0" w:rsidRPr="004F3590" w:rsidRDefault="00CF3AE0" w:rsidP="00CF3AE0">
      <w:pPr>
        <w:pStyle w:val="BodyTextIndent"/>
        <w:ind w:left="1418" w:hanging="709"/>
      </w:pPr>
      <w:r w:rsidRPr="004F3590">
        <w:t>(a)</w:t>
      </w:r>
      <w:r w:rsidRPr="004F3590">
        <w:tab/>
        <w:t xml:space="preserve">increase its allowable notional revenue for that Assessment Period by the amount </w:t>
      </w:r>
      <w:r w:rsidR="007262CC">
        <w:t>determined in accordance with</w:t>
      </w:r>
      <w:r w:rsidRPr="004F3590">
        <w:t xml:space="preserve"> paragraph </w:t>
      </w:r>
      <w:r w:rsidR="007262CC">
        <w:t>2</w:t>
      </w:r>
      <w:r w:rsidRPr="004F3590">
        <w:t>(a); and</w:t>
      </w:r>
    </w:p>
    <w:p w:rsidR="00CF3AE0" w:rsidRDefault="00CF3AE0" w:rsidP="00CF3AE0">
      <w:pPr>
        <w:pStyle w:val="BodyTextIndent"/>
        <w:ind w:left="1418" w:hanging="709"/>
      </w:pPr>
      <w:r w:rsidRPr="004F3590">
        <w:t>(b)</w:t>
      </w:r>
      <w:r w:rsidRPr="004F3590">
        <w:tab/>
      </w:r>
      <w:proofErr w:type="gramStart"/>
      <w:r w:rsidRPr="004F3590">
        <w:t>include</w:t>
      </w:r>
      <w:proofErr w:type="gramEnd"/>
      <w:r w:rsidRPr="004F3590">
        <w:t xml:space="preserve"> any Pass-through Costs and Recoverable Costs </w:t>
      </w:r>
      <w:r w:rsidR="007262CC">
        <w:t>by the amounts determined in accordance with paragraph 2(b)</w:t>
      </w:r>
      <w:r w:rsidRPr="004F3590">
        <w:t xml:space="preserve"> for the purposes of calculating </w:t>
      </w:r>
      <w:r w:rsidR="007262CC">
        <w:t>the Pass-through Balance</w:t>
      </w:r>
      <w:r w:rsidRPr="004F3590">
        <w:t>.</w:t>
      </w:r>
    </w:p>
    <w:p w:rsidR="007262CC" w:rsidRPr="00AF5E23" w:rsidRDefault="007262CC" w:rsidP="007262CC">
      <w:pPr>
        <w:pStyle w:val="BodyTextIndent"/>
        <w:ind w:hanging="709"/>
        <w:rPr>
          <w:i/>
        </w:rPr>
      </w:pPr>
      <w:r>
        <w:rPr>
          <w:i/>
        </w:rPr>
        <w:t>Transactions with an Exempt EDB</w:t>
      </w:r>
    </w:p>
    <w:p w:rsidR="007262CC" w:rsidRDefault="007262CC" w:rsidP="007262CC">
      <w:pPr>
        <w:pStyle w:val="BodyTextIndent"/>
        <w:ind w:hanging="709"/>
      </w:pPr>
      <w:r>
        <w:t>5.</w:t>
      </w:r>
      <w:r>
        <w:tab/>
        <w:t>A Non-exempt EDB that enters into a Major Transaction with an Exempt EDB must determine its allowable notional revenue, Pass-through Costs, and Recoverable Costs</w:t>
      </w:r>
      <w:r w:rsidR="00DC73FA">
        <w:t>:</w:t>
      </w:r>
      <w:r>
        <w:t xml:space="preserve"> </w:t>
      </w:r>
    </w:p>
    <w:p w:rsidR="007262CC" w:rsidRDefault="007262CC" w:rsidP="007262CC">
      <w:pPr>
        <w:pStyle w:val="BodyTextIndent"/>
        <w:ind w:left="1418" w:hanging="709"/>
      </w:pPr>
      <w:r>
        <w:lastRenderedPageBreak/>
        <w:t>(a)</w:t>
      </w:r>
      <w:r>
        <w:tab/>
      </w:r>
      <w:proofErr w:type="gramStart"/>
      <w:r>
        <w:t>in</w:t>
      </w:r>
      <w:proofErr w:type="gramEnd"/>
      <w:r>
        <w:t xml:space="preserve"> accordance with paragraph 6 or paragraph 9 where the Non-exempt EDB receives </w:t>
      </w:r>
      <w:r w:rsidRPr="00AC0F20">
        <w:rPr>
          <w:strike/>
          <w:color w:val="1F497D" w:themeColor="text2"/>
        </w:rPr>
        <w:t>a transfer of assets</w:t>
      </w:r>
      <w:r>
        <w:t xml:space="preserve"> </w:t>
      </w:r>
      <w:r w:rsidR="00AC0F20" w:rsidRPr="00AC0F20">
        <w:rPr>
          <w:color w:val="1F497D" w:themeColor="text2"/>
          <w:u w:val="single"/>
        </w:rPr>
        <w:t>ICPs</w:t>
      </w:r>
      <w:r w:rsidR="00AC0F20">
        <w:t xml:space="preserve"> </w:t>
      </w:r>
      <w:r>
        <w:t>from an Exempt EDB; or</w:t>
      </w:r>
    </w:p>
    <w:p w:rsidR="007262CC" w:rsidRDefault="007262CC" w:rsidP="007262CC">
      <w:pPr>
        <w:pStyle w:val="BodyTextIndent"/>
        <w:ind w:left="1418" w:hanging="709"/>
      </w:pPr>
      <w:r>
        <w:t>(b)</w:t>
      </w:r>
      <w:r>
        <w:tab/>
      </w:r>
      <w:proofErr w:type="gramStart"/>
      <w:r>
        <w:t>in</w:t>
      </w:r>
      <w:proofErr w:type="gramEnd"/>
      <w:r>
        <w:t xml:space="preserve"> accordance with paragraph 7 or paragraph 9</w:t>
      </w:r>
      <w:r w:rsidRPr="00067D34">
        <w:t xml:space="preserve"> </w:t>
      </w:r>
      <w:r>
        <w:t xml:space="preserve">where the Non-exempt EDB transfers </w:t>
      </w:r>
      <w:r w:rsidRPr="00AC0F20">
        <w:rPr>
          <w:strike/>
          <w:color w:val="1F497D" w:themeColor="text2"/>
        </w:rPr>
        <w:t>assets</w:t>
      </w:r>
      <w:r>
        <w:t xml:space="preserve"> </w:t>
      </w:r>
      <w:r w:rsidR="00AC0F20" w:rsidRPr="00AC0F20">
        <w:rPr>
          <w:color w:val="1F497D" w:themeColor="text2"/>
          <w:u w:val="single"/>
        </w:rPr>
        <w:t>ICPs</w:t>
      </w:r>
      <w:r w:rsidR="00AC0F20">
        <w:t xml:space="preserve"> </w:t>
      </w:r>
      <w:r>
        <w:t>to an Exempt EDB.</w:t>
      </w:r>
    </w:p>
    <w:p w:rsidR="007262CC" w:rsidRDefault="007262CC" w:rsidP="007262CC">
      <w:pPr>
        <w:pStyle w:val="BodyTextIndent"/>
        <w:ind w:hanging="709"/>
      </w:pPr>
      <w:r>
        <w:t>6.</w:t>
      </w:r>
      <w:r>
        <w:tab/>
      </w:r>
      <w:r w:rsidRPr="00AC0F20">
        <w:rPr>
          <w:strike/>
          <w:color w:val="1F497D" w:themeColor="text2"/>
        </w:rPr>
        <w:t>Each</w:t>
      </w:r>
      <w:r>
        <w:t xml:space="preserve"> </w:t>
      </w:r>
      <w:proofErr w:type="gramStart"/>
      <w:r w:rsidR="00AC0F20" w:rsidRPr="00AC0F20">
        <w:rPr>
          <w:color w:val="1F497D" w:themeColor="text2"/>
          <w:u w:val="single"/>
        </w:rPr>
        <w:t>The</w:t>
      </w:r>
      <w:proofErr w:type="gramEnd"/>
      <w:r w:rsidR="00AC0F20">
        <w:t xml:space="preserve"> </w:t>
      </w:r>
      <w:r>
        <w:t xml:space="preserve">Non-exempt EDB must, in the Assessment Period in which </w:t>
      </w:r>
      <w:r w:rsidRPr="002E2D38">
        <w:rPr>
          <w:strike/>
          <w:color w:val="1F497D" w:themeColor="text2"/>
        </w:rPr>
        <w:t>consumers</w:t>
      </w:r>
      <w:r w:rsidRPr="002E2D38">
        <w:t xml:space="preserve"> </w:t>
      </w:r>
      <w:r w:rsidR="002E2D38" w:rsidRPr="002E2D38">
        <w:rPr>
          <w:color w:val="1F497D" w:themeColor="text2"/>
          <w:u w:val="single"/>
        </w:rPr>
        <w:t>ICPs</w:t>
      </w:r>
      <w:r w:rsidR="002E2D38">
        <w:t xml:space="preserve"> </w:t>
      </w:r>
      <w:r w:rsidRPr="002E2D38">
        <w:t xml:space="preserve">are or will be first supplied Electricity Lines Services by the Non-exempt EDB as a result of </w:t>
      </w:r>
      <w:r>
        <w:t>a Major Transaction with an Exempt EDB –</w:t>
      </w:r>
    </w:p>
    <w:p w:rsidR="007262CC" w:rsidRDefault="007262CC" w:rsidP="007262CC">
      <w:pPr>
        <w:pStyle w:val="BodyTextIndent"/>
        <w:ind w:left="1418" w:hanging="709"/>
      </w:pPr>
      <w:r>
        <w:t>(a)</w:t>
      </w:r>
      <w:r>
        <w:tab/>
      </w:r>
      <w:proofErr w:type="gramStart"/>
      <w:r>
        <w:t>increase</w:t>
      </w:r>
      <w:proofErr w:type="gramEnd"/>
      <w:r>
        <w:t xml:space="preserve"> its allowable notional revenue by an amount calculated in accordance with the formula–</w:t>
      </w:r>
    </w:p>
    <w:p w:rsidR="007262CC" w:rsidRDefault="005358C2" w:rsidP="007262CC">
      <w:pPr>
        <w:pStyle w:val="BodyTextIndent"/>
        <w:ind w:left="2127" w:hanging="709"/>
      </w:pPr>
      <w:r w:rsidRPr="002F54CC">
        <w:rPr>
          <w:position w:val="-28"/>
        </w:rPr>
        <w:object w:dxaOrig="5240" w:dyaOrig="540">
          <v:shape id="_x0000_i1037" type="#_x0000_t75" style="width:275.3pt;height:27.55pt" o:ole="">
            <v:imagedata r:id="rId33" o:title=""/>
          </v:shape>
          <o:OLEObject Type="Embed" ProgID="Equation.3" ShapeID="_x0000_i1037" DrawAspect="Content" ObjectID="_1476274122" r:id="rId34"/>
        </w:object>
      </w:r>
      <w:r>
        <w:t>Part-year Factor</w:t>
      </w:r>
    </w:p>
    <w:p w:rsidR="007262CC" w:rsidRDefault="007262CC" w:rsidP="007262CC">
      <w:pPr>
        <w:pStyle w:val="Para1"/>
        <w:tabs>
          <w:tab w:val="clear" w:pos="709"/>
        </w:tabs>
        <w:ind w:left="1440" w:firstLine="0"/>
      </w:pPr>
      <w:proofErr w:type="gramStart"/>
      <w:r>
        <w:t>where</w:t>
      </w:r>
      <w:proofErr w:type="gramEnd"/>
      <w:r>
        <w:t>–</w:t>
      </w:r>
    </w:p>
    <w:p w:rsidR="007262CC" w:rsidRPr="00883B23" w:rsidRDefault="007262CC" w:rsidP="007262CC">
      <w:pPr>
        <w:pStyle w:val="Para1"/>
        <w:tabs>
          <w:tab w:val="clear" w:pos="709"/>
        </w:tabs>
        <w:ind w:left="2574" w:hanging="1134"/>
      </w:pPr>
      <w:proofErr w:type="gramStart"/>
      <w:r>
        <w:rPr>
          <w:i/>
        </w:rPr>
        <w:t>t</w:t>
      </w:r>
      <w:proofErr w:type="gramEnd"/>
      <w:r>
        <w:tab/>
        <w:t xml:space="preserve">is the year </w:t>
      </w:r>
      <w:r w:rsidRPr="00524B7B">
        <w:rPr>
          <w:szCs w:val="24"/>
        </w:rPr>
        <w:t>in</w:t>
      </w:r>
      <w:r>
        <w:t xml:space="preserve"> which the Assessment Period ends;</w:t>
      </w:r>
    </w:p>
    <w:p w:rsidR="007262CC" w:rsidRPr="00524B7B" w:rsidRDefault="007262CC" w:rsidP="007262CC">
      <w:pPr>
        <w:pStyle w:val="Para1"/>
        <w:tabs>
          <w:tab w:val="clear" w:pos="709"/>
        </w:tabs>
        <w:ind w:left="2574" w:hanging="1134"/>
      </w:pPr>
      <w:proofErr w:type="spellStart"/>
      <w:proofErr w:type="gramStart"/>
      <w:r>
        <w:rPr>
          <w:i/>
        </w:rPr>
        <w:t>i</w:t>
      </w:r>
      <w:proofErr w:type="spellEnd"/>
      <w:proofErr w:type="gramEnd"/>
      <w:r>
        <w:tab/>
        <w:t xml:space="preserve">denotes </w:t>
      </w:r>
      <w:r w:rsidRPr="00524B7B">
        <w:rPr>
          <w:szCs w:val="24"/>
        </w:rPr>
        <w:t>each</w:t>
      </w:r>
      <w:r>
        <w:t xml:space="preserve"> Price relating to </w:t>
      </w:r>
      <w:r w:rsidR="00AC0F20" w:rsidRPr="00AC0F20">
        <w:rPr>
          <w:strike/>
          <w:color w:val="1F497D" w:themeColor="text2"/>
        </w:rPr>
        <w:t>an</w:t>
      </w:r>
      <w:r w:rsidR="00AC0F20">
        <w:t xml:space="preserve"> </w:t>
      </w:r>
      <w:r>
        <w:t>Electricity Lines Service</w:t>
      </w:r>
      <w:r w:rsidRPr="00AC0F20">
        <w:rPr>
          <w:strike/>
          <w:color w:val="1F497D" w:themeColor="text2"/>
        </w:rPr>
        <w:t>s</w:t>
      </w:r>
      <w:r>
        <w:t>;</w:t>
      </w:r>
    </w:p>
    <w:p w:rsidR="007262CC" w:rsidRDefault="007262CC" w:rsidP="007262CC">
      <w:pPr>
        <w:pStyle w:val="Para1"/>
        <w:tabs>
          <w:tab w:val="clear" w:pos="709"/>
        </w:tabs>
        <w:ind w:left="2574" w:hanging="1134"/>
      </w:pPr>
      <w:r w:rsidRPr="00883B23">
        <w:rPr>
          <w:i/>
        </w:rPr>
        <w:t>P</w:t>
      </w:r>
      <w:r w:rsidRPr="00883B23">
        <w:rPr>
          <w:i/>
          <w:vertAlign w:val="subscript"/>
        </w:rPr>
        <w:t xml:space="preserve"> </w:t>
      </w:r>
      <w:proofErr w:type="spellStart"/>
      <w:r w:rsidRPr="00883B23">
        <w:rPr>
          <w:i/>
          <w:vertAlign w:val="subscript"/>
        </w:rPr>
        <w:t>i</w:t>
      </w:r>
      <w:proofErr w:type="spellEnd"/>
      <w:r w:rsidRPr="00883B23">
        <w:rPr>
          <w:i/>
          <w:vertAlign w:val="subscript"/>
        </w:rPr>
        <w:t>, t</w:t>
      </w:r>
      <w:r w:rsidR="00C05BBF">
        <w:rPr>
          <w:i/>
          <w:vertAlign w:val="subscript"/>
        </w:rPr>
        <w:t>-1</w:t>
      </w:r>
      <w:r>
        <w:tab/>
      </w:r>
      <w:r w:rsidRPr="00F337D6">
        <w:rPr>
          <w:szCs w:val="24"/>
        </w:rPr>
        <w:t xml:space="preserve">is the </w:t>
      </w:r>
      <w:proofErr w:type="spellStart"/>
      <w:r w:rsidRPr="007619F1">
        <w:rPr>
          <w:rStyle w:val="Emphasis-Remove"/>
          <w:i/>
          <w:szCs w:val="24"/>
        </w:rPr>
        <w:t>i</w:t>
      </w:r>
      <w:r w:rsidRPr="007619F1">
        <w:rPr>
          <w:rStyle w:val="Emphasis-Superscript"/>
          <w:i/>
          <w:szCs w:val="24"/>
        </w:rPr>
        <w:t>th</w:t>
      </w:r>
      <w:proofErr w:type="spellEnd"/>
      <w:r w:rsidRPr="00F337D6">
        <w:rPr>
          <w:szCs w:val="24"/>
        </w:rPr>
        <w:t xml:space="preserve"> Price </w:t>
      </w:r>
      <w:r>
        <w:rPr>
          <w:szCs w:val="24"/>
        </w:rPr>
        <w:t xml:space="preserve">of the Exempt EDB </w:t>
      </w:r>
      <w:r w:rsidRPr="00F337D6">
        <w:rPr>
          <w:szCs w:val="24"/>
        </w:rPr>
        <w:t xml:space="preserve">during any part of the Assessment Period </w:t>
      </w:r>
      <w:r w:rsidR="00C05BBF">
        <w:rPr>
          <w:szCs w:val="24"/>
        </w:rPr>
        <w:t xml:space="preserve">prior to year </w:t>
      </w:r>
      <w:r w:rsidRPr="006701EF">
        <w:rPr>
          <w:i/>
          <w:szCs w:val="24"/>
        </w:rPr>
        <w:t>t</w:t>
      </w:r>
      <w:r w:rsidRPr="00F337D6">
        <w:rPr>
          <w:szCs w:val="24"/>
        </w:rPr>
        <w:t>;</w:t>
      </w:r>
    </w:p>
    <w:p w:rsidR="007262CC" w:rsidRDefault="007262CC" w:rsidP="007262CC">
      <w:pPr>
        <w:pStyle w:val="Para1"/>
        <w:tabs>
          <w:tab w:val="clear" w:pos="709"/>
        </w:tabs>
        <w:ind w:left="2574" w:hanging="1134"/>
        <w:rPr>
          <w:szCs w:val="24"/>
        </w:rPr>
      </w:pPr>
      <w:r>
        <w:rPr>
          <w:i/>
        </w:rPr>
        <w:t>Q</w:t>
      </w:r>
      <w:r w:rsidRPr="00883B23">
        <w:rPr>
          <w:i/>
          <w:vertAlign w:val="subscript"/>
        </w:rPr>
        <w:t>i, t</w:t>
      </w:r>
      <w:r>
        <w:rPr>
          <w:i/>
          <w:vertAlign w:val="subscript"/>
        </w:rPr>
        <w:t>-2</w:t>
      </w:r>
      <w:r>
        <w:tab/>
      </w:r>
      <w:r w:rsidRPr="00F337D6">
        <w:rPr>
          <w:szCs w:val="24"/>
        </w:rPr>
        <w:t>is the</w:t>
      </w:r>
      <w:r>
        <w:rPr>
          <w:szCs w:val="24"/>
        </w:rPr>
        <w:t xml:space="preserve"> Quantity attributable to the ICPs transferred to the Non-exempt EDB corresponding to the </w:t>
      </w:r>
      <w:proofErr w:type="spellStart"/>
      <w:r>
        <w:rPr>
          <w:i/>
          <w:szCs w:val="24"/>
        </w:rPr>
        <w:t>i</w:t>
      </w:r>
      <w:r>
        <w:rPr>
          <w:szCs w:val="24"/>
        </w:rPr>
        <w:t>th</w:t>
      </w:r>
      <w:proofErr w:type="spellEnd"/>
      <w:r>
        <w:rPr>
          <w:szCs w:val="24"/>
        </w:rPr>
        <w:t xml:space="preserve"> Price for the Assessment Period ending 2 years prior to year </w:t>
      </w:r>
      <w:r>
        <w:rPr>
          <w:i/>
          <w:szCs w:val="24"/>
        </w:rPr>
        <w:t>t</w:t>
      </w:r>
      <w:r>
        <w:rPr>
          <w:szCs w:val="24"/>
        </w:rPr>
        <w:t>;</w:t>
      </w:r>
    </w:p>
    <w:p w:rsidR="007262CC" w:rsidRDefault="007262CC" w:rsidP="007262CC">
      <w:pPr>
        <w:pStyle w:val="Para1"/>
        <w:tabs>
          <w:tab w:val="clear" w:pos="709"/>
        </w:tabs>
        <w:ind w:left="2574" w:hanging="1134"/>
      </w:pPr>
      <w:r>
        <w:rPr>
          <w:i/>
        </w:rPr>
        <w:t>K</w:t>
      </w:r>
      <w:r w:rsidRPr="00AF5E23">
        <w:rPr>
          <w:i/>
          <w:vertAlign w:val="subscript"/>
        </w:rPr>
        <w:t>proportion</w:t>
      </w:r>
      <w:proofErr w:type="gramStart"/>
      <w:r w:rsidRPr="00AF5E23">
        <w:rPr>
          <w:i/>
          <w:vertAlign w:val="subscript"/>
        </w:rPr>
        <w:t>,t</w:t>
      </w:r>
      <w:proofErr w:type="gramEnd"/>
      <w:r w:rsidRPr="00AF5E23">
        <w:rPr>
          <w:i/>
          <w:vertAlign w:val="subscript"/>
        </w:rPr>
        <w:t>-1</w:t>
      </w:r>
      <w:r>
        <w:rPr>
          <w:i/>
          <w:vertAlign w:val="subscript"/>
        </w:rPr>
        <w:tab/>
      </w:r>
      <w:r>
        <w:t xml:space="preserve">is the proportion of all Pass-through Costs of the Exempt EDB </w:t>
      </w:r>
      <w:r w:rsidR="00C05BBF">
        <w:t>for</w:t>
      </w:r>
      <w:r>
        <w:t xml:space="preserve"> the Assessment Period prior to year </w:t>
      </w:r>
      <w:r>
        <w:rPr>
          <w:i/>
        </w:rPr>
        <w:t>t</w:t>
      </w:r>
      <w:r>
        <w:t>, being equal to:</w:t>
      </w:r>
    </w:p>
    <w:p w:rsidR="007262CC" w:rsidRDefault="00C05BBF" w:rsidP="007262CC">
      <w:pPr>
        <w:pStyle w:val="Para1"/>
        <w:ind w:left="3708" w:hanging="1134"/>
        <w:jc w:val="center"/>
        <w:rPr>
          <w:vertAlign w:val="subscript"/>
        </w:rPr>
      </w:pPr>
      <w:r>
        <w:t>Transaction Factor</w:t>
      </w:r>
      <w:r w:rsidR="007262CC">
        <w:t xml:space="preserve"> </w:t>
      </w:r>
      <w:r w:rsidR="005358C2" w:rsidRPr="00810696">
        <w:rPr>
          <w:position w:val="-4"/>
        </w:rPr>
        <w:object w:dxaOrig="180" w:dyaOrig="200">
          <v:shape id="_x0000_i1038" type="#_x0000_t75" style="width:9.55pt;height:9.55pt" o:ole="">
            <v:imagedata r:id="rId35" o:title=""/>
          </v:shape>
          <o:OLEObject Type="Embed" ProgID="Equation.3" ShapeID="_x0000_i1038" DrawAspect="Content" ObjectID="_1476274123" r:id="rId36"/>
        </w:object>
      </w:r>
      <w:r w:rsidR="007262CC">
        <w:t xml:space="preserve"> </w:t>
      </w:r>
      <w:r w:rsidR="007262CC">
        <w:rPr>
          <w:i/>
        </w:rPr>
        <w:t>K</w:t>
      </w:r>
      <w:r w:rsidR="007262CC" w:rsidRPr="00AF5E23">
        <w:rPr>
          <w:i/>
          <w:vertAlign w:val="subscript"/>
        </w:rPr>
        <w:t>t-1</w:t>
      </w:r>
    </w:p>
    <w:p w:rsidR="007262CC" w:rsidRDefault="007262CC" w:rsidP="007262CC">
      <w:pPr>
        <w:pStyle w:val="Para1"/>
        <w:ind w:left="3708" w:hanging="1134"/>
      </w:pPr>
      <w:proofErr w:type="gramStart"/>
      <w:r>
        <w:t>where</w:t>
      </w:r>
      <w:proofErr w:type="gramEnd"/>
      <w:r>
        <w:t>–</w:t>
      </w:r>
    </w:p>
    <w:p w:rsidR="007262CC" w:rsidRPr="00AF5E23" w:rsidRDefault="007262CC" w:rsidP="007262CC">
      <w:pPr>
        <w:pStyle w:val="Para1"/>
        <w:ind w:left="3708" w:hanging="1134"/>
      </w:pPr>
      <w:r w:rsidRPr="00AF5E23">
        <w:rPr>
          <w:i/>
        </w:rPr>
        <w:t>K</w:t>
      </w:r>
      <w:r w:rsidRPr="00AF5E23">
        <w:rPr>
          <w:i/>
          <w:vertAlign w:val="subscript"/>
        </w:rPr>
        <w:t>t-1</w:t>
      </w:r>
      <w:r>
        <w:tab/>
        <w:t xml:space="preserve">is the sum of all Pass-through Costs of the Exempt EDB </w:t>
      </w:r>
      <w:r w:rsidR="00C05BBF">
        <w:t>for</w:t>
      </w:r>
      <w:r>
        <w:t xml:space="preserve"> the Assessment Period prior to year </w:t>
      </w:r>
      <w:r>
        <w:rPr>
          <w:i/>
        </w:rPr>
        <w:t>t</w:t>
      </w:r>
      <w:r>
        <w:t>;</w:t>
      </w:r>
    </w:p>
    <w:p w:rsidR="007262CC" w:rsidRDefault="007262CC" w:rsidP="007262CC">
      <w:pPr>
        <w:pStyle w:val="Para1"/>
        <w:tabs>
          <w:tab w:val="clear" w:pos="709"/>
        </w:tabs>
        <w:ind w:left="2574" w:hanging="1134"/>
      </w:pPr>
      <w:r>
        <w:rPr>
          <w:i/>
        </w:rPr>
        <w:t>V</w:t>
      </w:r>
      <w:r w:rsidRPr="00AF5E23">
        <w:rPr>
          <w:i/>
          <w:vertAlign w:val="subscript"/>
        </w:rPr>
        <w:t>proportion</w:t>
      </w:r>
      <w:proofErr w:type="gramStart"/>
      <w:r w:rsidRPr="00AF5E23">
        <w:rPr>
          <w:i/>
          <w:vertAlign w:val="subscript"/>
        </w:rPr>
        <w:t>,t</w:t>
      </w:r>
      <w:proofErr w:type="gramEnd"/>
      <w:r w:rsidRPr="00AF5E23">
        <w:rPr>
          <w:i/>
          <w:vertAlign w:val="subscript"/>
        </w:rPr>
        <w:t>-1</w:t>
      </w:r>
      <w:r>
        <w:rPr>
          <w:i/>
          <w:vertAlign w:val="subscript"/>
        </w:rPr>
        <w:tab/>
      </w:r>
      <w:r>
        <w:t xml:space="preserve">is the proportion of all Recoverable Costs of the Exempt EDB </w:t>
      </w:r>
      <w:r w:rsidR="00C05BBF">
        <w:t>for</w:t>
      </w:r>
      <w:r>
        <w:t xml:space="preserve"> the Assessment Period prior to year </w:t>
      </w:r>
      <w:r>
        <w:rPr>
          <w:i/>
        </w:rPr>
        <w:t>t</w:t>
      </w:r>
      <w:r>
        <w:t>, being equal to:</w:t>
      </w:r>
    </w:p>
    <w:p w:rsidR="007262CC" w:rsidRDefault="00C05BBF" w:rsidP="007262CC">
      <w:pPr>
        <w:pStyle w:val="Para1"/>
        <w:ind w:left="3708" w:hanging="1134"/>
        <w:jc w:val="center"/>
        <w:rPr>
          <w:vertAlign w:val="subscript"/>
        </w:rPr>
      </w:pPr>
      <w:r>
        <w:t>Transaction Factor</w:t>
      </w:r>
      <w:r w:rsidR="007262CC">
        <w:t xml:space="preserve"> </w:t>
      </w:r>
      <w:r w:rsidR="005358C2" w:rsidRPr="00810696">
        <w:rPr>
          <w:position w:val="-4"/>
        </w:rPr>
        <w:object w:dxaOrig="180" w:dyaOrig="200">
          <v:shape id="_x0000_i1039" type="#_x0000_t75" style="width:9.55pt;height:9.55pt" o:ole="">
            <v:imagedata r:id="rId37" o:title=""/>
          </v:shape>
          <o:OLEObject Type="Embed" ProgID="Equation.3" ShapeID="_x0000_i1039" DrawAspect="Content" ObjectID="_1476274124" r:id="rId38"/>
        </w:object>
      </w:r>
      <w:r w:rsidR="007262CC">
        <w:t xml:space="preserve"> </w:t>
      </w:r>
      <w:r w:rsidR="007262CC">
        <w:rPr>
          <w:i/>
        </w:rPr>
        <w:t>V</w:t>
      </w:r>
      <w:r w:rsidR="007262CC" w:rsidRPr="00AF5E23">
        <w:rPr>
          <w:i/>
          <w:vertAlign w:val="subscript"/>
        </w:rPr>
        <w:t>t-1</w:t>
      </w:r>
    </w:p>
    <w:p w:rsidR="007262CC" w:rsidRDefault="007262CC" w:rsidP="007262CC">
      <w:pPr>
        <w:pStyle w:val="Para1"/>
        <w:ind w:left="3708" w:hanging="1134"/>
      </w:pPr>
      <w:proofErr w:type="gramStart"/>
      <w:r>
        <w:t>where</w:t>
      </w:r>
      <w:proofErr w:type="gramEnd"/>
      <w:r>
        <w:t>–</w:t>
      </w:r>
    </w:p>
    <w:p w:rsidR="007262CC" w:rsidRDefault="007262CC" w:rsidP="007262CC">
      <w:pPr>
        <w:pStyle w:val="Para1"/>
        <w:ind w:left="3708" w:hanging="1134"/>
      </w:pPr>
      <w:r>
        <w:rPr>
          <w:i/>
        </w:rPr>
        <w:t>V</w:t>
      </w:r>
      <w:r w:rsidRPr="00883B23">
        <w:rPr>
          <w:i/>
          <w:vertAlign w:val="subscript"/>
        </w:rPr>
        <w:t>t-1</w:t>
      </w:r>
      <w:r>
        <w:rPr>
          <w:i/>
          <w:vertAlign w:val="subscript"/>
        </w:rPr>
        <w:tab/>
      </w:r>
      <w:r>
        <w:t xml:space="preserve">is the sum of all Recoverable Costs of the Exempt EDB </w:t>
      </w:r>
      <w:r w:rsidR="00C05BBF">
        <w:t>for</w:t>
      </w:r>
      <w:r>
        <w:t xml:space="preserve"> the Assessment Period prior to year </w:t>
      </w:r>
      <w:r>
        <w:rPr>
          <w:i/>
        </w:rPr>
        <w:t>t</w:t>
      </w:r>
      <w:r>
        <w:t>; and</w:t>
      </w:r>
    </w:p>
    <w:p w:rsidR="007262CC" w:rsidRPr="002F54CC" w:rsidRDefault="007262CC" w:rsidP="007262CC">
      <w:pPr>
        <w:pStyle w:val="Para1"/>
        <w:ind w:left="2574" w:hanging="1134"/>
        <w:rPr>
          <w:szCs w:val="24"/>
        </w:rPr>
      </w:pPr>
      <w:r w:rsidRPr="00821688">
        <w:rPr>
          <w:rFonts w:ascii="Times New Roman" w:hAnsi="Times New Roman"/>
          <w:position w:val="-12"/>
          <w:szCs w:val="24"/>
        </w:rPr>
        <w:object w:dxaOrig="660" w:dyaOrig="360">
          <v:shape id="_x0000_i1040" type="#_x0000_t75" style="width:47.65pt;height:21.2pt" o:ole="">
            <v:imagedata r:id="rId39" o:title=""/>
          </v:shape>
          <o:OLEObject Type="Embed" ProgID="Equation.3" ShapeID="_x0000_i1040" DrawAspect="Content" ObjectID="_1476274125" r:id="rId40"/>
        </w:object>
      </w:r>
      <w:r>
        <w:rPr>
          <w:rFonts w:ascii="Times New Roman" w:hAnsi="Times New Roman"/>
          <w:szCs w:val="24"/>
        </w:rPr>
        <w:tab/>
      </w:r>
      <w:proofErr w:type="gramStart"/>
      <w:r w:rsidRPr="002F54CC">
        <w:rPr>
          <w:szCs w:val="24"/>
        </w:rPr>
        <w:t>is</w:t>
      </w:r>
      <w:proofErr w:type="gramEnd"/>
      <w:r w:rsidRPr="002F54CC">
        <w:rPr>
          <w:szCs w:val="24"/>
        </w:rPr>
        <w:t xml:space="preserve"> the derived change in the CPI to be applied for the Assessment Period ending in year </w:t>
      </w:r>
      <w:r w:rsidRPr="002F54CC">
        <w:rPr>
          <w:i/>
          <w:szCs w:val="24"/>
        </w:rPr>
        <w:t>t</w:t>
      </w:r>
      <w:r w:rsidRPr="002F54CC">
        <w:rPr>
          <w:szCs w:val="24"/>
        </w:rPr>
        <w:t>, being equal to:</w:t>
      </w:r>
    </w:p>
    <w:p w:rsidR="007262CC" w:rsidRPr="002F54CC" w:rsidRDefault="007262CC" w:rsidP="00F11DE1">
      <w:pPr>
        <w:spacing w:before="60" w:after="60" w:line="264" w:lineRule="auto"/>
        <w:ind w:left="2574" w:right="57"/>
        <w:jc w:val="center"/>
        <w:rPr>
          <w:szCs w:val="24"/>
        </w:rPr>
      </w:pPr>
      <w:r w:rsidRPr="00821688">
        <w:rPr>
          <w:position w:val="-32"/>
          <w:szCs w:val="24"/>
        </w:rPr>
        <w:object w:dxaOrig="4819" w:dyaOrig="740">
          <v:shape id="_x0000_i1041" type="#_x0000_t75" style="width:240.35pt;height:37.05pt" o:ole="" fillcolor="window">
            <v:imagedata r:id="rId31" o:title=""/>
          </v:shape>
          <o:OLEObject Type="Embed" ProgID="Equation.3" ShapeID="_x0000_i1041" DrawAspect="Content" ObjectID="_1476274126" r:id="rId41"/>
        </w:object>
      </w:r>
    </w:p>
    <w:p w:rsidR="007262CC" w:rsidRPr="002F54CC" w:rsidRDefault="007262CC" w:rsidP="007262CC">
      <w:pPr>
        <w:spacing w:before="60" w:after="60" w:line="264" w:lineRule="auto"/>
        <w:ind w:left="2574" w:right="57"/>
        <w:rPr>
          <w:szCs w:val="24"/>
        </w:rPr>
      </w:pPr>
      <w:proofErr w:type="gramStart"/>
      <w:r>
        <w:rPr>
          <w:szCs w:val="24"/>
        </w:rPr>
        <w:t>w</w:t>
      </w:r>
      <w:r w:rsidRPr="002F54CC">
        <w:rPr>
          <w:szCs w:val="24"/>
        </w:rPr>
        <w:t>here</w:t>
      </w:r>
      <w:r>
        <w:rPr>
          <w:szCs w:val="24"/>
        </w:rPr>
        <w:t>-</w:t>
      </w:r>
      <w:proofErr w:type="gramEnd"/>
    </w:p>
    <w:p w:rsidR="007262CC" w:rsidRDefault="007262CC" w:rsidP="007262CC">
      <w:pPr>
        <w:pStyle w:val="Para1"/>
        <w:ind w:left="3708" w:hanging="1134"/>
        <w:rPr>
          <w:szCs w:val="24"/>
        </w:rPr>
      </w:pPr>
      <w:proofErr w:type="spellStart"/>
      <w:r w:rsidRPr="00821688">
        <w:rPr>
          <w:rFonts w:ascii="Times New Roman" w:hAnsi="Times New Roman"/>
          <w:i/>
          <w:szCs w:val="24"/>
        </w:rPr>
        <w:t>CPI</w:t>
      </w:r>
      <w:r w:rsidRPr="00821688">
        <w:rPr>
          <w:rStyle w:val="Emphasis-Subscript"/>
          <w:rFonts w:ascii="Times New Roman" w:hAnsi="Times New Roman"/>
          <w:i/>
          <w:szCs w:val="24"/>
        </w:rPr>
        <w:t>q</w:t>
      </w:r>
      <w:proofErr w:type="spellEnd"/>
      <w:r w:rsidRPr="00821688">
        <w:rPr>
          <w:rStyle w:val="Emphasis-Subscript"/>
          <w:rFonts w:ascii="Times New Roman" w:hAnsi="Times New Roman"/>
          <w:i/>
          <w:szCs w:val="24"/>
        </w:rPr>
        <w:t>, t-n</w:t>
      </w:r>
      <w:r w:rsidRPr="002F54CC">
        <w:rPr>
          <w:szCs w:val="24"/>
        </w:rPr>
        <w:t xml:space="preserve"> </w:t>
      </w:r>
      <w:r>
        <w:rPr>
          <w:szCs w:val="24"/>
        </w:rPr>
        <w:tab/>
      </w:r>
      <w:r w:rsidRPr="002F54CC">
        <w:rPr>
          <w:szCs w:val="24"/>
        </w:rPr>
        <w:t xml:space="preserve">is the CPI for the quarter year ending </w:t>
      </w:r>
      <w:r w:rsidRPr="00821688">
        <w:rPr>
          <w:rFonts w:ascii="Times New Roman" w:hAnsi="Times New Roman"/>
          <w:i/>
          <w:szCs w:val="24"/>
        </w:rPr>
        <w:t>q</w:t>
      </w:r>
      <w:r w:rsidRPr="002F54CC">
        <w:rPr>
          <w:szCs w:val="24"/>
        </w:rPr>
        <w:t xml:space="preserve"> in the 12 month period </w:t>
      </w:r>
      <w:r w:rsidRPr="002F54CC">
        <w:rPr>
          <w:i/>
          <w:szCs w:val="24"/>
        </w:rPr>
        <w:t>n</w:t>
      </w:r>
      <w:r w:rsidRPr="002F54CC">
        <w:rPr>
          <w:szCs w:val="24"/>
        </w:rPr>
        <w:t xml:space="preserve"> years prior to year </w:t>
      </w:r>
      <w:r w:rsidRPr="002F54CC">
        <w:rPr>
          <w:i/>
          <w:szCs w:val="24"/>
        </w:rPr>
        <w:t>t</w:t>
      </w:r>
      <w:r w:rsidR="00FF0D8F">
        <w:rPr>
          <w:szCs w:val="24"/>
        </w:rPr>
        <w:t>; and</w:t>
      </w:r>
    </w:p>
    <w:p w:rsidR="007262CC" w:rsidRDefault="007262CC" w:rsidP="007262CC">
      <w:pPr>
        <w:pStyle w:val="BodyTextIndent"/>
        <w:ind w:left="1418" w:hanging="709"/>
      </w:pPr>
      <w:r>
        <w:t>(b)</w:t>
      </w:r>
      <w:r>
        <w:tab/>
      </w:r>
      <w:proofErr w:type="gramStart"/>
      <w:r>
        <w:t>in</w:t>
      </w:r>
      <w:r w:rsidRPr="004F3590">
        <w:t>clude</w:t>
      </w:r>
      <w:proofErr w:type="gramEnd"/>
      <w:r w:rsidRPr="004F3590">
        <w:t xml:space="preserve"> a</w:t>
      </w:r>
      <w:r>
        <w:t xml:space="preserve"> proportion of</w:t>
      </w:r>
      <w:r w:rsidRPr="004F3590">
        <w:t xml:space="preserve"> Pass-through Costs and Recoverable Costs </w:t>
      </w:r>
      <w:r>
        <w:t xml:space="preserve">for the Assessment Period </w:t>
      </w:r>
      <w:r w:rsidRPr="004F3590">
        <w:t xml:space="preserve">for the purposes of calculating </w:t>
      </w:r>
      <w:r>
        <w:t>the Pass-through Balance, being equal to:</w:t>
      </w:r>
    </w:p>
    <w:p w:rsidR="007262CC" w:rsidRPr="00AF5E23" w:rsidRDefault="00AC0F20" w:rsidP="007262CC">
      <w:pPr>
        <w:pStyle w:val="Para1"/>
        <w:ind w:left="2574" w:hanging="1134"/>
        <w:jc w:val="center"/>
      </w:pPr>
      <w:r w:rsidRPr="00AC0F20">
        <w:rPr>
          <w:color w:val="1F497D" w:themeColor="text2"/>
          <w:u w:val="single"/>
        </w:rPr>
        <w:t>(</w:t>
      </w:r>
      <w:proofErr w:type="spellStart"/>
      <w:r w:rsidRPr="00AC0F20">
        <w:rPr>
          <w:i/>
          <w:color w:val="1F497D" w:themeColor="text2"/>
          <w:u w:val="single"/>
        </w:rPr>
        <w:t>K</w:t>
      </w:r>
      <w:r w:rsidRPr="00AC0F20">
        <w:rPr>
          <w:i/>
          <w:color w:val="1F497D" w:themeColor="text2"/>
          <w:u w:val="single"/>
          <w:vertAlign w:val="subscript"/>
        </w:rPr>
        <w:t>t</w:t>
      </w:r>
      <w:proofErr w:type="spellEnd"/>
      <w:r w:rsidRPr="00AC0F20">
        <w:rPr>
          <w:color w:val="1F497D" w:themeColor="text2"/>
          <w:u w:val="single"/>
        </w:rPr>
        <w:t xml:space="preserve"> + </w:t>
      </w:r>
      <w:proofErr w:type="spellStart"/>
      <w:proofErr w:type="gramStart"/>
      <w:r w:rsidRPr="00AC0F20">
        <w:rPr>
          <w:i/>
          <w:color w:val="1F497D" w:themeColor="text2"/>
          <w:u w:val="single"/>
        </w:rPr>
        <w:t>V</w:t>
      </w:r>
      <w:r w:rsidRPr="00AC0F20">
        <w:rPr>
          <w:i/>
          <w:color w:val="1F497D" w:themeColor="text2"/>
          <w:u w:val="single"/>
          <w:vertAlign w:val="subscript"/>
        </w:rPr>
        <w:t>t</w:t>
      </w:r>
      <w:proofErr w:type="spellEnd"/>
      <w:proofErr w:type="gramEnd"/>
      <w:r w:rsidRPr="00AC0F20">
        <w:rPr>
          <w:color w:val="1F497D" w:themeColor="text2"/>
          <w:u w:val="single"/>
        </w:rPr>
        <w:t>)</w:t>
      </w:r>
      <w:r w:rsidRPr="00AC0F20">
        <w:rPr>
          <w:i/>
          <w:color w:val="1F497D" w:themeColor="text2"/>
          <w:u w:val="single"/>
          <w:vertAlign w:val="subscript"/>
        </w:rPr>
        <w:t xml:space="preserve"> </w:t>
      </w:r>
      <w:r w:rsidRPr="00AC0F20">
        <w:rPr>
          <w:color w:val="1F497D" w:themeColor="text2"/>
          <w:position w:val="-4"/>
          <w:u w:val="single"/>
        </w:rPr>
        <w:object w:dxaOrig="180" w:dyaOrig="200">
          <v:shape id="_x0000_i1042" type="#_x0000_t75" style="width:9.55pt;height:9.55pt" o:ole="">
            <v:imagedata r:id="rId42" o:title=""/>
          </v:shape>
          <o:OLEObject Type="Embed" ProgID="Equation.3" ShapeID="_x0000_i1042" DrawAspect="Content" ObjectID="_1476274127" r:id="rId43"/>
        </w:object>
      </w:r>
      <w:r w:rsidR="00C05BBF">
        <w:t>Transaction Factor</w:t>
      </w:r>
      <w:r w:rsidR="007262CC">
        <w:t xml:space="preserve"> </w:t>
      </w:r>
      <w:r w:rsidR="005358C2" w:rsidRPr="00810696">
        <w:rPr>
          <w:position w:val="-4"/>
        </w:rPr>
        <w:object w:dxaOrig="180" w:dyaOrig="200">
          <v:shape id="_x0000_i1043" type="#_x0000_t75" style="width:9.55pt;height:9.55pt" o:ole="">
            <v:imagedata r:id="rId44" o:title=""/>
          </v:shape>
          <o:OLEObject Type="Embed" ProgID="Equation.3" ShapeID="_x0000_i1043" DrawAspect="Content" ObjectID="_1476274128" r:id="rId45"/>
        </w:object>
      </w:r>
      <w:r w:rsidR="007262CC" w:rsidRPr="00AC0F20">
        <w:rPr>
          <w:strike/>
          <w:color w:val="1F497D" w:themeColor="text2"/>
        </w:rPr>
        <w:t>(</w:t>
      </w:r>
      <w:proofErr w:type="spellStart"/>
      <w:r w:rsidR="007262CC" w:rsidRPr="00AC0F20">
        <w:rPr>
          <w:i/>
          <w:strike/>
          <w:color w:val="1F497D" w:themeColor="text2"/>
        </w:rPr>
        <w:t>K</w:t>
      </w:r>
      <w:r w:rsidR="007262CC" w:rsidRPr="00AC0F20">
        <w:rPr>
          <w:i/>
          <w:strike/>
          <w:color w:val="1F497D" w:themeColor="text2"/>
          <w:vertAlign w:val="subscript"/>
        </w:rPr>
        <w:t>t</w:t>
      </w:r>
      <w:proofErr w:type="spellEnd"/>
      <w:r w:rsidR="007262CC" w:rsidRPr="00AC0F20">
        <w:rPr>
          <w:strike/>
          <w:color w:val="1F497D" w:themeColor="text2"/>
        </w:rPr>
        <w:t xml:space="preserve"> + </w:t>
      </w:r>
      <w:proofErr w:type="spellStart"/>
      <w:proofErr w:type="gramStart"/>
      <w:r w:rsidR="007262CC" w:rsidRPr="00AC0F20">
        <w:rPr>
          <w:i/>
          <w:strike/>
          <w:color w:val="1F497D" w:themeColor="text2"/>
        </w:rPr>
        <w:t>V</w:t>
      </w:r>
      <w:r w:rsidR="007262CC" w:rsidRPr="00AC0F20">
        <w:rPr>
          <w:i/>
          <w:strike/>
          <w:color w:val="1F497D" w:themeColor="text2"/>
          <w:vertAlign w:val="subscript"/>
        </w:rPr>
        <w:t>t</w:t>
      </w:r>
      <w:proofErr w:type="spellEnd"/>
      <w:proofErr w:type="gramEnd"/>
      <w:r w:rsidR="007262CC" w:rsidRPr="00AC0F20">
        <w:rPr>
          <w:strike/>
          <w:color w:val="1F497D" w:themeColor="text2"/>
        </w:rPr>
        <w:t>)</w:t>
      </w:r>
      <w:r w:rsidR="005358C2" w:rsidRPr="00AC0F20">
        <w:rPr>
          <w:i/>
          <w:strike/>
          <w:color w:val="1F497D" w:themeColor="text2"/>
          <w:vertAlign w:val="subscript"/>
        </w:rPr>
        <w:t xml:space="preserve"> </w:t>
      </w:r>
      <w:r w:rsidR="005358C2" w:rsidRPr="00AC0F20">
        <w:rPr>
          <w:strike/>
          <w:color w:val="1F497D" w:themeColor="text2"/>
          <w:position w:val="-4"/>
        </w:rPr>
        <w:object w:dxaOrig="180" w:dyaOrig="200">
          <v:shape id="_x0000_i1044" type="#_x0000_t75" style="width:9.55pt;height:9.55pt" o:ole="">
            <v:imagedata r:id="rId42" o:title=""/>
          </v:shape>
          <o:OLEObject Type="Embed" ProgID="Equation.3" ShapeID="_x0000_i1044" DrawAspect="Content" ObjectID="_1476274129" r:id="rId46"/>
        </w:object>
      </w:r>
      <w:r w:rsidR="005358C2">
        <w:t xml:space="preserve"> Part-year Factor</w:t>
      </w:r>
    </w:p>
    <w:p w:rsidR="007262CC" w:rsidRDefault="007262CC" w:rsidP="007262CC">
      <w:pPr>
        <w:pStyle w:val="Para1"/>
        <w:ind w:left="2574" w:hanging="1134"/>
      </w:pPr>
      <w:proofErr w:type="gramStart"/>
      <w:r>
        <w:t>where</w:t>
      </w:r>
      <w:proofErr w:type="gramEnd"/>
      <w:r>
        <w:t>–</w:t>
      </w:r>
    </w:p>
    <w:p w:rsidR="007262CC" w:rsidRPr="00AF5E23" w:rsidRDefault="007262CC" w:rsidP="007262CC">
      <w:pPr>
        <w:pStyle w:val="Para1"/>
        <w:ind w:left="2574" w:hanging="1134"/>
      </w:pPr>
      <w:r w:rsidRPr="00AF5E23">
        <w:rPr>
          <w:i/>
        </w:rPr>
        <w:t>K</w:t>
      </w:r>
      <w:r w:rsidRPr="00AF5E23">
        <w:rPr>
          <w:i/>
          <w:vertAlign w:val="subscript"/>
        </w:rPr>
        <w:t>t</w:t>
      </w:r>
      <w:r w:rsidR="004F466D" w:rsidRPr="00AC0F20">
        <w:rPr>
          <w:i/>
          <w:strike/>
          <w:color w:val="1F497D" w:themeColor="text2"/>
          <w:vertAlign w:val="subscript"/>
        </w:rPr>
        <w:t>-1</w:t>
      </w:r>
      <w:r>
        <w:tab/>
        <w:t>is the sum of all Pass-through Costs of the Exempt EDB</w:t>
      </w:r>
      <w:r w:rsidR="002F171E">
        <w:t xml:space="preserve"> </w:t>
      </w:r>
      <w:r w:rsidR="00C05BBF">
        <w:t>for</w:t>
      </w:r>
      <w:r>
        <w:t xml:space="preserve"> the Assessment Period</w:t>
      </w:r>
      <w:r w:rsidR="004F466D">
        <w:t xml:space="preserve"> </w:t>
      </w:r>
      <w:r>
        <w:rPr>
          <w:i/>
        </w:rPr>
        <w:t>t</w:t>
      </w:r>
      <w:r>
        <w:t>;</w:t>
      </w:r>
    </w:p>
    <w:p w:rsidR="007262CC" w:rsidRDefault="007262CC" w:rsidP="007262CC">
      <w:pPr>
        <w:pStyle w:val="Para1"/>
        <w:ind w:left="2574" w:hanging="1134"/>
      </w:pPr>
      <w:r>
        <w:rPr>
          <w:i/>
        </w:rPr>
        <w:t>V</w:t>
      </w:r>
      <w:r>
        <w:rPr>
          <w:i/>
          <w:vertAlign w:val="subscript"/>
        </w:rPr>
        <w:t>t</w:t>
      </w:r>
      <w:r w:rsidR="004F466D" w:rsidRPr="00AC0F20">
        <w:rPr>
          <w:i/>
          <w:strike/>
          <w:color w:val="1F497D" w:themeColor="text2"/>
          <w:vertAlign w:val="subscript"/>
        </w:rPr>
        <w:t>-1</w:t>
      </w:r>
      <w:r>
        <w:rPr>
          <w:i/>
          <w:vertAlign w:val="subscript"/>
        </w:rPr>
        <w:tab/>
      </w:r>
      <w:r>
        <w:t xml:space="preserve">is the sum of all Recoverable Costs of the Exempt EDB </w:t>
      </w:r>
      <w:r w:rsidR="00C05BBF">
        <w:t>for</w:t>
      </w:r>
      <w:r>
        <w:t xml:space="preserve"> the Assessment Period</w:t>
      </w:r>
      <w:r w:rsidR="004F466D">
        <w:t xml:space="preserve"> </w:t>
      </w:r>
      <w:r>
        <w:rPr>
          <w:i/>
        </w:rPr>
        <w:t>t</w:t>
      </w:r>
      <w:r w:rsidR="00FF0D8F">
        <w:t>.</w:t>
      </w:r>
    </w:p>
    <w:p w:rsidR="007262CC" w:rsidRPr="00C32C8A" w:rsidRDefault="007262CC" w:rsidP="007262CC">
      <w:pPr>
        <w:pStyle w:val="BodyTextIndent"/>
        <w:ind w:hanging="709"/>
      </w:pPr>
      <w:r>
        <w:t>7.</w:t>
      </w:r>
      <w:r>
        <w:tab/>
      </w:r>
      <w:r w:rsidRPr="002E2D38">
        <w:rPr>
          <w:strike/>
          <w:color w:val="1F497D" w:themeColor="text2"/>
        </w:rPr>
        <w:t>Each</w:t>
      </w:r>
      <w:r>
        <w:t xml:space="preserve"> </w:t>
      </w:r>
      <w:proofErr w:type="gramStart"/>
      <w:r w:rsidR="002E2D38" w:rsidRPr="002E2D38">
        <w:rPr>
          <w:color w:val="1F497D" w:themeColor="text2"/>
          <w:u w:val="single"/>
        </w:rPr>
        <w:t>The</w:t>
      </w:r>
      <w:proofErr w:type="gramEnd"/>
      <w:r w:rsidR="002E2D38">
        <w:t xml:space="preserve"> </w:t>
      </w:r>
      <w:r>
        <w:t xml:space="preserve">Non-exempt EDB must, in the Assessment Period in which </w:t>
      </w:r>
      <w:r w:rsidR="002E2D38" w:rsidRPr="002E2D38">
        <w:rPr>
          <w:strike/>
          <w:color w:val="1F497D" w:themeColor="text2"/>
        </w:rPr>
        <w:t>consumers</w:t>
      </w:r>
      <w:r w:rsidR="002E2D38" w:rsidRPr="002E2D38">
        <w:t xml:space="preserve"> </w:t>
      </w:r>
      <w:r w:rsidR="002E2D38" w:rsidRPr="002E2D38">
        <w:rPr>
          <w:color w:val="1F497D" w:themeColor="text2"/>
          <w:u w:val="single"/>
        </w:rPr>
        <w:t>ICPs</w:t>
      </w:r>
      <w:r w:rsidR="002E2D38">
        <w:t xml:space="preserve"> </w:t>
      </w:r>
      <w:r>
        <w:t>are or will be first supplied Electricity Lines Services by an Exempt EDB as a result of a Major Transaction with the Exempt EDB –</w:t>
      </w:r>
    </w:p>
    <w:p w:rsidR="007262CC" w:rsidRDefault="007262CC" w:rsidP="007262CC">
      <w:pPr>
        <w:pStyle w:val="BodyTextIndent"/>
        <w:ind w:left="1418" w:hanging="709"/>
      </w:pPr>
      <w:r>
        <w:t>(a)</w:t>
      </w:r>
      <w:r>
        <w:tab/>
      </w:r>
      <w:proofErr w:type="gramStart"/>
      <w:r>
        <w:t>re-calculate</w:t>
      </w:r>
      <w:proofErr w:type="gramEnd"/>
      <w:r>
        <w:t xml:space="preserve"> its allowable notional revenue for the </w:t>
      </w:r>
      <w:proofErr w:type="spellStart"/>
      <w:r w:rsidRPr="002E2D38">
        <w:rPr>
          <w:strike/>
          <w:color w:val="1F497D" w:themeColor="text2"/>
        </w:rPr>
        <w:t>a</w:t>
      </w:r>
      <w:r w:rsidR="002E2D38" w:rsidRPr="002E2D38">
        <w:rPr>
          <w:color w:val="1F497D" w:themeColor="text2"/>
          <w:u w:val="single"/>
        </w:rPr>
        <w:t>A</w:t>
      </w:r>
      <w:r>
        <w:t>ssessment</w:t>
      </w:r>
      <w:proofErr w:type="spellEnd"/>
      <w:r>
        <w:t xml:space="preserve"> </w:t>
      </w:r>
      <w:proofErr w:type="spellStart"/>
      <w:r w:rsidRPr="002E2D38">
        <w:rPr>
          <w:strike/>
          <w:color w:val="1F497D" w:themeColor="text2"/>
        </w:rPr>
        <w:t>p</w:t>
      </w:r>
      <w:r w:rsidR="002E2D38" w:rsidRPr="002E2D38">
        <w:rPr>
          <w:u w:val="single"/>
        </w:rPr>
        <w:t>P</w:t>
      </w:r>
      <w:r>
        <w:t>eriod</w:t>
      </w:r>
      <w:proofErr w:type="spellEnd"/>
      <w:r>
        <w:t xml:space="preserve"> in accordance with the formula–</w:t>
      </w:r>
    </w:p>
    <w:p w:rsidR="007262CC" w:rsidRDefault="007262CC" w:rsidP="007262CC">
      <w:pPr>
        <w:pStyle w:val="Para1"/>
        <w:tabs>
          <w:tab w:val="clear" w:pos="709"/>
        </w:tabs>
        <w:ind w:left="0" w:firstLine="0"/>
      </w:pPr>
      <m:oMathPara>
        <m:oMath>
          <m:r>
            <w:rPr>
              <w:rFonts w:ascii="Cambria Math" w:hAnsi="Cambria Math"/>
            </w:rPr>
            <m:t xml:space="preserve">ANR= </m:t>
          </m:r>
          <m:sSub>
            <m:sSubPr>
              <m:ctrlPr>
                <w:rPr>
                  <w:rFonts w:ascii="Cambria Math" w:hAnsi="Cambria Math"/>
                  <w:i/>
                </w:rPr>
              </m:ctrlPr>
            </m:sSubPr>
            <m:e>
              <m:r>
                <w:rPr>
                  <w:rFonts w:ascii="Cambria Math" w:hAnsi="Cambria Math"/>
                </w:rPr>
                <m:t>ANR</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ANR</m:t>
              </m:r>
            </m:e>
            <m:sub>
              <m:r>
                <w:rPr>
                  <w:rFonts w:ascii="Cambria Math" w:hAnsi="Cambria Math"/>
                </w:rPr>
                <m:t>p</m:t>
              </m:r>
            </m:sub>
          </m:sSub>
          <m:r>
            <m:rPr>
              <m:sty m:val="p"/>
            </m:rPr>
            <w:rPr>
              <w:rFonts w:ascii="Cambria Math" w:hAnsi="Cambria Math"/>
              <w:position w:val="-4"/>
            </w:rPr>
            <w:object w:dxaOrig="180" w:dyaOrig="200">
              <v:shape id="_x0000_i1045" type="#_x0000_t75" style="width:9.55pt;height:9.55pt" o:ole="">
                <v:imagedata r:id="rId42" o:title=""/>
              </v:shape>
              <o:OLEObject Type="Embed" ProgID="Equation.3" ShapeID="_x0000_i1045" DrawAspect="Content" ObjectID="_1476274130" r:id="rId47"/>
            </w:object>
          </m:r>
          <m:r>
            <m:rPr>
              <m:sty m:val="p"/>
            </m:rPr>
            <w:rPr>
              <w:rFonts w:ascii="Cambria Math" w:hAnsi="Cambria Math"/>
            </w:rPr>
            <m:t xml:space="preserve"> </m:t>
          </m:r>
          <m:r>
            <w:rPr>
              <w:rFonts w:ascii="Cambria Math" w:hAnsi="Cambria Math"/>
            </w:rPr>
            <m:t>Transaction Factor</m:t>
          </m:r>
          <m:r>
            <w:rPr>
              <w:rFonts w:ascii="Cambria Math" w:hAnsi="Cambria Math"/>
              <w:vertAlign w:val="subscript"/>
            </w:rPr>
            <m:t xml:space="preserve"> </m:t>
          </m:r>
          <m:r>
            <m:rPr>
              <m:sty m:val="p"/>
            </m:rPr>
            <w:rPr>
              <w:rFonts w:ascii="Cambria Math" w:hAnsi="Cambria Math"/>
              <w:position w:val="-4"/>
            </w:rPr>
            <w:object w:dxaOrig="180" w:dyaOrig="200">
              <v:shape id="_x0000_i1046" type="#_x0000_t75" style="width:9.55pt;height:9.55pt" o:ole="">
                <v:imagedata r:id="rId42" o:title=""/>
              </v:shape>
              <o:OLEObject Type="Embed" ProgID="Equation.3" ShapeID="_x0000_i1046" DrawAspect="Content" ObjectID="_1476274131" r:id="rId48"/>
            </w:object>
          </m:r>
          <m:r>
            <m:rPr>
              <m:sty m:val="p"/>
            </m:rPr>
            <w:rPr>
              <w:rFonts w:ascii="Cambria Math" w:hAnsi="Cambria Math"/>
            </w:rPr>
            <m:t xml:space="preserve"> Part-year Factor</m:t>
          </m:r>
          <m:r>
            <w:rPr>
              <w:rFonts w:ascii="Cambria Math" w:hAnsi="Cambria Math"/>
            </w:rPr>
            <m:t>)</m:t>
          </m:r>
        </m:oMath>
      </m:oMathPara>
    </w:p>
    <w:p w:rsidR="007262CC" w:rsidRDefault="007262CC" w:rsidP="00C51334">
      <w:pPr>
        <w:pStyle w:val="Para1"/>
        <w:ind w:left="2127"/>
      </w:pPr>
      <w:proofErr w:type="gramStart"/>
      <w:r>
        <w:t>where</w:t>
      </w:r>
      <w:proofErr w:type="gramEnd"/>
      <w:r>
        <w:t>–</w:t>
      </w:r>
    </w:p>
    <w:p w:rsidR="00FF0D8F" w:rsidRDefault="00C05BBF" w:rsidP="007262CC">
      <w:pPr>
        <w:pStyle w:val="Para1"/>
        <w:ind w:left="2574" w:hanging="1134"/>
        <w:rPr>
          <w:szCs w:val="24"/>
        </w:rPr>
      </w:pPr>
      <w:proofErr w:type="spellStart"/>
      <w:r>
        <w:rPr>
          <w:i/>
        </w:rPr>
        <w:t>ANR</w:t>
      </w:r>
      <w:r w:rsidRPr="00C05BBF">
        <w:rPr>
          <w:i/>
          <w:vertAlign w:val="subscript"/>
        </w:rPr>
        <w:t>p</w:t>
      </w:r>
      <w:proofErr w:type="spellEnd"/>
      <w:r>
        <w:tab/>
      </w:r>
      <w:r w:rsidRPr="00F337D6">
        <w:rPr>
          <w:szCs w:val="24"/>
        </w:rPr>
        <w:t xml:space="preserve">is the </w:t>
      </w:r>
      <w:r w:rsidRPr="00C05BBF">
        <w:rPr>
          <w:rStyle w:val="Emphasis-Remove"/>
          <w:szCs w:val="24"/>
        </w:rPr>
        <w:t>allowable notional revenue</w:t>
      </w:r>
      <w:r>
        <w:rPr>
          <w:szCs w:val="24"/>
        </w:rPr>
        <w:t>, calculated in accordance with Schedule 3A or 3B, that would have applied for the Assessment Period absent the transaction</w:t>
      </w:r>
      <w:r w:rsidR="00FF0D8F">
        <w:rPr>
          <w:szCs w:val="24"/>
        </w:rPr>
        <w:t>; and</w:t>
      </w:r>
      <w:r w:rsidDel="00C05BBF">
        <w:rPr>
          <w:i/>
        </w:rPr>
        <w:t xml:space="preserve"> </w:t>
      </w:r>
    </w:p>
    <w:p w:rsidR="007262CC" w:rsidRDefault="007262CC" w:rsidP="007262CC">
      <w:pPr>
        <w:pStyle w:val="BodyTextIndent"/>
        <w:ind w:left="1418" w:hanging="709"/>
      </w:pPr>
      <w:r>
        <w:t>(b)</w:t>
      </w:r>
      <w:r>
        <w:tab/>
      </w:r>
      <w:proofErr w:type="gramStart"/>
      <w:r w:rsidRPr="004F3590">
        <w:t>exclude</w:t>
      </w:r>
      <w:proofErr w:type="gramEnd"/>
      <w:r w:rsidRPr="004F3590">
        <w:t xml:space="preserve"> a</w:t>
      </w:r>
      <w:r>
        <w:t xml:space="preserve"> proportion of</w:t>
      </w:r>
      <w:r w:rsidRPr="004F3590">
        <w:t xml:space="preserve"> Pass-through Costs and Recoverable Costs </w:t>
      </w:r>
      <w:r>
        <w:t xml:space="preserve">for the Assessment Period </w:t>
      </w:r>
      <w:r w:rsidRPr="004F3590">
        <w:t xml:space="preserve">for the purposes of calculating </w:t>
      </w:r>
      <w:r>
        <w:t>the Pass-through Balance, being equal to:</w:t>
      </w:r>
    </w:p>
    <w:p w:rsidR="007262CC" w:rsidRPr="00AF5E23" w:rsidRDefault="00AC0F20" w:rsidP="007262CC">
      <w:pPr>
        <w:pStyle w:val="Para1"/>
        <w:ind w:left="2574" w:hanging="1134"/>
        <w:jc w:val="center"/>
      </w:pPr>
      <w:r w:rsidRPr="00AC0F20">
        <w:rPr>
          <w:color w:val="1F497D" w:themeColor="text2"/>
          <w:u w:val="single"/>
        </w:rPr>
        <w:t>(</w:t>
      </w:r>
      <w:proofErr w:type="spellStart"/>
      <w:r w:rsidRPr="00AC0F20">
        <w:rPr>
          <w:i/>
          <w:color w:val="1F497D" w:themeColor="text2"/>
          <w:u w:val="single"/>
        </w:rPr>
        <w:t>K</w:t>
      </w:r>
      <w:r w:rsidRPr="00AC0F20">
        <w:rPr>
          <w:i/>
          <w:color w:val="1F497D" w:themeColor="text2"/>
          <w:u w:val="single"/>
          <w:vertAlign w:val="subscript"/>
        </w:rPr>
        <w:t>t</w:t>
      </w:r>
      <w:proofErr w:type="spellEnd"/>
      <w:r w:rsidRPr="00AC0F20">
        <w:rPr>
          <w:color w:val="1F497D" w:themeColor="text2"/>
          <w:u w:val="single"/>
        </w:rPr>
        <w:t xml:space="preserve"> + </w:t>
      </w:r>
      <w:proofErr w:type="spellStart"/>
      <w:proofErr w:type="gramStart"/>
      <w:r w:rsidRPr="00AC0F20">
        <w:rPr>
          <w:i/>
          <w:color w:val="1F497D" w:themeColor="text2"/>
          <w:u w:val="single"/>
        </w:rPr>
        <w:t>V</w:t>
      </w:r>
      <w:r w:rsidRPr="00AC0F20">
        <w:rPr>
          <w:i/>
          <w:color w:val="1F497D" w:themeColor="text2"/>
          <w:u w:val="single"/>
          <w:vertAlign w:val="subscript"/>
        </w:rPr>
        <w:t>t</w:t>
      </w:r>
      <w:proofErr w:type="spellEnd"/>
      <w:proofErr w:type="gramEnd"/>
      <w:r w:rsidRPr="00AC0F20">
        <w:rPr>
          <w:color w:val="1F497D" w:themeColor="text2"/>
          <w:u w:val="single"/>
        </w:rPr>
        <w:t xml:space="preserve">) </w:t>
      </w:r>
      <w:r w:rsidRPr="00AC0F20">
        <w:rPr>
          <w:color w:val="1F497D" w:themeColor="text2"/>
          <w:position w:val="-4"/>
          <w:u w:val="single"/>
        </w:rPr>
        <w:object w:dxaOrig="180" w:dyaOrig="200">
          <v:shape id="_x0000_i1047" type="#_x0000_t75" style="width:9.55pt;height:9.55pt" o:ole="">
            <v:imagedata r:id="rId42" o:title=""/>
          </v:shape>
          <o:OLEObject Type="Embed" ProgID="Equation.3" ShapeID="_x0000_i1047" DrawAspect="Content" ObjectID="_1476274132" r:id="rId49"/>
        </w:object>
      </w:r>
      <w:r w:rsidR="00C05BBF">
        <w:t>Transaction Factor</w:t>
      </w:r>
      <w:r w:rsidR="007262CC">
        <w:t xml:space="preserve"> </w:t>
      </w:r>
      <w:r w:rsidR="005358C2" w:rsidRPr="00810696">
        <w:rPr>
          <w:position w:val="-4"/>
        </w:rPr>
        <w:object w:dxaOrig="180" w:dyaOrig="200">
          <v:shape id="_x0000_i1048" type="#_x0000_t75" style="width:9.55pt;height:9.55pt" o:ole="">
            <v:imagedata r:id="rId42" o:title=""/>
          </v:shape>
          <o:OLEObject Type="Embed" ProgID="Equation.3" ShapeID="_x0000_i1048" DrawAspect="Content" ObjectID="_1476274133" r:id="rId50"/>
        </w:object>
      </w:r>
      <w:r w:rsidR="007262CC">
        <w:t xml:space="preserve"> </w:t>
      </w:r>
      <w:r w:rsidR="007262CC" w:rsidRPr="00AC0F20">
        <w:rPr>
          <w:strike/>
          <w:color w:val="1F497D" w:themeColor="text2"/>
        </w:rPr>
        <w:t>(</w:t>
      </w:r>
      <w:proofErr w:type="spellStart"/>
      <w:r w:rsidR="007262CC" w:rsidRPr="00AC0F20">
        <w:rPr>
          <w:i/>
          <w:strike/>
          <w:color w:val="1F497D" w:themeColor="text2"/>
        </w:rPr>
        <w:t>K</w:t>
      </w:r>
      <w:r w:rsidR="007262CC" w:rsidRPr="00AC0F20">
        <w:rPr>
          <w:i/>
          <w:strike/>
          <w:color w:val="1F497D" w:themeColor="text2"/>
          <w:vertAlign w:val="subscript"/>
        </w:rPr>
        <w:t>t</w:t>
      </w:r>
      <w:proofErr w:type="spellEnd"/>
      <w:r w:rsidR="007262CC" w:rsidRPr="00AC0F20">
        <w:rPr>
          <w:strike/>
          <w:color w:val="1F497D" w:themeColor="text2"/>
        </w:rPr>
        <w:t xml:space="preserve"> + </w:t>
      </w:r>
      <w:proofErr w:type="spellStart"/>
      <w:proofErr w:type="gramStart"/>
      <w:r w:rsidR="007262CC" w:rsidRPr="00AC0F20">
        <w:rPr>
          <w:i/>
          <w:strike/>
          <w:color w:val="1F497D" w:themeColor="text2"/>
        </w:rPr>
        <w:t>V</w:t>
      </w:r>
      <w:r w:rsidR="007262CC" w:rsidRPr="00AC0F20">
        <w:rPr>
          <w:i/>
          <w:strike/>
          <w:color w:val="1F497D" w:themeColor="text2"/>
          <w:vertAlign w:val="subscript"/>
        </w:rPr>
        <w:t>t</w:t>
      </w:r>
      <w:proofErr w:type="spellEnd"/>
      <w:proofErr w:type="gramEnd"/>
      <w:r w:rsidR="007262CC" w:rsidRPr="00AC0F20">
        <w:rPr>
          <w:strike/>
          <w:color w:val="1F497D" w:themeColor="text2"/>
        </w:rPr>
        <w:t>)</w:t>
      </w:r>
      <w:r w:rsidR="005358C2" w:rsidRPr="00AC0F20">
        <w:rPr>
          <w:strike/>
          <w:color w:val="1F497D" w:themeColor="text2"/>
        </w:rPr>
        <w:t xml:space="preserve"> </w:t>
      </w:r>
      <w:r w:rsidR="005358C2" w:rsidRPr="00AC0F20">
        <w:rPr>
          <w:strike/>
          <w:color w:val="1F497D" w:themeColor="text2"/>
          <w:position w:val="-4"/>
        </w:rPr>
        <w:object w:dxaOrig="180" w:dyaOrig="200">
          <v:shape id="_x0000_i1049" type="#_x0000_t75" style="width:9.55pt;height:9.55pt" o:ole="">
            <v:imagedata r:id="rId42" o:title=""/>
          </v:shape>
          <o:OLEObject Type="Embed" ProgID="Equation.3" ShapeID="_x0000_i1049" DrawAspect="Content" ObjectID="_1476274134" r:id="rId51"/>
        </w:object>
      </w:r>
      <w:r w:rsidR="005358C2">
        <w:t xml:space="preserve"> Part-year Factor</w:t>
      </w:r>
    </w:p>
    <w:p w:rsidR="007262CC" w:rsidRDefault="007262CC" w:rsidP="007262CC">
      <w:pPr>
        <w:pStyle w:val="Para1"/>
        <w:ind w:left="2574" w:hanging="1134"/>
      </w:pPr>
      <w:proofErr w:type="gramStart"/>
      <w:r>
        <w:t>where</w:t>
      </w:r>
      <w:proofErr w:type="gramEnd"/>
      <w:r>
        <w:t>–</w:t>
      </w:r>
    </w:p>
    <w:p w:rsidR="007262CC" w:rsidRPr="00AF5E23" w:rsidRDefault="007262CC" w:rsidP="007262CC">
      <w:pPr>
        <w:pStyle w:val="Para1"/>
        <w:ind w:left="2574" w:hanging="1134"/>
      </w:pPr>
      <w:r w:rsidRPr="00AF5E23">
        <w:rPr>
          <w:i/>
        </w:rPr>
        <w:t>K</w:t>
      </w:r>
      <w:r w:rsidRPr="00AF5E23">
        <w:rPr>
          <w:i/>
          <w:vertAlign w:val="subscript"/>
        </w:rPr>
        <w:t>t</w:t>
      </w:r>
      <w:r w:rsidR="004F466D" w:rsidRPr="00AC0F20">
        <w:rPr>
          <w:i/>
          <w:strike/>
          <w:color w:val="1F497D" w:themeColor="text2"/>
          <w:vertAlign w:val="subscript"/>
        </w:rPr>
        <w:t>-1</w:t>
      </w:r>
      <w:r>
        <w:tab/>
        <w:t xml:space="preserve">is the sum of all Pass-through Costs of the Non-exempt EDB </w:t>
      </w:r>
      <w:r w:rsidR="00C05BBF">
        <w:t>for</w:t>
      </w:r>
      <w:r>
        <w:t xml:space="preserve"> the Assessment Period</w:t>
      </w:r>
      <w:r w:rsidR="00C05BBF">
        <w:t xml:space="preserve"> </w:t>
      </w:r>
      <w:r>
        <w:rPr>
          <w:i/>
        </w:rPr>
        <w:t>t</w:t>
      </w:r>
      <w:r>
        <w:t>;</w:t>
      </w:r>
    </w:p>
    <w:p w:rsidR="007262CC" w:rsidRDefault="007262CC" w:rsidP="007262CC">
      <w:pPr>
        <w:pStyle w:val="Para1"/>
        <w:ind w:left="2574" w:hanging="1134"/>
      </w:pPr>
      <w:r>
        <w:rPr>
          <w:i/>
        </w:rPr>
        <w:lastRenderedPageBreak/>
        <w:t>V</w:t>
      </w:r>
      <w:r>
        <w:rPr>
          <w:i/>
          <w:vertAlign w:val="subscript"/>
        </w:rPr>
        <w:t>t</w:t>
      </w:r>
      <w:r w:rsidR="004F466D" w:rsidRPr="00AC0F20">
        <w:rPr>
          <w:i/>
          <w:strike/>
          <w:color w:val="1F497D" w:themeColor="text2"/>
          <w:vertAlign w:val="subscript"/>
        </w:rPr>
        <w:t>-1</w:t>
      </w:r>
      <w:r>
        <w:rPr>
          <w:i/>
          <w:vertAlign w:val="subscript"/>
        </w:rPr>
        <w:tab/>
      </w:r>
      <w:r>
        <w:t xml:space="preserve">is the sum of all Recoverable Costs of the Non-exempt EDB </w:t>
      </w:r>
      <w:r w:rsidR="00C05BBF">
        <w:t>for</w:t>
      </w:r>
      <w:r>
        <w:t xml:space="preserve"> the Assessment Period</w:t>
      </w:r>
      <w:r w:rsidR="00C05BBF">
        <w:t xml:space="preserve"> </w:t>
      </w:r>
      <w:r>
        <w:rPr>
          <w:i/>
        </w:rPr>
        <w:t>t</w:t>
      </w:r>
      <w:r w:rsidR="00FF0D8F">
        <w:t>.</w:t>
      </w:r>
    </w:p>
    <w:p w:rsidR="005358C2" w:rsidRDefault="007262CC" w:rsidP="007262CC">
      <w:pPr>
        <w:pStyle w:val="Para1"/>
        <w:ind w:left="720" w:hanging="720"/>
      </w:pPr>
      <w:r>
        <w:t>8.</w:t>
      </w:r>
      <w:r>
        <w:tab/>
      </w:r>
      <w:proofErr w:type="gramStart"/>
      <w:r>
        <w:t>For</w:t>
      </w:r>
      <w:proofErr w:type="gramEnd"/>
      <w:r>
        <w:t xml:space="preserve"> the purposes of paragraph 6 and 7</w:t>
      </w:r>
      <w:r w:rsidR="005358C2">
        <w:t>–</w:t>
      </w:r>
    </w:p>
    <w:p w:rsidR="007262CC" w:rsidRDefault="005358C2" w:rsidP="005358C2">
      <w:pPr>
        <w:pStyle w:val="Para1"/>
        <w:ind w:left="1429" w:hanging="720"/>
      </w:pPr>
      <w:r>
        <w:t>(a)</w:t>
      </w:r>
      <w:r>
        <w:tab/>
      </w:r>
      <w:proofErr w:type="gramStart"/>
      <w:r w:rsidR="007262CC">
        <w:t>the</w:t>
      </w:r>
      <w:proofErr w:type="gramEnd"/>
      <w:r w:rsidR="007262CC">
        <w:t xml:space="preserve"> ‘</w:t>
      </w:r>
      <w:r w:rsidR="00C05BBF">
        <w:t>Transaction Factor</w:t>
      </w:r>
      <w:r w:rsidR="007262CC">
        <w:t>’ is calculated in accordance with the formula–</w:t>
      </w:r>
    </w:p>
    <w:p w:rsidR="007262CC" w:rsidRDefault="0067630A" w:rsidP="007262CC">
      <w:pPr>
        <w:pStyle w:val="Para1"/>
        <w:tabs>
          <w:tab w:val="clear" w:pos="709"/>
        </w:tabs>
        <w:ind w:left="0" w:firstLine="0"/>
      </w:pPr>
      <m:oMathPara>
        <m:oMath>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m:t>
                      </m:r>
                    </m:e>
                    <m:sub>
                      <m:r>
                        <w:rPr>
                          <w:rFonts w:ascii="Cambria Math" w:hAnsi="Cambria Math"/>
                        </w:rPr>
                        <m:t>i,t-1</m:t>
                      </m:r>
                    </m:sub>
                  </m:sSub>
                  <m:sSub>
                    <m:sSubPr>
                      <m:ctrlPr>
                        <w:rPr>
                          <w:rFonts w:ascii="Cambria Math" w:hAnsi="Cambria Math"/>
                          <w:i/>
                        </w:rPr>
                      </m:ctrlPr>
                    </m:sSubPr>
                    <m:e>
                      <m:r>
                        <w:rPr>
                          <w:rFonts w:ascii="Cambria Math" w:hAnsi="Cambria Math"/>
                        </w:rPr>
                        <m:t>Q</m:t>
                      </m:r>
                    </m:e>
                    <m:sub>
                      <m:r>
                        <w:rPr>
                          <w:rFonts w:ascii="Cambria Math" w:hAnsi="Cambria Math"/>
                        </w:rPr>
                        <m:t>lost,i,t-2</m:t>
                      </m:r>
                    </m:sub>
                  </m:sSub>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m:t>
                      </m:r>
                    </m:e>
                    <m:sub>
                      <m:r>
                        <w:rPr>
                          <w:rFonts w:ascii="Cambria Math" w:hAnsi="Cambria Math"/>
                        </w:rPr>
                        <m:t>i,t-1</m:t>
                      </m:r>
                    </m:sub>
                  </m:sSub>
                  <m:sSub>
                    <m:sSubPr>
                      <m:ctrlPr>
                        <w:rPr>
                          <w:rFonts w:ascii="Cambria Math" w:hAnsi="Cambria Math"/>
                          <w:i/>
                        </w:rPr>
                      </m:ctrlPr>
                    </m:sSubPr>
                    <m:e>
                      <m:r>
                        <w:rPr>
                          <w:rFonts w:ascii="Cambria Math" w:hAnsi="Cambria Math"/>
                        </w:rPr>
                        <m:t>Q</m:t>
                      </m:r>
                    </m:e>
                    <m:sub>
                      <m:r>
                        <w:rPr>
                          <w:rFonts w:ascii="Cambria Math" w:hAnsi="Cambria Math"/>
                        </w:rPr>
                        <m:t>i,t-2</m:t>
                      </m:r>
                    </m:sub>
                  </m:sSub>
                </m:e>
              </m:nary>
            </m:den>
          </m:f>
        </m:oMath>
      </m:oMathPara>
    </w:p>
    <w:p w:rsidR="007262CC" w:rsidRDefault="007262CC" w:rsidP="005358C2">
      <w:pPr>
        <w:pStyle w:val="Para1"/>
        <w:tabs>
          <w:tab w:val="clear" w:pos="709"/>
        </w:tabs>
        <w:ind w:left="1418" w:firstLine="0"/>
      </w:pPr>
      <w:proofErr w:type="gramStart"/>
      <w:r>
        <w:t>where</w:t>
      </w:r>
      <w:proofErr w:type="gramEnd"/>
      <w:r>
        <w:t>–</w:t>
      </w:r>
    </w:p>
    <w:p w:rsidR="007262CC" w:rsidRPr="00883B23" w:rsidRDefault="007262CC" w:rsidP="005358C2">
      <w:pPr>
        <w:pStyle w:val="Para1"/>
        <w:tabs>
          <w:tab w:val="clear" w:pos="709"/>
        </w:tabs>
        <w:ind w:left="2552" w:hanging="1134"/>
      </w:pPr>
      <w:proofErr w:type="gramStart"/>
      <w:r>
        <w:rPr>
          <w:i/>
        </w:rPr>
        <w:t>t</w:t>
      </w:r>
      <w:proofErr w:type="gramEnd"/>
      <w:r>
        <w:tab/>
        <w:t xml:space="preserve">is the year </w:t>
      </w:r>
      <w:r w:rsidRPr="00524B7B">
        <w:rPr>
          <w:szCs w:val="24"/>
        </w:rPr>
        <w:t>in</w:t>
      </w:r>
      <w:r>
        <w:t xml:space="preserve"> which the Assessment Period ends;</w:t>
      </w:r>
    </w:p>
    <w:p w:rsidR="007262CC" w:rsidRPr="00524B7B" w:rsidRDefault="007262CC" w:rsidP="005358C2">
      <w:pPr>
        <w:pStyle w:val="Para1"/>
        <w:tabs>
          <w:tab w:val="clear" w:pos="709"/>
        </w:tabs>
        <w:ind w:left="2552" w:hanging="1134"/>
      </w:pPr>
      <w:proofErr w:type="spellStart"/>
      <w:proofErr w:type="gramStart"/>
      <w:r>
        <w:rPr>
          <w:i/>
        </w:rPr>
        <w:t>i</w:t>
      </w:r>
      <w:proofErr w:type="spellEnd"/>
      <w:proofErr w:type="gramEnd"/>
      <w:r>
        <w:tab/>
        <w:t xml:space="preserve">denotes </w:t>
      </w:r>
      <w:r w:rsidRPr="00524B7B">
        <w:rPr>
          <w:szCs w:val="24"/>
        </w:rPr>
        <w:t>each</w:t>
      </w:r>
      <w:r>
        <w:t xml:space="preserve"> Price relating to Electricity Lines Services of the EDB </w:t>
      </w:r>
      <w:r>
        <w:rPr>
          <w:szCs w:val="24"/>
        </w:rPr>
        <w:t xml:space="preserve">transferring </w:t>
      </w:r>
      <w:r w:rsidRPr="002E2D38">
        <w:rPr>
          <w:strike/>
          <w:color w:val="1F497D" w:themeColor="text2"/>
          <w:szCs w:val="24"/>
        </w:rPr>
        <w:t>assets</w:t>
      </w:r>
      <w:r>
        <w:rPr>
          <w:szCs w:val="24"/>
        </w:rPr>
        <w:t xml:space="preserve"> </w:t>
      </w:r>
      <w:r w:rsidR="002E2D38" w:rsidRPr="002E2D38">
        <w:rPr>
          <w:color w:val="1F497D" w:themeColor="text2"/>
          <w:szCs w:val="24"/>
          <w:u w:val="single"/>
        </w:rPr>
        <w:t>ICPs</w:t>
      </w:r>
      <w:r w:rsidR="002E2D38">
        <w:rPr>
          <w:szCs w:val="24"/>
        </w:rPr>
        <w:t xml:space="preserve"> </w:t>
      </w:r>
      <w:r>
        <w:rPr>
          <w:szCs w:val="24"/>
        </w:rPr>
        <w:t>to the other EDB</w:t>
      </w:r>
      <w:r>
        <w:t>;</w:t>
      </w:r>
    </w:p>
    <w:p w:rsidR="00C05BBF" w:rsidRDefault="007262CC" w:rsidP="005358C2">
      <w:pPr>
        <w:pStyle w:val="Para1"/>
        <w:tabs>
          <w:tab w:val="clear" w:pos="709"/>
        </w:tabs>
        <w:ind w:left="2552" w:hanging="1134"/>
      </w:pPr>
      <w:r w:rsidRPr="00883B23">
        <w:rPr>
          <w:i/>
        </w:rPr>
        <w:t>P</w:t>
      </w:r>
      <w:r w:rsidRPr="00883B23">
        <w:rPr>
          <w:i/>
          <w:vertAlign w:val="subscript"/>
        </w:rPr>
        <w:t>i, t</w:t>
      </w:r>
      <w:r w:rsidR="00C05BBF">
        <w:rPr>
          <w:i/>
          <w:vertAlign w:val="subscript"/>
        </w:rPr>
        <w:t>-1</w:t>
      </w:r>
      <w:r>
        <w:tab/>
      </w:r>
      <w:r w:rsidRPr="00F337D6">
        <w:rPr>
          <w:szCs w:val="24"/>
        </w:rPr>
        <w:t xml:space="preserve">is the </w:t>
      </w:r>
      <w:proofErr w:type="spellStart"/>
      <w:r w:rsidRPr="007619F1">
        <w:rPr>
          <w:rStyle w:val="Emphasis-Remove"/>
          <w:i/>
          <w:szCs w:val="24"/>
        </w:rPr>
        <w:t>i</w:t>
      </w:r>
      <w:r w:rsidRPr="007619F1">
        <w:rPr>
          <w:rStyle w:val="Emphasis-Superscript"/>
          <w:i/>
          <w:szCs w:val="24"/>
        </w:rPr>
        <w:t>th</w:t>
      </w:r>
      <w:proofErr w:type="spellEnd"/>
      <w:r w:rsidRPr="00F337D6">
        <w:rPr>
          <w:szCs w:val="24"/>
        </w:rPr>
        <w:t xml:space="preserve"> Price</w:t>
      </w:r>
      <w:r>
        <w:t xml:space="preserve"> of the EDB </w:t>
      </w:r>
      <w:r>
        <w:rPr>
          <w:szCs w:val="24"/>
        </w:rPr>
        <w:t xml:space="preserve">transferring </w:t>
      </w:r>
      <w:r w:rsidR="002E2D38" w:rsidRPr="002E2D38">
        <w:rPr>
          <w:strike/>
          <w:color w:val="1F497D" w:themeColor="text2"/>
          <w:szCs w:val="24"/>
        </w:rPr>
        <w:t>assets</w:t>
      </w:r>
      <w:r w:rsidR="002E2D38">
        <w:rPr>
          <w:szCs w:val="24"/>
        </w:rPr>
        <w:t xml:space="preserve"> </w:t>
      </w:r>
      <w:r w:rsidR="002E2D38" w:rsidRPr="002E2D38">
        <w:rPr>
          <w:color w:val="1F497D" w:themeColor="text2"/>
          <w:szCs w:val="24"/>
          <w:u w:val="single"/>
        </w:rPr>
        <w:t>ICPs</w:t>
      </w:r>
      <w:r w:rsidR="002E2D38">
        <w:rPr>
          <w:szCs w:val="24"/>
        </w:rPr>
        <w:t xml:space="preserve"> </w:t>
      </w:r>
      <w:r>
        <w:rPr>
          <w:szCs w:val="24"/>
        </w:rPr>
        <w:t>to the other EDB</w:t>
      </w:r>
      <w:r w:rsidRPr="00F337D6">
        <w:rPr>
          <w:szCs w:val="24"/>
        </w:rPr>
        <w:t xml:space="preserve"> during any part of the Assessment Period</w:t>
      </w:r>
      <w:r w:rsidR="00C05BBF">
        <w:rPr>
          <w:szCs w:val="24"/>
        </w:rPr>
        <w:t xml:space="preserve"> prior to year</w:t>
      </w:r>
      <w:r w:rsidRPr="00F337D6">
        <w:rPr>
          <w:szCs w:val="24"/>
        </w:rPr>
        <w:t xml:space="preserve"> </w:t>
      </w:r>
      <w:r w:rsidRPr="006701EF">
        <w:rPr>
          <w:i/>
          <w:szCs w:val="24"/>
        </w:rPr>
        <w:t>t</w:t>
      </w:r>
      <w:r w:rsidRPr="00F337D6">
        <w:rPr>
          <w:szCs w:val="24"/>
        </w:rPr>
        <w:t>;</w:t>
      </w:r>
    </w:p>
    <w:p w:rsidR="007262CC" w:rsidRDefault="007262CC" w:rsidP="005358C2">
      <w:pPr>
        <w:pStyle w:val="Para1"/>
        <w:tabs>
          <w:tab w:val="clear" w:pos="709"/>
        </w:tabs>
        <w:ind w:left="2552" w:hanging="1134"/>
        <w:rPr>
          <w:szCs w:val="24"/>
        </w:rPr>
      </w:pPr>
      <w:r>
        <w:rPr>
          <w:i/>
        </w:rPr>
        <w:t>Q</w:t>
      </w:r>
      <w:r w:rsidRPr="00883B23">
        <w:rPr>
          <w:i/>
          <w:vertAlign w:val="subscript"/>
        </w:rPr>
        <w:t>i, t</w:t>
      </w:r>
      <w:r>
        <w:rPr>
          <w:i/>
          <w:vertAlign w:val="subscript"/>
        </w:rPr>
        <w:t>-2</w:t>
      </w:r>
      <w:r>
        <w:tab/>
      </w:r>
      <w:r w:rsidRPr="00F337D6">
        <w:rPr>
          <w:szCs w:val="24"/>
        </w:rPr>
        <w:t>is the</w:t>
      </w:r>
      <w:r>
        <w:rPr>
          <w:szCs w:val="24"/>
        </w:rPr>
        <w:t xml:space="preserve"> Quantity</w:t>
      </w:r>
      <w:r>
        <w:t xml:space="preserve"> of the EDB </w:t>
      </w:r>
      <w:r>
        <w:rPr>
          <w:szCs w:val="24"/>
        </w:rPr>
        <w:t xml:space="preserve">transferring </w:t>
      </w:r>
      <w:r w:rsidR="002E2D38" w:rsidRPr="002E2D38">
        <w:rPr>
          <w:strike/>
          <w:color w:val="1F497D" w:themeColor="text2"/>
          <w:szCs w:val="24"/>
        </w:rPr>
        <w:t>assets</w:t>
      </w:r>
      <w:r w:rsidR="002E2D38">
        <w:rPr>
          <w:szCs w:val="24"/>
        </w:rPr>
        <w:t xml:space="preserve"> </w:t>
      </w:r>
      <w:r w:rsidR="002E2D38" w:rsidRPr="002E2D38">
        <w:rPr>
          <w:color w:val="1F497D" w:themeColor="text2"/>
          <w:szCs w:val="24"/>
          <w:u w:val="single"/>
        </w:rPr>
        <w:t>ICPs</w:t>
      </w:r>
      <w:r w:rsidR="002E2D38">
        <w:rPr>
          <w:szCs w:val="24"/>
        </w:rPr>
        <w:t xml:space="preserve"> </w:t>
      </w:r>
      <w:r>
        <w:rPr>
          <w:szCs w:val="24"/>
        </w:rPr>
        <w:t xml:space="preserve">to the other EDB corresponding to the </w:t>
      </w:r>
      <w:proofErr w:type="spellStart"/>
      <w:r>
        <w:rPr>
          <w:i/>
          <w:szCs w:val="24"/>
        </w:rPr>
        <w:t>i</w:t>
      </w:r>
      <w:r>
        <w:rPr>
          <w:szCs w:val="24"/>
        </w:rPr>
        <w:t>th</w:t>
      </w:r>
      <w:proofErr w:type="spellEnd"/>
      <w:r>
        <w:rPr>
          <w:szCs w:val="24"/>
        </w:rPr>
        <w:t xml:space="preserve"> Price for the Assessment Period ending 2 years prior to year </w:t>
      </w:r>
      <w:r>
        <w:rPr>
          <w:i/>
          <w:szCs w:val="24"/>
        </w:rPr>
        <w:t>t</w:t>
      </w:r>
      <w:r>
        <w:rPr>
          <w:szCs w:val="24"/>
        </w:rPr>
        <w:t>; and</w:t>
      </w:r>
    </w:p>
    <w:p w:rsidR="005358C2" w:rsidRDefault="007262CC" w:rsidP="005358C2">
      <w:pPr>
        <w:pStyle w:val="Para1"/>
        <w:tabs>
          <w:tab w:val="clear" w:pos="709"/>
        </w:tabs>
        <w:ind w:left="2552" w:hanging="1134"/>
        <w:rPr>
          <w:szCs w:val="24"/>
        </w:rPr>
      </w:pPr>
      <w:proofErr w:type="spellStart"/>
      <w:r>
        <w:rPr>
          <w:i/>
        </w:rPr>
        <w:t>Q</w:t>
      </w:r>
      <w:r w:rsidRPr="00883B23">
        <w:rPr>
          <w:i/>
          <w:vertAlign w:val="subscript"/>
        </w:rPr>
        <w:t>l</w:t>
      </w:r>
      <w:r>
        <w:rPr>
          <w:i/>
          <w:vertAlign w:val="subscript"/>
        </w:rPr>
        <w:t>ost</w:t>
      </w:r>
      <w:proofErr w:type="spellEnd"/>
      <w:r w:rsidRPr="00883B23">
        <w:rPr>
          <w:i/>
          <w:vertAlign w:val="subscript"/>
        </w:rPr>
        <w:t xml:space="preserve">, </w:t>
      </w:r>
      <w:proofErr w:type="spellStart"/>
      <w:r w:rsidRPr="00883B23">
        <w:rPr>
          <w:i/>
          <w:vertAlign w:val="subscript"/>
        </w:rPr>
        <w:t>i</w:t>
      </w:r>
      <w:proofErr w:type="spellEnd"/>
      <w:r w:rsidRPr="00883B23">
        <w:rPr>
          <w:i/>
          <w:vertAlign w:val="subscript"/>
        </w:rPr>
        <w:t>, t</w:t>
      </w:r>
      <w:r>
        <w:rPr>
          <w:i/>
          <w:vertAlign w:val="subscript"/>
        </w:rPr>
        <w:t>-2</w:t>
      </w:r>
      <w:r>
        <w:tab/>
      </w:r>
      <w:r w:rsidRPr="00F337D6">
        <w:rPr>
          <w:szCs w:val="24"/>
        </w:rPr>
        <w:t>is the</w:t>
      </w:r>
      <w:r>
        <w:rPr>
          <w:szCs w:val="24"/>
        </w:rPr>
        <w:t xml:space="preserve"> Quantity</w:t>
      </w:r>
      <w:r>
        <w:t xml:space="preserve"> of the EDB </w:t>
      </w:r>
      <w:r>
        <w:rPr>
          <w:szCs w:val="24"/>
        </w:rPr>
        <w:t xml:space="preserve">transferring </w:t>
      </w:r>
      <w:r w:rsidR="002E2D38" w:rsidRPr="002E2D38">
        <w:rPr>
          <w:strike/>
          <w:color w:val="1F497D" w:themeColor="text2"/>
          <w:szCs w:val="24"/>
        </w:rPr>
        <w:t>assets</w:t>
      </w:r>
      <w:r w:rsidR="002E2D38">
        <w:rPr>
          <w:szCs w:val="24"/>
        </w:rPr>
        <w:t xml:space="preserve"> </w:t>
      </w:r>
      <w:r w:rsidR="002E2D38" w:rsidRPr="002E2D38">
        <w:rPr>
          <w:color w:val="1F497D" w:themeColor="text2"/>
          <w:szCs w:val="24"/>
          <w:u w:val="single"/>
        </w:rPr>
        <w:t>ICPs</w:t>
      </w:r>
      <w:r w:rsidR="002E2D38">
        <w:rPr>
          <w:szCs w:val="24"/>
        </w:rPr>
        <w:t xml:space="preserve"> </w:t>
      </w:r>
      <w:r>
        <w:rPr>
          <w:szCs w:val="24"/>
        </w:rPr>
        <w:t xml:space="preserve">to the other EDB attributable to the ICPs transferred and corresponding to the </w:t>
      </w:r>
      <w:proofErr w:type="spellStart"/>
      <w:r>
        <w:rPr>
          <w:i/>
          <w:szCs w:val="24"/>
        </w:rPr>
        <w:t>i</w:t>
      </w:r>
      <w:r>
        <w:rPr>
          <w:szCs w:val="24"/>
        </w:rPr>
        <w:t>th</w:t>
      </w:r>
      <w:proofErr w:type="spellEnd"/>
      <w:r>
        <w:rPr>
          <w:szCs w:val="24"/>
        </w:rPr>
        <w:t xml:space="preserve"> Price for the Assessment Period ending 2 years prior to year </w:t>
      </w:r>
      <w:r>
        <w:rPr>
          <w:i/>
          <w:szCs w:val="24"/>
        </w:rPr>
        <w:t>t</w:t>
      </w:r>
      <w:r w:rsidR="005358C2">
        <w:rPr>
          <w:szCs w:val="24"/>
        </w:rPr>
        <w:t>; and</w:t>
      </w:r>
    </w:p>
    <w:p w:rsidR="005358C2" w:rsidRDefault="005358C2" w:rsidP="005358C2">
      <w:pPr>
        <w:pStyle w:val="Para1"/>
        <w:ind w:left="1429" w:hanging="720"/>
      </w:pPr>
      <w:r>
        <w:t>(b)</w:t>
      </w:r>
      <w:r>
        <w:tab/>
      </w:r>
      <w:proofErr w:type="gramStart"/>
      <w:r>
        <w:t>the</w:t>
      </w:r>
      <w:proofErr w:type="gramEnd"/>
      <w:r>
        <w:t xml:space="preserve"> ‘Part-year Factor’ is calculated in accordance with the formula–</w:t>
      </w:r>
    </w:p>
    <w:p w:rsidR="005358C2" w:rsidRDefault="0067630A" w:rsidP="005358C2">
      <w:pPr>
        <w:pStyle w:val="Para1"/>
        <w:ind w:left="1429" w:hanging="720"/>
      </w:pPr>
      <m:oMathPara>
        <m:oMath>
          <m:f>
            <m:fPr>
              <m:ctrlPr>
                <w:rPr>
                  <w:rFonts w:ascii="Cambria Math" w:hAnsi="Cambria Math"/>
                  <w:i/>
                </w:rPr>
              </m:ctrlPr>
            </m:fPr>
            <m:num>
              <m:r>
                <w:rPr>
                  <w:rFonts w:ascii="Cambria Math" w:hAnsi="Cambria Math"/>
                </w:rPr>
                <m:t>n</m:t>
              </m:r>
            </m:num>
            <m:den>
              <m:r>
                <w:rPr>
                  <w:rFonts w:ascii="Cambria Math" w:hAnsi="Cambria Math"/>
                </w:rPr>
                <m:t>365</m:t>
              </m:r>
            </m:den>
          </m:f>
        </m:oMath>
      </m:oMathPara>
    </w:p>
    <w:p w:rsidR="005358C2" w:rsidRDefault="005358C2" w:rsidP="005358C2">
      <w:pPr>
        <w:pStyle w:val="Para1"/>
        <w:tabs>
          <w:tab w:val="clear" w:pos="709"/>
        </w:tabs>
        <w:ind w:left="1418" w:firstLine="0"/>
      </w:pPr>
      <w:proofErr w:type="gramStart"/>
      <w:r>
        <w:t>where</w:t>
      </w:r>
      <w:proofErr w:type="gramEnd"/>
      <w:r>
        <w:t>–</w:t>
      </w:r>
    </w:p>
    <w:p w:rsidR="007262CC" w:rsidRPr="005358C2" w:rsidRDefault="005358C2" w:rsidP="00E50602">
      <w:pPr>
        <w:pStyle w:val="Para1"/>
        <w:tabs>
          <w:tab w:val="clear" w:pos="709"/>
        </w:tabs>
        <w:ind w:left="2552" w:hanging="1134"/>
      </w:pPr>
      <w:r>
        <w:rPr>
          <w:i/>
        </w:rPr>
        <w:t>n</w:t>
      </w:r>
      <w:r>
        <w:tab/>
        <w:t xml:space="preserve">is the </w:t>
      </w:r>
      <w:r w:rsidR="00E50602">
        <w:t xml:space="preserve">number of days between the date on which </w:t>
      </w:r>
      <w:r w:rsidR="002E2D38" w:rsidRPr="002E2D38">
        <w:rPr>
          <w:strike/>
          <w:color w:val="1F497D" w:themeColor="text2"/>
          <w:szCs w:val="24"/>
        </w:rPr>
        <w:t>assets</w:t>
      </w:r>
      <w:r w:rsidR="002E2D38">
        <w:rPr>
          <w:szCs w:val="24"/>
        </w:rPr>
        <w:t xml:space="preserve"> </w:t>
      </w:r>
      <w:r w:rsidR="002E2D38" w:rsidRPr="002E2D38">
        <w:rPr>
          <w:color w:val="1F497D" w:themeColor="text2"/>
          <w:szCs w:val="24"/>
          <w:u w:val="single"/>
        </w:rPr>
        <w:t>ICPs</w:t>
      </w:r>
      <w:r w:rsidR="002E2D38">
        <w:rPr>
          <w:szCs w:val="24"/>
        </w:rPr>
        <w:t xml:space="preserve"> </w:t>
      </w:r>
      <w:r w:rsidR="00E50602">
        <w:t>are first transferred to the other EDB and the last day of the</w:t>
      </w:r>
      <w:r>
        <w:t xml:space="preserve"> Assessment Period</w:t>
      </w:r>
      <w:r w:rsidR="00E50602">
        <w:t xml:space="preserve"> in which the </w:t>
      </w:r>
      <w:r w:rsidR="00E50602" w:rsidRPr="002E2D38">
        <w:rPr>
          <w:strike/>
          <w:color w:val="1F497D" w:themeColor="text2"/>
        </w:rPr>
        <w:t>assets are transferred</w:t>
      </w:r>
      <w:r w:rsidR="002E2D38">
        <w:t xml:space="preserve"> </w:t>
      </w:r>
      <w:r w:rsidR="002E2D38" w:rsidRPr="002E2D38">
        <w:rPr>
          <w:color w:val="1F497D" w:themeColor="text2"/>
          <w:u w:val="single"/>
        </w:rPr>
        <w:t>Major Transaction occurs</w:t>
      </w:r>
      <w:r w:rsidR="007262CC" w:rsidRPr="005358C2">
        <w:t>.</w:t>
      </w:r>
    </w:p>
    <w:p w:rsidR="007262CC" w:rsidRPr="00AF5E23" w:rsidRDefault="007262CC" w:rsidP="007262CC">
      <w:pPr>
        <w:pStyle w:val="Para1"/>
        <w:tabs>
          <w:tab w:val="clear" w:pos="709"/>
        </w:tabs>
        <w:ind w:left="0" w:firstLine="0"/>
        <w:rPr>
          <w:i/>
        </w:rPr>
      </w:pPr>
      <w:r w:rsidRPr="00AF5E23">
        <w:rPr>
          <w:i/>
        </w:rPr>
        <w:t>Alternative methodology following a Major Transaction with an Exempt EDB</w:t>
      </w:r>
    </w:p>
    <w:p w:rsidR="007262CC" w:rsidRPr="009448AB" w:rsidRDefault="007262CC" w:rsidP="007262CC">
      <w:pPr>
        <w:pStyle w:val="Para1"/>
        <w:ind w:left="720" w:hanging="720"/>
      </w:pPr>
      <w:r>
        <w:t>9.</w:t>
      </w:r>
      <w:r>
        <w:tab/>
        <w:t xml:space="preserve">A Non-exempt EDB may propose an alternative approach to calculating the allowable notional revenue, Pass-through Costs, and Recoverable Costs, including components of those costs, attributable to the ICPs </w:t>
      </w:r>
      <w:r w:rsidRPr="002E2D38">
        <w:rPr>
          <w:strike/>
          <w:color w:val="1F497D" w:themeColor="text2"/>
        </w:rPr>
        <w:t>transferred</w:t>
      </w:r>
      <w:r>
        <w:t xml:space="preserve"> </w:t>
      </w:r>
      <w:r w:rsidR="002E2D38" w:rsidRPr="002E2D38">
        <w:rPr>
          <w:color w:val="1F497D" w:themeColor="text2"/>
          <w:u w:val="single"/>
        </w:rPr>
        <w:t>supplied by a different EDB</w:t>
      </w:r>
      <w:r w:rsidR="002E2D38">
        <w:t xml:space="preserve"> </w:t>
      </w:r>
      <w:r>
        <w:t>as part of a Major Transaction with an Exempt EDB using any reasonable alternative methodology approved by the Commission.</w:t>
      </w:r>
    </w:p>
    <w:p w:rsidR="007262CC" w:rsidRDefault="007262CC" w:rsidP="00CF3AE0">
      <w:pPr>
        <w:pStyle w:val="BodyTextIndent"/>
        <w:ind w:left="1418" w:hanging="709"/>
      </w:pPr>
    </w:p>
    <w:p w:rsidR="00C9263C" w:rsidRDefault="00B931B8" w:rsidP="00CF3AE0">
      <w:pPr>
        <w:pStyle w:val="BodyTextIndent"/>
        <w:ind w:left="1418" w:hanging="709"/>
      </w:pPr>
      <w:r>
        <w:lastRenderedPageBreak/>
        <w:br w:type="page"/>
      </w:r>
    </w:p>
    <w:p w:rsidR="00B931B8" w:rsidRDefault="003F6229" w:rsidP="003F6229">
      <w:pPr>
        <w:pStyle w:val="Scheduletitles"/>
        <w:numPr>
          <w:ilvl w:val="0"/>
          <w:numId w:val="0"/>
        </w:numPr>
        <w:tabs>
          <w:tab w:val="left" w:pos="1418"/>
        </w:tabs>
        <w:ind w:left="1418" w:hanging="1418"/>
      </w:pPr>
      <w:r>
        <w:lastRenderedPageBreak/>
        <w:t>Schedule 4</w:t>
      </w:r>
      <w:r w:rsidR="00295C27">
        <w:t>A</w:t>
      </w:r>
      <w:r>
        <w:t>:</w:t>
      </w:r>
      <w:r w:rsidR="00CF3AE0" w:rsidDel="00CF6BFA">
        <w:t xml:space="preserve"> </w:t>
      </w:r>
      <w:bookmarkStart w:id="31" w:name="_Ref392850227"/>
      <w:r>
        <w:tab/>
      </w:r>
      <w:r w:rsidR="00B931B8">
        <w:t xml:space="preserve">Quality </w:t>
      </w:r>
      <w:r w:rsidR="006356F1">
        <w:t>s</w:t>
      </w:r>
      <w:r w:rsidR="00B931B8">
        <w:t>tandards</w:t>
      </w:r>
      <w:bookmarkEnd w:id="31"/>
    </w:p>
    <w:p w:rsidR="00B931B8" w:rsidRPr="00AF4817" w:rsidRDefault="00B931B8" w:rsidP="00B87C77">
      <w:pPr>
        <w:pStyle w:val="Schnumberedtext"/>
        <w:numPr>
          <w:ilvl w:val="0"/>
          <w:numId w:val="29"/>
        </w:numPr>
        <w:ind w:hanging="720"/>
        <w:rPr>
          <w:lang w:eastAsia="en-GB"/>
        </w:rPr>
      </w:pPr>
      <w:r w:rsidRPr="002F54CC">
        <w:t xml:space="preserve">The SAIDI </w:t>
      </w:r>
      <w:r w:rsidR="00A045EF">
        <w:t>Limit</w:t>
      </w:r>
      <w:r w:rsidR="00113E4A">
        <w:t>s and SAIFI Limits</w:t>
      </w:r>
      <w:r w:rsidR="002C294D" w:rsidRPr="002F54CC">
        <w:t xml:space="preserve"> </w:t>
      </w:r>
      <w:r w:rsidRPr="002F54CC">
        <w:t xml:space="preserve">for each Non-exempt EDB </w:t>
      </w:r>
      <w:r>
        <w:t>for the Regulatory Period 1 April 2015 to 31 March 2020</w:t>
      </w:r>
      <w:r w:rsidRPr="002F54CC">
        <w:t xml:space="preserve">, subject to </w:t>
      </w:r>
      <w:r w:rsidR="00113E4A">
        <w:t>Schedule 4B</w:t>
      </w:r>
      <w:r w:rsidRPr="00AF4817">
        <w:t>,</w:t>
      </w:r>
      <w:r w:rsidRPr="00AF4817" w:rsidDel="008E2FDA">
        <w:t xml:space="preserve"> </w:t>
      </w:r>
      <w:r w:rsidRPr="00AF4817">
        <w:t xml:space="preserve">are as set out in Table </w:t>
      </w:r>
      <w:r w:rsidR="00113E4A">
        <w:t>4A</w:t>
      </w:r>
      <w:r w:rsidRPr="00AF4817">
        <w:t>.1.</w:t>
      </w:r>
    </w:p>
    <w:p w:rsidR="00B931B8" w:rsidRDefault="00B931B8" w:rsidP="00B931B8">
      <w:pPr>
        <w:pStyle w:val="SchTableheading"/>
      </w:pPr>
      <w:r w:rsidRPr="00AF4817">
        <w:t xml:space="preserve">Table </w:t>
      </w:r>
      <w:r w:rsidR="00295C27">
        <w:t>4</w:t>
      </w:r>
      <w:r w:rsidR="00113E4A">
        <w:t>A</w:t>
      </w:r>
      <w:r w:rsidRPr="00AF4817">
        <w:t>.1: SAIDI</w:t>
      </w:r>
      <w:r>
        <w:t xml:space="preserve"> </w:t>
      </w:r>
      <w:r w:rsidR="00113E4A">
        <w:t>Limits and SAIFI Limits</w:t>
      </w:r>
      <w:r w:rsidR="00113E4A">
        <w:br/>
      </w:r>
      <w:r>
        <w:t>for the Regulatory Period</w:t>
      </w:r>
      <w:r w:rsidR="00113E4A">
        <w:t xml:space="preserve"> </w:t>
      </w:r>
      <w:r>
        <w:t>1 April 2015 – 31 March 2020</w:t>
      </w:r>
    </w:p>
    <w:tbl>
      <w:tblPr>
        <w:tblStyle w:val="SchTabletext"/>
        <w:tblW w:w="8077" w:type="dxa"/>
        <w:tblInd w:w="942" w:type="dxa"/>
        <w:tblLook w:val="04A0" w:firstRow="1" w:lastRow="0" w:firstColumn="1" w:lastColumn="0" w:noHBand="0" w:noVBand="1"/>
      </w:tblPr>
      <w:tblGrid>
        <w:gridCol w:w="1919"/>
        <w:gridCol w:w="1304"/>
        <w:gridCol w:w="1678"/>
        <w:gridCol w:w="1558"/>
        <w:gridCol w:w="1618"/>
      </w:tblGrid>
      <w:tr w:rsidR="00113E4A" w:rsidRPr="00E06A77" w:rsidTr="001010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9" w:type="dxa"/>
            <w:vAlign w:val="bottom"/>
          </w:tcPr>
          <w:p w:rsidR="00113E4A" w:rsidRPr="00E06A77" w:rsidRDefault="00113E4A" w:rsidP="00B82407">
            <w:pPr>
              <w:pStyle w:val="Tablebodytext"/>
              <w:rPr>
                <w:sz w:val="20"/>
                <w:szCs w:val="20"/>
              </w:rPr>
            </w:pPr>
            <w:r>
              <w:rPr>
                <w:sz w:val="20"/>
                <w:szCs w:val="20"/>
              </w:rPr>
              <w:t>Non-exempt EDB</w:t>
            </w:r>
          </w:p>
        </w:tc>
        <w:tc>
          <w:tcPr>
            <w:tcW w:w="1304" w:type="dxa"/>
          </w:tcPr>
          <w:p w:rsidR="00113E4A" w:rsidRDefault="00113E4A" w:rsidP="00B82407">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SAIDI Limit</w:t>
            </w:r>
          </w:p>
        </w:tc>
        <w:tc>
          <w:tcPr>
            <w:tcW w:w="1678" w:type="dxa"/>
            <w:vAlign w:val="bottom"/>
          </w:tcPr>
          <w:p w:rsidR="00113E4A" w:rsidRPr="00E06A77" w:rsidRDefault="00113E4A" w:rsidP="00B82407">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SAIDI Unplanned Boundary</w:t>
            </w:r>
            <w:r w:rsidR="004D32F9">
              <w:rPr>
                <w:sz w:val="20"/>
                <w:szCs w:val="20"/>
              </w:rPr>
              <w:t xml:space="preserve"> Value</w:t>
            </w:r>
          </w:p>
        </w:tc>
        <w:tc>
          <w:tcPr>
            <w:tcW w:w="1558" w:type="dxa"/>
          </w:tcPr>
          <w:p w:rsidR="00113E4A" w:rsidRDefault="00113E4A" w:rsidP="00B82407">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SAIFI Limit</w:t>
            </w:r>
          </w:p>
        </w:tc>
        <w:tc>
          <w:tcPr>
            <w:tcW w:w="1618" w:type="dxa"/>
            <w:vAlign w:val="bottom"/>
          </w:tcPr>
          <w:p w:rsidR="00113E4A" w:rsidRDefault="00113E4A" w:rsidP="00B82407">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SAIFI Unplanned Boundary</w:t>
            </w:r>
            <w:r w:rsidR="004D32F9">
              <w:rPr>
                <w:sz w:val="20"/>
                <w:szCs w:val="20"/>
              </w:rPr>
              <w:t xml:space="preserve"> Value</w:t>
            </w:r>
          </w:p>
        </w:tc>
      </w:tr>
      <w:tr w:rsidR="004D32F9" w:rsidRPr="00E06A77"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4D32F9" w:rsidRPr="007554A4" w:rsidRDefault="004D32F9" w:rsidP="00B82407">
            <w:pPr>
              <w:keepNext/>
              <w:keepLines/>
              <w:spacing w:before="60" w:line="264" w:lineRule="auto"/>
              <w:rPr>
                <w:sz w:val="20"/>
                <w:lang w:eastAsia="en-US"/>
              </w:rPr>
            </w:pPr>
            <w:r>
              <w:rPr>
                <w:sz w:val="20"/>
                <w:lang w:eastAsia="en-US"/>
              </w:rPr>
              <w:t>–</w:t>
            </w:r>
          </w:p>
        </w:tc>
        <w:tc>
          <w:tcPr>
            <w:tcW w:w="1304" w:type="dxa"/>
          </w:tcPr>
          <w:p w:rsidR="004D32F9"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55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4D32F9" w:rsidTr="004D32F9">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4D32F9" w:rsidRPr="007554A4" w:rsidRDefault="004D32F9" w:rsidP="00B82407">
            <w:pPr>
              <w:keepNext/>
              <w:keepLines/>
              <w:spacing w:before="60" w:line="264" w:lineRule="auto"/>
              <w:rPr>
                <w:rFonts w:eastAsia="Calibri" w:cs="Calibri"/>
                <w:sz w:val="20"/>
                <w:lang w:eastAsia="en-US"/>
              </w:rPr>
            </w:pPr>
            <w:r>
              <w:rPr>
                <w:sz w:val="20"/>
                <w:lang w:eastAsia="en-US"/>
              </w:rPr>
              <w:t>–</w:t>
            </w:r>
          </w:p>
        </w:tc>
        <w:tc>
          <w:tcPr>
            <w:tcW w:w="1304" w:type="dxa"/>
          </w:tcPr>
          <w:p w:rsidR="004D32F9" w:rsidRPr="007554A4" w:rsidDel="001B6C2C"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78" w:type="dxa"/>
          </w:tcPr>
          <w:p w:rsidR="004D32F9" w:rsidRPr="007554A4"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lang w:eastAsia="en-US"/>
              </w:rPr>
            </w:pPr>
            <w:r>
              <w:rPr>
                <w:sz w:val="20"/>
                <w:lang w:eastAsia="en-US"/>
              </w:rPr>
              <w:t>–</w:t>
            </w:r>
          </w:p>
        </w:tc>
        <w:tc>
          <w:tcPr>
            <w:tcW w:w="155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618" w:type="dxa"/>
          </w:tcPr>
          <w:p w:rsidR="004D32F9" w:rsidRDefault="004D32F9" w:rsidP="00B82407">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bl>
    <w:p w:rsidR="00B931B8" w:rsidRDefault="00B931B8" w:rsidP="00B931B8">
      <w:pPr>
        <w:pStyle w:val="Clausesectionheadings"/>
        <w:spacing w:before="240"/>
      </w:pPr>
      <w:r>
        <w:t>Calculation of the SAIDI Assessed Values</w:t>
      </w:r>
    </w:p>
    <w:p w:rsidR="00B931B8" w:rsidRDefault="00B931B8" w:rsidP="00B87C77">
      <w:pPr>
        <w:pStyle w:val="Schnumberedtext"/>
        <w:numPr>
          <w:ilvl w:val="0"/>
          <w:numId w:val="29"/>
        </w:numPr>
        <w:ind w:hanging="720"/>
      </w:pPr>
      <w:r>
        <w:t>Subject to paragraph 3, the SAIDI Assessed Value (</w:t>
      </w:r>
      <w:proofErr w:type="spellStart"/>
      <w:r w:rsidRPr="004F616A">
        <w:rPr>
          <w:rFonts w:ascii="Times New Roman" w:hAnsi="Times New Roman"/>
          <w:i/>
        </w:rPr>
        <w:t>SAIDI</w:t>
      </w:r>
      <w:r w:rsidRPr="004F616A">
        <w:rPr>
          <w:rFonts w:ascii="Times New Roman" w:hAnsi="Times New Roman"/>
          <w:i/>
          <w:vertAlign w:val="subscript"/>
        </w:rPr>
        <w:t>assess</w:t>
      </w:r>
      <w:proofErr w:type="spellEnd"/>
      <w:r w:rsidRPr="00E31C47">
        <w:t>) for an Assessment Period is calculated in accordance with the formula–</w:t>
      </w:r>
    </w:p>
    <w:p w:rsidR="00B931B8" w:rsidRPr="004F616A" w:rsidRDefault="00B931B8" w:rsidP="00C51334">
      <w:pPr>
        <w:pStyle w:val="Scheduletext"/>
        <w:ind w:left="709"/>
        <w:jc w:val="center"/>
        <w:rPr>
          <w:rFonts w:ascii="Times New Roman" w:hAnsi="Times New Roman"/>
        </w:rPr>
      </w:pPr>
      <w:proofErr w:type="spellStart"/>
      <w:r w:rsidRPr="004F616A">
        <w:rPr>
          <w:rFonts w:ascii="Times New Roman" w:hAnsi="Times New Roman"/>
          <w:i/>
        </w:rPr>
        <w:t>SAIDI</w:t>
      </w:r>
      <w:r w:rsidRPr="004F616A">
        <w:rPr>
          <w:rFonts w:ascii="Times New Roman" w:hAnsi="Times New Roman"/>
          <w:i/>
          <w:vertAlign w:val="subscript"/>
        </w:rPr>
        <w:t>assess</w:t>
      </w:r>
      <w:proofErr w:type="spellEnd"/>
      <w:r w:rsidRPr="004F616A">
        <w:rPr>
          <w:rFonts w:ascii="Times New Roman" w:hAnsi="Times New Roman"/>
        </w:rPr>
        <w:t xml:space="preserve"> = (0.5</w:t>
      </w:r>
      <w:r>
        <w:rPr>
          <w:rFonts w:ascii="Times New Roman" w:hAnsi="Times New Roman"/>
        </w:rPr>
        <w:t xml:space="preserve"> × </w:t>
      </w:r>
      <w:r w:rsidRPr="004F616A">
        <w:rPr>
          <w:rFonts w:ascii="Times New Roman" w:hAnsi="Times New Roman"/>
          <w:i/>
        </w:rPr>
        <w:t>SAIDI</w:t>
      </w:r>
      <w:r w:rsidRPr="004F616A">
        <w:rPr>
          <w:rFonts w:ascii="Times New Roman" w:hAnsi="Times New Roman"/>
          <w:i/>
          <w:vertAlign w:val="subscript"/>
        </w:rPr>
        <w:t>B</w:t>
      </w:r>
      <w:r w:rsidRPr="004F616A">
        <w:rPr>
          <w:rFonts w:ascii="Times New Roman" w:hAnsi="Times New Roman"/>
        </w:rPr>
        <w:t xml:space="preserve">) + </w:t>
      </w:r>
      <w:r w:rsidRPr="004F616A">
        <w:rPr>
          <w:rFonts w:ascii="Times New Roman" w:hAnsi="Times New Roman"/>
          <w:i/>
        </w:rPr>
        <w:t>SAIDI</w:t>
      </w:r>
      <w:r w:rsidRPr="004F616A">
        <w:rPr>
          <w:rFonts w:ascii="Times New Roman" w:hAnsi="Times New Roman"/>
          <w:i/>
          <w:vertAlign w:val="subscript"/>
        </w:rPr>
        <w:t>C</w:t>
      </w:r>
    </w:p>
    <w:p w:rsidR="00B931B8" w:rsidRDefault="00113E4A" w:rsidP="00B931B8">
      <w:pPr>
        <w:pStyle w:val="Scheduletext"/>
        <w:ind w:left="709"/>
      </w:pPr>
      <w:proofErr w:type="gramStart"/>
      <w:r>
        <w:t>where-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433"/>
      </w:tblGrid>
      <w:tr w:rsidR="00B931B8" w:rsidRPr="00F337D6" w:rsidTr="00B82407">
        <w:tc>
          <w:tcPr>
            <w:tcW w:w="992" w:type="dxa"/>
          </w:tcPr>
          <w:p w:rsidR="00B931B8" w:rsidRPr="004F616A" w:rsidRDefault="00B931B8" w:rsidP="00B82407">
            <w:pPr>
              <w:pStyle w:val="BodyTextIndent"/>
              <w:ind w:left="-108"/>
              <w:rPr>
                <w:rStyle w:val="Emphasis-Italics"/>
                <w:rFonts w:ascii="Times New Roman" w:hAnsi="Times New Roman"/>
                <w:szCs w:val="24"/>
              </w:rPr>
            </w:pPr>
            <w:r w:rsidRPr="004F616A">
              <w:rPr>
                <w:rFonts w:ascii="Times New Roman" w:hAnsi="Times New Roman"/>
                <w:i/>
                <w:szCs w:val="24"/>
              </w:rPr>
              <w:t>SAIDI</w:t>
            </w:r>
            <w:r w:rsidRPr="004F616A">
              <w:rPr>
                <w:rFonts w:ascii="Times New Roman" w:hAnsi="Times New Roman"/>
                <w:i/>
                <w:szCs w:val="24"/>
                <w:vertAlign w:val="subscript"/>
              </w:rPr>
              <w:t>B</w:t>
            </w:r>
            <w:r w:rsidRPr="004F616A">
              <w:rPr>
                <w:rFonts w:ascii="Times New Roman" w:hAnsi="Times New Roman"/>
                <w:i/>
                <w:szCs w:val="24"/>
              </w:rPr>
              <w:tab/>
            </w:r>
          </w:p>
        </w:tc>
        <w:tc>
          <w:tcPr>
            <w:tcW w:w="7433" w:type="dxa"/>
          </w:tcPr>
          <w:p w:rsidR="00B931B8" w:rsidRPr="00F337D6" w:rsidRDefault="00B931B8" w:rsidP="002266BD">
            <w:pPr>
              <w:pStyle w:val="BodyTextIndent"/>
              <w:ind w:left="-108"/>
              <w:rPr>
                <w:rStyle w:val="Emphasis-Italics"/>
                <w:szCs w:val="24"/>
              </w:rPr>
            </w:pPr>
            <w:r w:rsidRPr="002F54CC">
              <w:rPr>
                <w:szCs w:val="24"/>
              </w:rPr>
              <w:t xml:space="preserve">is the sum of the daily SAIDI Values for </w:t>
            </w:r>
            <w:r w:rsidR="002266BD">
              <w:rPr>
                <w:szCs w:val="24"/>
              </w:rPr>
              <w:t>Class B</w:t>
            </w:r>
            <w:r w:rsidR="002266BD" w:rsidRPr="002F54CC">
              <w:rPr>
                <w:szCs w:val="24"/>
              </w:rPr>
              <w:t xml:space="preserve"> </w:t>
            </w:r>
            <w:r w:rsidRPr="002F54CC">
              <w:rPr>
                <w:szCs w:val="24"/>
              </w:rPr>
              <w:t>Interruptions commencing within the Assessment Period; and</w:t>
            </w:r>
          </w:p>
        </w:tc>
      </w:tr>
      <w:tr w:rsidR="00B931B8" w:rsidRPr="00F337D6" w:rsidTr="00B82407">
        <w:tc>
          <w:tcPr>
            <w:tcW w:w="992" w:type="dxa"/>
          </w:tcPr>
          <w:p w:rsidR="00B931B8" w:rsidRPr="004F616A" w:rsidRDefault="00B931B8" w:rsidP="00B82407">
            <w:pPr>
              <w:pStyle w:val="BodyTextIndent"/>
              <w:ind w:left="-108"/>
              <w:rPr>
                <w:rStyle w:val="Emphasis-Italics"/>
                <w:rFonts w:ascii="Times New Roman" w:hAnsi="Times New Roman"/>
                <w:szCs w:val="24"/>
              </w:rPr>
            </w:pPr>
            <w:r w:rsidRPr="004F616A">
              <w:rPr>
                <w:rFonts w:ascii="Times New Roman" w:hAnsi="Times New Roman"/>
                <w:i/>
                <w:szCs w:val="24"/>
              </w:rPr>
              <w:t>SAIDI</w:t>
            </w:r>
            <w:r w:rsidRPr="004F616A">
              <w:rPr>
                <w:rFonts w:ascii="Times New Roman" w:hAnsi="Times New Roman"/>
                <w:i/>
                <w:szCs w:val="24"/>
                <w:vertAlign w:val="subscript"/>
              </w:rPr>
              <w:t>C</w:t>
            </w:r>
            <w:r w:rsidRPr="004F616A">
              <w:rPr>
                <w:rFonts w:ascii="Times New Roman" w:hAnsi="Times New Roman"/>
                <w:i/>
                <w:szCs w:val="24"/>
              </w:rPr>
              <w:tab/>
            </w:r>
          </w:p>
        </w:tc>
        <w:tc>
          <w:tcPr>
            <w:tcW w:w="7433" w:type="dxa"/>
          </w:tcPr>
          <w:p w:rsidR="00B931B8" w:rsidRPr="00F337D6" w:rsidRDefault="00B931B8" w:rsidP="002266BD">
            <w:pPr>
              <w:pStyle w:val="BodyTextIndent"/>
              <w:ind w:left="-108"/>
              <w:rPr>
                <w:rStyle w:val="Emphasis-Italics"/>
                <w:szCs w:val="24"/>
              </w:rPr>
            </w:pPr>
            <w:proofErr w:type="gramStart"/>
            <w:r w:rsidRPr="002F54CC">
              <w:rPr>
                <w:szCs w:val="24"/>
              </w:rPr>
              <w:t>is</w:t>
            </w:r>
            <w:proofErr w:type="gramEnd"/>
            <w:r w:rsidRPr="002F54CC">
              <w:rPr>
                <w:szCs w:val="24"/>
              </w:rPr>
              <w:t xml:space="preserve"> the sum of the daily SAIDI Values for </w:t>
            </w:r>
            <w:r w:rsidR="002266BD">
              <w:rPr>
                <w:szCs w:val="24"/>
              </w:rPr>
              <w:t>Class C</w:t>
            </w:r>
            <w:r w:rsidR="002266BD" w:rsidRPr="002F54CC">
              <w:rPr>
                <w:szCs w:val="24"/>
              </w:rPr>
              <w:t xml:space="preserve"> </w:t>
            </w:r>
            <w:r w:rsidRPr="002F54CC">
              <w:rPr>
                <w:szCs w:val="24"/>
              </w:rPr>
              <w:t xml:space="preserve">Interruptions commencing within the Assessment Period, where any daily SAIDI Value </w:t>
            </w:r>
            <w:r w:rsidR="003F79E2">
              <w:rPr>
                <w:szCs w:val="24"/>
              </w:rPr>
              <w:t xml:space="preserve">for </w:t>
            </w:r>
            <w:r w:rsidR="002266BD">
              <w:rPr>
                <w:szCs w:val="24"/>
              </w:rPr>
              <w:t>Class C</w:t>
            </w:r>
            <w:r w:rsidR="003F79E2">
              <w:rPr>
                <w:szCs w:val="24"/>
              </w:rPr>
              <w:t xml:space="preserve"> Interruptions </w:t>
            </w:r>
            <w:r w:rsidRPr="002F54CC">
              <w:rPr>
                <w:szCs w:val="24"/>
              </w:rPr>
              <w:t xml:space="preserve">greater than the SAIDI </w:t>
            </w:r>
            <w:r w:rsidR="00113E4A">
              <w:rPr>
                <w:szCs w:val="24"/>
              </w:rPr>
              <w:t xml:space="preserve">Unplanned </w:t>
            </w:r>
            <w:r w:rsidR="00113E4A" w:rsidRPr="002F54CC">
              <w:rPr>
                <w:szCs w:val="24"/>
              </w:rPr>
              <w:t xml:space="preserve">Boundary </w:t>
            </w:r>
            <w:r w:rsidRPr="002F54CC">
              <w:rPr>
                <w:szCs w:val="24"/>
              </w:rPr>
              <w:t xml:space="preserve">Value equals the SAIDI </w:t>
            </w:r>
            <w:r w:rsidR="00113E4A">
              <w:rPr>
                <w:szCs w:val="24"/>
              </w:rPr>
              <w:t xml:space="preserve">Unplanned </w:t>
            </w:r>
            <w:r w:rsidR="00113E4A" w:rsidRPr="002F54CC">
              <w:rPr>
                <w:szCs w:val="24"/>
              </w:rPr>
              <w:t xml:space="preserve">Boundary </w:t>
            </w:r>
            <w:r w:rsidRPr="002F54CC">
              <w:rPr>
                <w:szCs w:val="24"/>
              </w:rPr>
              <w:t>Value.</w:t>
            </w:r>
          </w:p>
        </w:tc>
      </w:tr>
    </w:tbl>
    <w:p w:rsidR="00B931B8" w:rsidRDefault="00B931B8" w:rsidP="00B87C77">
      <w:pPr>
        <w:pStyle w:val="Schnumberedtext"/>
        <w:numPr>
          <w:ilvl w:val="0"/>
          <w:numId w:val="29"/>
        </w:numPr>
        <w:ind w:hanging="720"/>
      </w:pPr>
      <w:r>
        <w:lastRenderedPageBreak/>
        <w:t>The SAIDI Assessed Value (</w:t>
      </w:r>
      <w:proofErr w:type="spellStart"/>
      <w:r w:rsidRPr="004F616A">
        <w:rPr>
          <w:rFonts w:ascii="Times New Roman" w:hAnsi="Times New Roman"/>
          <w:i/>
        </w:rPr>
        <w:t>SAIDI</w:t>
      </w:r>
      <w:r w:rsidRPr="004F616A">
        <w:rPr>
          <w:rFonts w:ascii="Times New Roman" w:hAnsi="Times New Roman"/>
          <w:i/>
          <w:vertAlign w:val="subscript"/>
        </w:rPr>
        <w:t>assess</w:t>
      </w:r>
      <w:proofErr w:type="spellEnd"/>
      <w:r w:rsidRPr="00E31C47">
        <w:t xml:space="preserve">) </w:t>
      </w:r>
      <w:r>
        <w:t>for Orion</w:t>
      </w:r>
      <w:r w:rsidRPr="009B0B43">
        <w:t xml:space="preserve"> </w:t>
      </w:r>
      <w:r w:rsidRPr="00E31C47">
        <w:t xml:space="preserve">for </w:t>
      </w:r>
      <w:r>
        <w:t xml:space="preserve">the </w:t>
      </w:r>
      <w:r w:rsidRPr="00E31C47">
        <w:t>Assessment Period</w:t>
      </w:r>
      <w:r>
        <w:t xml:space="preserve"> ending 31 March 2020 </w:t>
      </w:r>
      <w:r w:rsidRPr="002F54CC">
        <w:t>is the sum</w:t>
      </w:r>
      <w:r>
        <w:t xml:space="preserve"> of the daily SAIDI Values for</w:t>
      </w:r>
      <w:r w:rsidRPr="002F54CC">
        <w:t xml:space="preserve"> </w:t>
      </w:r>
      <w:r>
        <w:t xml:space="preserve">Class B Interruptions and Class C Interruptions </w:t>
      </w:r>
      <w:r w:rsidRPr="002F54CC">
        <w:t>commencing within the Assessment Period</w:t>
      </w:r>
      <w:r>
        <w:t xml:space="preserve">, where any daily SAIDI Value greater than </w:t>
      </w:r>
      <w:r w:rsidR="006B1165">
        <w:t>[–]</w:t>
      </w:r>
      <w:r>
        <w:t xml:space="preserve"> equals </w:t>
      </w:r>
      <w:r w:rsidR="006B1165">
        <w:t>[–]</w:t>
      </w:r>
      <w:r>
        <w:t>.</w:t>
      </w:r>
    </w:p>
    <w:p w:rsidR="00B931B8" w:rsidRDefault="00B931B8" w:rsidP="00B931B8">
      <w:pPr>
        <w:pStyle w:val="Clausesectionheadings"/>
        <w:spacing w:before="240"/>
      </w:pPr>
      <w:r>
        <w:t>Calculation of the SAIFI Assessed Values</w:t>
      </w:r>
    </w:p>
    <w:p w:rsidR="00B931B8" w:rsidRDefault="00B931B8" w:rsidP="00B931B8">
      <w:pPr>
        <w:pStyle w:val="Schnumberedtext"/>
        <w:ind w:hanging="720"/>
      </w:pPr>
      <w:r>
        <w:t xml:space="preserve">Subject to </w:t>
      </w:r>
      <w:r w:rsidR="006B1165">
        <w:t>paragraph</w:t>
      </w:r>
      <w:r w:rsidR="00113E4A">
        <w:t xml:space="preserve"> 5</w:t>
      </w:r>
      <w:r>
        <w:t>, t</w:t>
      </w:r>
      <w:r w:rsidRPr="002F54CC">
        <w:t>he SAIFI Assessed Value (</w:t>
      </w:r>
      <w:proofErr w:type="spellStart"/>
      <w:r w:rsidRPr="004F616A">
        <w:rPr>
          <w:rFonts w:ascii="Times New Roman" w:hAnsi="Times New Roman"/>
          <w:i/>
        </w:rPr>
        <w:t>SAIFI</w:t>
      </w:r>
      <w:r w:rsidRPr="004F616A">
        <w:rPr>
          <w:rFonts w:ascii="Times New Roman" w:hAnsi="Times New Roman"/>
          <w:i/>
          <w:vertAlign w:val="subscript"/>
        </w:rPr>
        <w:t>assess</w:t>
      </w:r>
      <w:proofErr w:type="spellEnd"/>
      <w:r w:rsidRPr="002F54CC">
        <w:t>) for an Assessment Period is calculated in accordance with the formula</w:t>
      </w:r>
      <w:r>
        <w:t xml:space="preserve"> –</w:t>
      </w:r>
    </w:p>
    <w:p w:rsidR="00B931B8" w:rsidRPr="004F616A" w:rsidRDefault="00B931B8" w:rsidP="00C51334">
      <w:pPr>
        <w:pStyle w:val="Scheduletext"/>
        <w:ind w:left="709"/>
        <w:jc w:val="center"/>
        <w:rPr>
          <w:rFonts w:ascii="Times New Roman" w:hAnsi="Times New Roman"/>
          <w:i/>
          <w:vertAlign w:val="subscript"/>
        </w:rPr>
      </w:pPr>
      <w:proofErr w:type="spellStart"/>
      <w:r w:rsidRPr="004F616A">
        <w:rPr>
          <w:rFonts w:ascii="Times New Roman" w:hAnsi="Times New Roman"/>
          <w:i/>
        </w:rPr>
        <w:t>SAIFI</w:t>
      </w:r>
      <w:r w:rsidRPr="004F616A">
        <w:rPr>
          <w:rFonts w:ascii="Times New Roman" w:hAnsi="Times New Roman"/>
          <w:i/>
          <w:vertAlign w:val="subscript"/>
        </w:rPr>
        <w:t>assess</w:t>
      </w:r>
      <w:proofErr w:type="spellEnd"/>
      <w:r w:rsidRPr="004F616A">
        <w:rPr>
          <w:rFonts w:ascii="Times New Roman" w:hAnsi="Times New Roman"/>
          <w:i/>
        </w:rPr>
        <w:t xml:space="preserve"> </w:t>
      </w:r>
      <w:r w:rsidRPr="004F616A">
        <w:rPr>
          <w:rFonts w:ascii="Times New Roman" w:hAnsi="Times New Roman"/>
        </w:rPr>
        <w:t>= (0.5</w:t>
      </w:r>
      <w:r>
        <w:rPr>
          <w:rFonts w:ascii="Times New Roman" w:hAnsi="Times New Roman"/>
        </w:rPr>
        <w:t xml:space="preserve"> </w:t>
      </w:r>
      <w:r>
        <w:rPr>
          <w:rFonts w:ascii="Times New Roman" w:hAnsi="Times New Roman"/>
          <w:i/>
        </w:rPr>
        <w:t xml:space="preserve">× </w:t>
      </w:r>
      <w:r w:rsidRPr="004F616A">
        <w:rPr>
          <w:rFonts w:ascii="Times New Roman" w:hAnsi="Times New Roman"/>
          <w:i/>
        </w:rPr>
        <w:t>SAIFI</w:t>
      </w:r>
      <w:r w:rsidRPr="004F616A">
        <w:rPr>
          <w:rFonts w:ascii="Times New Roman" w:hAnsi="Times New Roman"/>
          <w:i/>
          <w:vertAlign w:val="subscript"/>
        </w:rPr>
        <w:t>B</w:t>
      </w:r>
      <w:r w:rsidRPr="004F616A">
        <w:rPr>
          <w:rFonts w:ascii="Times New Roman" w:hAnsi="Times New Roman"/>
        </w:rPr>
        <w:t>) +</w:t>
      </w:r>
      <w:r w:rsidRPr="004F616A">
        <w:rPr>
          <w:rFonts w:ascii="Times New Roman" w:hAnsi="Times New Roman"/>
          <w:i/>
        </w:rPr>
        <w:t xml:space="preserve"> SAIFI</w:t>
      </w:r>
      <w:r w:rsidRPr="004F616A">
        <w:rPr>
          <w:rFonts w:ascii="Times New Roman" w:hAnsi="Times New Roman"/>
          <w:i/>
          <w:vertAlign w:val="subscript"/>
        </w:rPr>
        <w:t>C</w:t>
      </w:r>
    </w:p>
    <w:p w:rsidR="00B931B8" w:rsidRDefault="00113E4A" w:rsidP="00B931B8">
      <w:pPr>
        <w:pStyle w:val="Scheduletext"/>
        <w:ind w:left="709"/>
      </w:pPr>
      <w:proofErr w:type="gramStart"/>
      <w:r>
        <w:t>where-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433"/>
      </w:tblGrid>
      <w:tr w:rsidR="00B931B8" w:rsidRPr="00F337D6" w:rsidTr="00B82407">
        <w:tc>
          <w:tcPr>
            <w:tcW w:w="992" w:type="dxa"/>
          </w:tcPr>
          <w:p w:rsidR="00B931B8" w:rsidRPr="004F616A" w:rsidRDefault="00B931B8" w:rsidP="00B82407">
            <w:pPr>
              <w:pStyle w:val="BodyTextIndent"/>
              <w:ind w:left="-108"/>
              <w:rPr>
                <w:rStyle w:val="Emphasis-Italics"/>
                <w:rFonts w:ascii="Times New Roman" w:hAnsi="Times New Roman"/>
                <w:szCs w:val="24"/>
              </w:rPr>
            </w:pPr>
            <w:r w:rsidRPr="004F616A">
              <w:rPr>
                <w:rFonts w:ascii="Times New Roman" w:hAnsi="Times New Roman"/>
                <w:i/>
                <w:szCs w:val="24"/>
              </w:rPr>
              <w:t>SAIFI</w:t>
            </w:r>
            <w:r w:rsidRPr="004F616A">
              <w:rPr>
                <w:rFonts w:ascii="Times New Roman" w:hAnsi="Times New Roman"/>
                <w:i/>
                <w:szCs w:val="24"/>
                <w:vertAlign w:val="subscript"/>
              </w:rPr>
              <w:t>B</w:t>
            </w:r>
            <w:r w:rsidRPr="004F616A">
              <w:rPr>
                <w:rFonts w:ascii="Times New Roman" w:hAnsi="Times New Roman"/>
                <w:i/>
                <w:szCs w:val="24"/>
              </w:rPr>
              <w:tab/>
            </w:r>
          </w:p>
        </w:tc>
        <w:tc>
          <w:tcPr>
            <w:tcW w:w="7433" w:type="dxa"/>
          </w:tcPr>
          <w:p w:rsidR="00B931B8" w:rsidRPr="00F337D6" w:rsidRDefault="00B931B8" w:rsidP="002266BD">
            <w:pPr>
              <w:pStyle w:val="BodyTextIndent"/>
              <w:ind w:left="-108"/>
              <w:rPr>
                <w:rStyle w:val="Emphasis-Italics"/>
                <w:szCs w:val="24"/>
              </w:rPr>
            </w:pPr>
            <w:r w:rsidRPr="00CA2DB7">
              <w:rPr>
                <w:szCs w:val="24"/>
              </w:rPr>
              <w:t xml:space="preserve">is the sum of the daily SAIFI Values for </w:t>
            </w:r>
            <w:r w:rsidR="002266BD">
              <w:rPr>
                <w:szCs w:val="24"/>
              </w:rPr>
              <w:t>Class B</w:t>
            </w:r>
            <w:r w:rsidRPr="00CA2DB7">
              <w:rPr>
                <w:szCs w:val="24"/>
              </w:rPr>
              <w:t xml:space="preserve"> Interruptions commencing within the Assessment Period; and</w:t>
            </w:r>
          </w:p>
        </w:tc>
      </w:tr>
      <w:tr w:rsidR="00B931B8" w:rsidRPr="00F337D6" w:rsidTr="00B82407">
        <w:tc>
          <w:tcPr>
            <w:tcW w:w="992" w:type="dxa"/>
          </w:tcPr>
          <w:p w:rsidR="00B931B8" w:rsidRPr="004F616A" w:rsidRDefault="00B931B8" w:rsidP="00B82407">
            <w:pPr>
              <w:pStyle w:val="BodyTextIndent"/>
              <w:ind w:left="-108"/>
              <w:rPr>
                <w:rStyle w:val="Emphasis-Italics"/>
                <w:rFonts w:ascii="Times New Roman" w:hAnsi="Times New Roman"/>
                <w:szCs w:val="24"/>
              </w:rPr>
            </w:pPr>
            <w:r w:rsidRPr="004F616A">
              <w:rPr>
                <w:rFonts w:ascii="Times New Roman" w:hAnsi="Times New Roman"/>
                <w:i/>
                <w:szCs w:val="24"/>
              </w:rPr>
              <w:t>SAIFI</w:t>
            </w:r>
            <w:r w:rsidRPr="004F616A">
              <w:rPr>
                <w:rFonts w:ascii="Times New Roman" w:hAnsi="Times New Roman"/>
                <w:i/>
                <w:szCs w:val="24"/>
                <w:vertAlign w:val="subscript"/>
              </w:rPr>
              <w:t>C</w:t>
            </w:r>
            <w:r w:rsidRPr="004F616A">
              <w:rPr>
                <w:rFonts w:ascii="Times New Roman" w:hAnsi="Times New Roman"/>
                <w:i/>
                <w:szCs w:val="24"/>
              </w:rPr>
              <w:tab/>
            </w:r>
          </w:p>
        </w:tc>
        <w:tc>
          <w:tcPr>
            <w:tcW w:w="7433" w:type="dxa"/>
          </w:tcPr>
          <w:p w:rsidR="00B931B8" w:rsidRPr="00F337D6" w:rsidRDefault="00B931B8" w:rsidP="00113E4A">
            <w:pPr>
              <w:pStyle w:val="BodyTextIndent"/>
              <w:ind w:left="-108"/>
              <w:rPr>
                <w:rStyle w:val="Emphasis-Italics"/>
                <w:szCs w:val="24"/>
              </w:rPr>
            </w:pPr>
            <w:proofErr w:type="gramStart"/>
            <w:r w:rsidRPr="002F54CC">
              <w:rPr>
                <w:szCs w:val="24"/>
              </w:rPr>
              <w:t>is</w:t>
            </w:r>
            <w:proofErr w:type="gramEnd"/>
            <w:r w:rsidRPr="002F54CC">
              <w:rPr>
                <w:szCs w:val="24"/>
              </w:rPr>
              <w:t xml:space="preserve"> the sum of the daily SAIFI Values for </w:t>
            </w:r>
            <w:r w:rsidR="002266BD">
              <w:rPr>
                <w:szCs w:val="24"/>
              </w:rPr>
              <w:t>Class C</w:t>
            </w:r>
            <w:r w:rsidRPr="002F54CC">
              <w:rPr>
                <w:szCs w:val="24"/>
              </w:rPr>
              <w:t xml:space="preserve"> Interruptions commencing within the Assessment Period, where any daily SAIFI Value </w:t>
            </w:r>
            <w:r w:rsidR="003F79E2">
              <w:rPr>
                <w:szCs w:val="24"/>
              </w:rPr>
              <w:t xml:space="preserve">for </w:t>
            </w:r>
            <w:r w:rsidR="002266BD">
              <w:rPr>
                <w:szCs w:val="24"/>
              </w:rPr>
              <w:t>Class C</w:t>
            </w:r>
            <w:r w:rsidR="003F79E2">
              <w:rPr>
                <w:szCs w:val="24"/>
              </w:rPr>
              <w:t xml:space="preserve"> Interruptions </w:t>
            </w:r>
            <w:r w:rsidRPr="002F54CC">
              <w:rPr>
                <w:szCs w:val="24"/>
              </w:rPr>
              <w:t xml:space="preserve">greater than the SAIFI </w:t>
            </w:r>
            <w:r w:rsidR="00113E4A">
              <w:rPr>
                <w:szCs w:val="24"/>
              </w:rPr>
              <w:t xml:space="preserve">Unplanned </w:t>
            </w:r>
            <w:r w:rsidR="00113E4A" w:rsidRPr="002F54CC">
              <w:rPr>
                <w:szCs w:val="24"/>
              </w:rPr>
              <w:t xml:space="preserve">Boundary </w:t>
            </w:r>
            <w:r w:rsidRPr="002F54CC">
              <w:rPr>
                <w:szCs w:val="24"/>
              </w:rPr>
              <w:t xml:space="preserve">Value equals the SAIFI </w:t>
            </w:r>
            <w:r w:rsidR="00113E4A">
              <w:rPr>
                <w:szCs w:val="24"/>
              </w:rPr>
              <w:t xml:space="preserve">Unplanned </w:t>
            </w:r>
            <w:r w:rsidR="00113E4A" w:rsidRPr="002F54CC">
              <w:rPr>
                <w:szCs w:val="24"/>
              </w:rPr>
              <w:t xml:space="preserve">Boundary </w:t>
            </w:r>
            <w:r w:rsidRPr="002F54CC">
              <w:rPr>
                <w:szCs w:val="24"/>
              </w:rPr>
              <w:t>Value</w:t>
            </w:r>
            <w:r>
              <w:rPr>
                <w:szCs w:val="24"/>
              </w:rPr>
              <w:t>.</w:t>
            </w:r>
          </w:p>
        </w:tc>
      </w:tr>
    </w:tbl>
    <w:p w:rsidR="00B931B8" w:rsidRDefault="00B931B8" w:rsidP="00B931B8">
      <w:pPr>
        <w:pStyle w:val="Schnumberedtext"/>
        <w:ind w:hanging="720"/>
      </w:pPr>
      <w:r>
        <w:t xml:space="preserve">The </w:t>
      </w:r>
      <w:r w:rsidRPr="002F54CC">
        <w:t>SAIFI Assessed Value (</w:t>
      </w:r>
      <w:proofErr w:type="spellStart"/>
      <w:r w:rsidRPr="004F616A">
        <w:rPr>
          <w:rFonts w:ascii="Times New Roman" w:hAnsi="Times New Roman"/>
          <w:i/>
        </w:rPr>
        <w:t>SAIFI</w:t>
      </w:r>
      <w:r w:rsidRPr="004F616A">
        <w:rPr>
          <w:rFonts w:ascii="Times New Roman" w:hAnsi="Times New Roman"/>
          <w:i/>
          <w:vertAlign w:val="subscript"/>
        </w:rPr>
        <w:t>assess</w:t>
      </w:r>
      <w:proofErr w:type="spellEnd"/>
      <w:r>
        <w:t>)</w:t>
      </w:r>
      <w:r w:rsidRPr="00E31C47">
        <w:t xml:space="preserve"> </w:t>
      </w:r>
      <w:r>
        <w:t>for Orion</w:t>
      </w:r>
      <w:r w:rsidRPr="003B7A33">
        <w:t xml:space="preserve"> </w:t>
      </w:r>
      <w:r w:rsidRPr="00E31C47">
        <w:t xml:space="preserve">for </w:t>
      </w:r>
      <w:r>
        <w:t xml:space="preserve">the </w:t>
      </w:r>
      <w:r w:rsidRPr="00E31C47">
        <w:t>Assessment Period</w:t>
      </w:r>
      <w:r>
        <w:t xml:space="preserve"> ending 31 March 2020</w:t>
      </w:r>
      <w:r w:rsidRPr="009B0B43">
        <w:t xml:space="preserve"> </w:t>
      </w:r>
      <w:r w:rsidRPr="002F54CC">
        <w:t>is the sum</w:t>
      </w:r>
      <w:r>
        <w:t xml:space="preserve"> of the daily SAIFI Values for</w:t>
      </w:r>
      <w:r w:rsidRPr="002F54CC">
        <w:t xml:space="preserve"> </w:t>
      </w:r>
      <w:r>
        <w:t xml:space="preserve">Class B Interruptions and Class C Interruptions </w:t>
      </w:r>
      <w:r w:rsidRPr="002F54CC">
        <w:t>commencing within the Assessment Period</w:t>
      </w:r>
      <w:r>
        <w:t xml:space="preserve">, where any daily SAIFI Value greater than </w:t>
      </w:r>
      <w:r w:rsidR="006B1165">
        <w:t>[–]</w:t>
      </w:r>
      <w:r>
        <w:t xml:space="preserve"> equals </w:t>
      </w:r>
      <w:r w:rsidR="006B1165">
        <w:t>[–]</w:t>
      </w:r>
      <w:r>
        <w:t>.</w:t>
      </w:r>
    </w:p>
    <w:p w:rsidR="00113E4A" w:rsidRDefault="00113E4A">
      <w:pPr>
        <w:rPr>
          <w:i/>
          <w:szCs w:val="24"/>
        </w:rPr>
      </w:pPr>
      <w:r>
        <w:br w:type="page"/>
      </w:r>
    </w:p>
    <w:p w:rsidR="00B931B8" w:rsidRDefault="00113E4A" w:rsidP="00113E4A">
      <w:pPr>
        <w:pStyle w:val="Scheduletitles"/>
        <w:numPr>
          <w:ilvl w:val="0"/>
          <w:numId w:val="0"/>
        </w:numPr>
        <w:tabs>
          <w:tab w:val="left" w:pos="1418"/>
        </w:tabs>
        <w:ind w:left="1418" w:hanging="1418"/>
      </w:pPr>
      <w:r>
        <w:lastRenderedPageBreak/>
        <w:t>Schedule 4B</w:t>
      </w:r>
      <w:r>
        <w:tab/>
      </w:r>
      <w:r w:rsidR="00B931B8">
        <w:t>Adjustments</w:t>
      </w:r>
      <w:r>
        <w:t xml:space="preserve"> to quality standards</w:t>
      </w:r>
      <w:r w:rsidR="00B931B8">
        <w:t xml:space="preserve"> following a Major Transaction</w:t>
      </w:r>
      <w:r w:rsidR="002E2D38" w:rsidRPr="002E2D38">
        <w:rPr>
          <w:color w:val="1F497D" w:themeColor="text2"/>
          <w:u w:val="single"/>
        </w:rPr>
        <w:t>, Amalgamation, Merger</w:t>
      </w:r>
      <w:r w:rsidR="00B931B8">
        <w:t xml:space="preserve"> or a purchase of System Fixed Assets</w:t>
      </w:r>
    </w:p>
    <w:p w:rsidR="00B931B8" w:rsidRPr="00CA2DB7" w:rsidRDefault="00B931B8" w:rsidP="00B87C77">
      <w:pPr>
        <w:pStyle w:val="Schnumberedtext"/>
        <w:numPr>
          <w:ilvl w:val="0"/>
          <w:numId w:val="73"/>
        </w:numPr>
        <w:ind w:hanging="720"/>
      </w:pPr>
      <w:bookmarkStart w:id="32" w:name="_Ref400100158"/>
      <w:r w:rsidRPr="00CA2DB7">
        <w:t xml:space="preserve">A Non-exempt EDB </w:t>
      </w:r>
      <w:r w:rsidR="003A1170">
        <w:t xml:space="preserve">required to re-calculate quality standards in accordance with clause </w:t>
      </w:r>
      <w:r w:rsidR="008E7747" w:rsidRPr="008E7747">
        <w:rPr>
          <w:strike/>
          <w:color w:val="1F497D" w:themeColor="text2"/>
        </w:rPr>
        <w:t>10.4(c) or 10.5</w:t>
      </w:r>
      <w:r w:rsidR="004F466D">
        <w:t xml:space="preserve"> </w:t>
      </w:r>
      <w:r w:rsidR="008E7747" w:rsidRPr="008E7747">
        <w:rPr>
          <w:color w:val="1F497D" w:themeColor="text2"/>
          <w:u w:val="single"/>
        </w:rPr>
        <w:t>10.4, 10.5(c) or 10.6</w:t>
      </w:r>
      <w:r w:rsidR="008E7747">
        <w:t xml:space="preserve"> </w:t>
      </w:r>
      <w:r w:rsidR="003A1170">
        <w:t>must</w:t>
      </w:r>
      <w:r w:rsidRPr="00CA2DB7">
        <w:t xml:space="preserve">, </w:t>
      </w:r>
      <w:r w:rsidR="003A1170">
        <w:t xml:space="preserve">for the Assessment Period in which the transaction occurs </w:t>
      </w:r>
      <w:r w:rsidRPr="00CA2DB7">
        <w:t xml:space="preserve">and </w:t>
      </w:r>
      <w:r>
        <w:t xml:space="preserve">in </w:t>
      </w:r>
      <w:r w:rsidRPr="00CA2DB7">
        <w:t>each remaining Assessment Period of the Regulatory Period</w:t>
      </w:r>
      <w:r w:rsidR="00321F81">
        <w:t xml:space="preserve"> or CPP Regulatory Period</w:t>
      </w:r>
      <w:r w:rsidRPr="00CA2DB7">
        <w:t>, adjust:</w:t>
      </w:r>
      <w:bookmarkEnd w:id="32"/>
    </w:p>
    <w:p w:rsidR="00B931B8" w:rsidRPr="00751C52" w:rsidRDefault="00B931B8" w:rsidP="00B87C77">
      <w:pPr>
        <w:pStyle w:val="Subclause2"/>
        <w:numPr>
          <w:ilvl w:val="0"/>
          <w:numId w:val="30"/>
        </w:numPr>
        <w:ind w:left="1418" w:hanging="709"/>
      </w:pPr>
      <w:r w:rsidRPr="00751C52">
        <w:t>the SAIDI Targets</w:t>
      </w:r>
      <w:r w:rsidR="004D32F9" w:rsidRPr="00751C52">
        <w:t xml:space="preserve"> and SAIDI Unplanned Boundary Values</w:t>
      </w:r>
      <w:r w:rsidRPr="00751C52">
        <w:t xml:space="preserve"> applicable to the Non-exempt EDB in accordance with paragraph </w:t>
      </w:r>
      <w:r w:rsidR="007C1970" w:rsidRPr="00751C52">
        <w:fldChar w:fldCharType="begin"/>
      </w:r>
      <w:r w:rsidR="007C1970" w:rsidRPr="00751C52">
        <w:instrText xml:space="preserve"> REF _Ref400100135 \r \h </w:instrText>
      </w:r>
      <w:r w:rsidR="007D2EEE" w:rsidRPr="00751C52">
        <w:instrText xml:space="preserve"> \* MERGEFORMAT </w:instrText>
      </w:r>
      <w:r w:rsidR="007C1970" w:rsidRPr="00751C52">
        <w:fldChar w:fldCharType="separate"/>
      </w:r>
      <w:r w:rsidR="00B56D36" w:rsidRPr="00751C52">
        <w:t>2</w:t>
      </w:r>
      <w:r w:rsidR="007C1970" w:rsidRPr="00751C52">
        <w:fldChar w:fldCharType="end"/>
      </w:r>
      <w:r w:rsidR="00751C52">
        <w:t xml:space="preserve"> </w:t>
      </w:r>
      <w:r w:rsidR="00751C52" w:rsidRPr="00751C52">
        <w:rPr>
          <w:color w:val="1F497D" w:themeColor="text2"/>
          <w:u w:val="single"/>
        </w:rPr>
        <w:t>for a Major Transaction</w:t>
      </w:r>
      <w:r w:rsidR="00751C52">
        <w:rPr>
          <w:color w:val="1F497D" w:themeColor="text2"/>
          <w:u w:val="single"/>
        </w:rPr>
        <w:t>, paragraph 3 for an Amalgamation or Merger, and paragraph 4 for a transfer of transmission assets from Transpower</w:t>
      </w:r>
      <w:r w:rsidRPr="00751C52">
        <w:t>;</w:t>
      </w:r>
    </w:p>
    <w:p w:rsidR="00B931B8" w:rsidRPr="00751C52" w:rsidRDefault="00B931B8" w:rsidP="00B87C77">
      <w:pPr>
        <w:pStyle w:val="Subclause2"/>
        <w:numPr>
          <w:ilvl w:val="0"/>
          <w:numId w:val="30"/>
        </w:numPr>
        <w:ind w:left="1418" w:hanging="709"/>
      </w:pPr>
      <w:r w:rsidRPr="00751C52">
        <w:t xml:space="preserve">the </w:t>
      </w:r>
      <w:r w:rsidR="007C1970" w:rsidRPr="00751C52">
        <w:t xml:space="preserve">SAIDI Limits, </w:t>
      </w:r>
      <w:r w:rsidRPr="00751C52">
        <w:t>SAIDI Caps</w:t>
      </w:r>
      <w:r w:rsidR="007C1970" w:rsidRPr="00751C52">
        <w:t>,</w:t>
      </w:r>
      <w:r w:rsidRPr="00751C52">
        <w:t xml:space="preserve"> and SAIDI Collars applicable to the Non-exempt EDB in accordance with paragraph </w:t>
      </w:r>
      <w:r w:rsidR="00FF0D8F" w:rsidRPr="008E7747">
        <w:fldChar w:fldCharType="begin"/>
      </w:r>
      <w:r w:rsidR="00FF0D8F" w:rsidRPr="008E7747">
        <w:instrText xml:space="preserve"> REF _Ref401156448 \r \h </w:instrText>
      </w:r>
      <w:r w:rsidR="007D2EEE" w:rsidRPr="008E7747">
        <w:instrText xml:space="preserve"> \* MERGEFORMAT </w:instrText>
      </w:r>
      <w:r w:rsidR="00FF0D8F" w:rsidRPr="008E7747">
        <w:fldChar w:fldCharType="separate"/>
      </w:r>
      <w:r w:rsidR="008E7747" w:rsidRPr="008E7747">
        <w:t>6</w:t>
      </w:r>
      <w:r w:rsidR="00FF0D8F" w:rsidRPr="008E7747">
        <w:fldChar w:fldCharType="end"/>
      </w:r>
      <w:r w:rsidR="008E7747">
        <w:t>;</w:t>
      </w:r>
    </w:p>
    <w:p w:rsidR="00B931B8" w:rsidRPr="00751C52" w:rsidRDefault="00B931B8" w:rsidP="00B87C77">
      <w:pPr>
        <w:pStyle w:val="Subclause2"/>
        <w:numPr>
          <w:ilvl w:val="0"/>
          <w:numId w:val="30"/>
        </w:numPr>
        <w:ind w:left="1418" w:hanging="709"/>
      </w:pPr>
      <w:r w:rsidRPr="00751C52">
        <w:t xml:space="preserve">the SAIFI Targets </w:t>
      </w:r>
      <w:r w:rsidR="002E2D38" w:rsidRPr="00751C52">
        <w:rPr>
          <w:color w:val="1F497D" w:themeColor="text2"/>
          <w:u w:val="single"/>
        </w:rPr>
        <w:t>and SAIFI Unplanned Boundary Values</w:t>
      </w:r>
      <w:r w:rsidR="002E2D38" w:rsidRPr="00751C52">
        <w:t xml:space="preserve"> </w:t>
      </w:r>
      <w:r w:rsidRPr="00751C52">
        <w:t xml:space="preserve">applicable to the Non-exempt EDB in accordance with paragraph </w:t>
      </w:r>
      <w:r w:rsidR="007C1970" w:rsidRPr="008E7747">
        <w:fldChar w:fldCharType="begin"/>
      </w:r>
      <w:r w:rsidR="007C1970" w:rsidRPr="008E7747">
        <w:instrText xml:space="preserve"> REF _Ref400100197 \r \h </w:instrText>
      </w:r>
      <w:r w:rsidR="007D2EEE" w:rsidRPr="008E7747">
        <w:instrText xml:space="preserve"> \* MERGEFORMAT </w:instrText>
      </w:r>
      <w:r w:rsidR="007C1970" w:rsidRPr="008E7747">
        <w:fldChar w:fldCharType="separate"/>
      </w:r>
      <w:r w:rsidR="008E7747" w:rsidRPr="008E7747">
        <w:t>7</w:t>
      </w:r>
      <w:r w:rsidR="007C1970" w:rsidRPr="008E7747">
        <w:fldChar w:fldCharType="end"/>
      </w:r>
      <w:r w:rsidR="00751C52">
        <w:rPr>
          <w:color w:val="1F497D" w:themeColor="text2"/>
          <w:u w:val="single"/>
        </w:rPr>
        <w:t xml:space="preserve"> </w:t>
      </w:r>
      <w:r w:rsidR="00751C52" w:rsidRPr="00751C52">
        <w:rPr>
          <w:color w:val="1F497D" w:themeColor="text2"/>
          <w:u w:val="single"/>
        </w:rPr>
        <w:t>for a Major Transaction</w:t>
      </w:r>
      <w:r w:rsidR="00751C52">
        <w:rPr>
          <w:color w:val="1F497D" w:themeColor="text2"/>
          <w:u w:val="single"/>
        </w:rPr>
        <w:t>, paragraph 8 for an Amalgamation or Merger, and paragraph 9 for a transfer of transmission assets from Transpower</w:t>
      </w:r>
      <w:r w:rsidRPr="00751C52">
        <w:t>;</w:t>
      </w:r>
      <w:r w:rsidR="00113E4A" w:rsidRPr="00751C52">
        <w:t xml:space="preserve"> and</w:t>
      </w:r>
    </w:p>
    <w:p w:rsidR="00B931B8" w:rsidRPr="00751C52" w:rsidRDefault="00B931B8" w:rsidP="00B87C77">
      <w:pPr>
        <w:pStyle w:val="Subclause2"/>
        <w:numPr>
          <w:ilvl w:val="0"/>
          <w:numId w:val="30"/>
        </w:numPr>
        <w:ind w:left="1418" w:hanging="709"/>
      </w:pPr>
      <w:proofErr w:type="gramStart"/>
      <w:r w:rsidRPr="00751C52">
        <w:t>the</w:t>
      </w:r>
      <w:proofErr w:type="gramEnd"/>
      <w:r w:rsidR="007C1970" w:rsidRPr="00751C52">
        <w:t xml:space="preserve"> SAIFI Limits,</w:t>
      </w:r>
      <w:r w:rsidRPr="00751C52">
        <w:t xml:space="preserve"> SAIFI Caps</w:t>
      </w:r>
      <w:r w:rsidR="007C1970" w:rsidRPr="00751C52">
        <w:t>,</w:t>
      </w:r>
      <w:r w:rsidRPr="00751C52">
        <w:t xml:space="preserve"> and SAIFI Collars applicable to the Non-exempt EDB in accordance with paragraph </w:t>
      </w:r>
      <w:r w:rsidR="00FF0D8F" w:rsidRPr="008E7747">
        <w:fldChar w:fldCharType="begin"/>
      </w:r>
      <w:r w:rsidR="00FF0D8F" w:rsidRPr="008E7747">
        <w:instrText xml:space="preserve"> REF _Ref401156459 \r \h </w:instrText>
      </w:r>
      <w:r w:rsidR="007D2EEE" w:rsidRPr="008E7747">
        <w:instrText xml:space="preserve"> \* MERGEFORMAT </w:instrText>
      </w:r>
      <w:r w:rsidR="00FF0D8F" w:rsidRPr="008E7747">
        <w:fldChar w:fldCharType="separate"/>
      </w:r>
      <w:r w:rsidR="008E7747" w:rsidRPr="008E7747">
        <w:t>11</w:t>
      </w:r>
      <w:r w:rsidR="00FF0D8F" w:rsidRPr="008E7747">
        <w:fldChar w:fldCharType="end"/>
      </w:r>
      <w:r w:rsidRPr="00751C52">
        <w:t>.</w:t>
      </w:r>
    </w:p>
    <w:p w:rsidR="00B931B8" w:rsidRDefault="00B931B8" w:rsidP="008312A9">
      <w:pPr>
        <w:pStyle w:val="Schnumberedtext"/>
        <w:ind w:hanging="720"/>
      </w:pPr>
      <w:bookmarkStart w:id="33" w:name="_Ref400100135"/>
      <w:r w:rsidRPr="004F616A">
        <w:t>For the purposes of paragraph</w:t>
      </w:r>
      <w:r w:rsidR="00113E4A">
        <w:t xml:space="preserve"> </w:t>
      </w:r>
      <w:r w:rsidR="007C1970">
        <w:fldChar w:fldCharType="begin"/>
      </w:r>
      <w:r w:rsidR="007C1970">
        <w:instrText xml:space="preserve"> REF _Ref400100158 \r \h </w:instrText>
      </w:r>
      <w:r w:rsidR="007C1970">
        <w:fldChar w:fldCharType="separate"/>
      </w:r>
      <w:r w:rsidR="008E7747">
        <w:t>1</w:t>
      </w:r>
      <w:r w:rsidR="007C1970">
        <w:fldChar w:fldCharType="end"/>
      </w:r>
      <w:r w:rsidRPr="004F616A">
        <w:t>,</w:t>
      </w:r>
      <w:r w:rsidR="007D2EEE">
        <w:t xml:space="preserve"> </w:t>
      </w:r>
      <w:r w:rsidR="007D2EEE" w:rsidRPr="007D2EEE">
        <w:rPr>
          <w:color w:val="1F497D" w:themeColor="text2"/>
          <w:u w:val="single"/>
        </w:rPr>
        <w:t>following a Major Transaction</w:t>
      </w:r>
      <w:r w:rsidRPr="004F616A">
        <w:t xml:space="preserve"> the</w:t>
      </w:r>
      <w:r w:rsidRPr="002F54CC">
        <w:t xml:space="preserve"> SAIDI Target </w:t>
      </w:r>
      <w:r w:rsidR="004D32F9">
        <w:t xml:space="preserve">and </w:t>
      </w:r>
      <w:r w:rsidR="00BE65E9">
        <w:t xml:space="preserve">SAIDI </w:t>
      </w:r>
      <w:r w:rsidR="004D32F9">
        <w:t xml:space="preserve">Unplanned Boundary Values </w:t>
      </w:r>
      <w:r w:rsidRPr="002F54CC">
        <w:t>for each Assessment Period must be</w:t>
      </w:r>
      <w:r w:rsidR="00414395">
        <w:t xml:space="preserve"> </w:t>
      </w:r>
      <w:r w:rsidRPr="002F54CC">
        <w:t>calculated in accordance with the formula –</w:t>
      </w:r>
      <w:bookmarkEnd w:id="33"/>
    </w:p>
    <w:p w:rsidR="00321F81" w:rsidRPr="00564F0A" w:rsidRDefault="0067630A" w:rsidP="00321F81">
      <w:pPr>
        <w:pStyle w:val="Schnumberedtext"/>
        <w:numPr>
          <w:ilvl w:val="0"/>
          <w:numId w:val="0"/>
        </w:numPr>
        <w:ind w:left="360"/>
      </w:pPr>
      <m:oMathPara>
        <m:oMath>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SAIDI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ICP</m:t>
                      </m:r>
                    </m:e>
                    <m:sub>
                      <m:r>
                        <m:rPr>
                          <m:sty m:val="p"/>
                        </m:rPr>
                        <w:rPr>
                          <w:rFonts w:ascii="Cambria Math" w:hAnsi="Cambria Math"/>
                        </w:rPr>
                        <m:t>t</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SAIDI</m:t>
                      </m:r>
                    </m:e>
                    <m:sub>
                      <m:r>
                        <w:rPr>
                          <w:rFonts w:ascii="Cambria Math" w:hAnsi="Cambria Math"/>
                          <w:strike/>
                          <w:color w:val="1F497D" w:themeColor="text2"/>
                        </w:rPr>
                        <m:t>other</m:t>
                      </m:r>
                      <m:r>
                        <w:rPr>
                          <w:rFonts w:ascii="Cambria Math" w:hAnsi="Cambria Math"/>
                          <w:color w:val="1F497D" w:themeColor="text2"/>
                        </w:rPr>
                        <m:t>added</m:t>
                      </m:r>
                      <m:r>
                        <w:rPr>
                          <w:rFonts w:ascii="Cambria Math" w:hAnsi="Cambria Math"/>
                        </w:rPr>
                        <m:t>, t</m:t>
                      </m:r>
                      <m:r>
                        <w:rPr>
                          <w:rFonts w:ascii="Cambria Math" w:hAnsi="Cambria Math"/>
                          <w:color w:val="1F497D" w:themeColor="text2"/>
                        </w:rPr>
                        <m:t>-1</m:t>
                      </m:r>
                    </m:sub>
                  </m:sSub>
                  <m:r>
                    <m:rPr>
                      <m:sty m:val="p"/>
                    </m:rPr>
                    <w:rPr>
                      <w:rFonts w:ascii="Cambria Math" w:hAnsi="Cambria Math"/>
                    </w:rPr>
                    <m:t>*</m:t>
                  </m:r>
                  <m:sSub>
                    <m:sSubPr>
                      <m:ctrlPr>
                        <w:rPr>
                          <w:rFonts w:ascii="Cambria Math" w:hAnsi="Cambria Math"/>
                        </w:rPr>
                      </m:ctrlPr>
                    </m:sSubPr>
                    <m:e>
                      <m:r>
                        <w:rPr>
                          <w:rFonts w:ascii="Cambria Math" w:hAnsi="Cambria Math"/>
                        </w:rPr>
                        <m:t>ICP</m:t>
                      </m:r>
                    </m:e>
                    <m:sub>
                      <m:r>
                        <m:rPr>
                          <m:sty m:val="p"/>
                        </m:rPr>
                        <w:rPr>
                          <w:rFonts w:ascii="Cambria Math" w:hAnsi="Cambria Math"/>
                        </w:rPr>
                        <m:t>added, t</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SAIDI</m:t>
                      </m:r>
                    </m:e>
                    <m:sub>
                      <m:r>
                        <w:rPr>
                          <w:rFonts w:ascii="Cambria Math" w:hAnsi="Cambria Math"/>
                        </w:rPr>
                        <m:t xml:space="preserve"> </m:t>
                      </m:r>
                      <m:r>
                        <w:rPr>
                          <w:rFonts w:ascii="Cambria Math" w:hAnsi="Cambria Math"/>
                          <w:color w:val="1F497D" w:themeColor="text2"/>
                        </w:rPr>
                        <m:t>lost,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ICP</m:t>
                      </m:r>
                    </m:e>
                    <m:sub>
                      <m:r>
                        <m:rPr>
                          <m:sty m:val="p"/>
                        </m:rPr>
                        <w:rPr>
                          <w:rFonts w:ascii="Cambria Math" w:hAnsi="Cambria Math"/>
                        </w:rPr>
                        <m:t>lost, t</m:t>
                      </m:r>
                    </m:sub>
                  </m:sSub>
                </m:e>
              </m:d>
            </m:num>
            <m:den>
              <m:sSub>
                <m:sSubPr>
                  <m:ctrlPr>
                    <w:rPr>
                      <w:rFonts w:ascii="Cambria Math" w:hAnsi="Cambria Math"/>
                    </w:rPr>
                  </m:ctrlPr>
                </m:sSubPr>
                <m:e>
                  <m:r>
                    <w:rPr>
                      <w:rFonts w:ascii="Cambria Math" w:hAnsi="Cambria Math"/>
                    </w:rPr>
                    <m:t>ICP</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ICP</m:t>
                  </m:r>
                </m:e>
                <m:sub>
                  <m:r>
                    <m:rPr>
                      <m:sty m:val="p"/>
                    </m:rPr>
                    <w:rPr>
                      <w:rFonts w:ascii="Cambria Math" w:hAnsi="Cambria Math"/>
                    </w:rPr>
                    <m:t>added, t</m:t>
                  </m:r>
                </m:sub>
              </m:sSub>
              <m:r>
                <w:rPr>
                  <w:rFonts w:ascii="Cambria Math" w:hAnsi="Cambria Math"/>
                </w:rPr>
                <m:t xml:space="preserve">- </m:t>
              </m:r>
              <m:sSub>
                <m:sSubPr>
                  <m:ctrlPr>
                    <w:rPr>
                      <w:rFonts w:ascii="Cambria Math" w:hAnsi="Cambria Math"/>
                    </w:rPr>
                  </m:ctrlPr>
                </m:sSubPr>
                <m:e>
                  <m:r>
                    <w:rPr>
                      <w:rFonts w:ascii="Cambria Math" w:hAnsi="Cambria Math"/>
                    </w:rPr>
                    <m:t>ICP</m:t>
                  </m:r>
                </m:e>
                <m:sub>
                  <m:r>
                    <m:rPr>
                      <m:sty m:val="p"/>
                    </m:rPr>
                    <w:rPr>
                      <w:rFonts w:ascii="Cambria Math" w:hAnsi="Cambria Math"/>
                    </w:rPr>
                    <m:t>lost, t</m:t>
                  </m:r>
                </m:sub>
              </m:sSub>
            </m:den>
          </m:f>
        </m:oMath>
      </m:oMathPara>
    </w:p>
    <w:p w:rsidR="00321F81" w:rsidRDefault="00113E4A" w:rsidP="00321F81">
      <w:pPr>
        <w:pStyle w:val="Schnumberedtext"/>
        <w:numPr>
          <w:ilvl w:val="0"/>
          <w:numId w:val="0"/>
        </w:numPr>
        <w:tabs>
          <w:tab w:val="left" w:pos="1701"/>
        </w:tabs>
        <w:ind w:left="1701" w:hanging="992"/>
      </w:pPr>
      <w:proofErr w:type="gramStart"/>
      <w:r>
        <w:t>where-</w:t>
      </w:r>
      <w:proofErr w:type="gramEnd"/>
    </w:p>
    <w:p w:rsidR="00321F81" w:rsidRDefault="00321F81" w:rsidP="00AA7ECC">
      <w:pPr>
        <w:pStyle w:val="Schnumberedtext"/>
        <w:numPr>
          <w:ilvl w:val="0"/>
          <w:numId w:val="0"/>
        </w:numPr>
        <w:tabs>
          <w:tab w:val="left" w:pos="1985"/>
        </w:tabs>
        <w:ind w:left="1985" w:hanging="1276"/>
      </w:pPr>
      <w:proofErr w:type="gramStart"/>
      <w:r>
        <w:rPr>
          <w:i/>
        </w:rPr>
        <w:t>t</w:t>
      </w:r>
      <w:proofErr w:type="gramEnd"/>
      <w:r>
        <w:tab/>
        <w:t xml:space="preserve">is the Assessment Period </w:t>
      </w:r>
      <w:r w:rsidR="00AA7ECC">
        <w:t xml:space="preserve">in which </w:t>
      </w:r>
      <w:r w:rsidR="00AA7ECC" w:rsidRPr="00EB4923">
        <w:rPr>
          <w:strike/>
          <w:color w:val="1F497D" w:themeColor="text2"/>
        </w:rPr>
        <w:t>the assets are transferred to or from a Non-exempt EDB</w:t>
      </w:r>
      <w:r w:rsidR="00EB4923">
        <w:t xml:space="preserve"> </w:t>
      </w:r>
      <w:r w:rsidR="00EB4923" w:rsidRPr="00EB4923">
        <w:rPr>
          <w:color w:val="1F497D" w:themeColor="text2"/>
          <w:u w:val="single"/>
        </w:rPr>
        <w:t>the Major Transaction occurs</w:t>
      </w:r>
      <w:r w:rsidR="00113E4A">
        <w:t>;</w:t>
      </w:r>
    </w:p>
    <w:p w:rsidR="004D32F9" w:rsidRDefault="00321F81" w:rsidP="00AA7ECC">
      <w:pPr>
        <w:pStyle w:val="Schnumberedtext"/>
        <w:numPr>
          <w:ilvl w:val="0"/>
          <w:numId w:val="0"/>
        </w:numPr>
        <w:tabs>
          <w:tab w:val="left" w:pos="1985"/>
        </w:tabs>
        <w:ind w:left="1985" w:hanging="1276"/>
      </w:pPr>
      <w:r>
        <w:rPr>
          <w:i/>
        </w:rPr>
        <w:t>SAIDI</w:t>
      </w:r>
      <w:r w:rsidRPr="00321F81">
        <w:rPr>
          <w:i/>
          <w:vertAlign w:val="subscript"/>
        </w:rPr>
        <w:t>t-1</w:t>
      </w:r>
      <w:r>
        <w:rPr>
          <w:i/>
        </w:rPr>
        <w:tab/>
      </w:r>
      <w:r w:rsidR="004D32F9">
        <w:t>is, for the purposes of –</w:t>
      </w:r>
    </w:p>
    <w:p w:rsidR="004D32F9" w:rsidRDefault="004D32F9" w:rsidP="004D32F9">
      <w:pPr>
        <w:pStyle w:val="Schnumberedtext"/>
        <w:numPr>
          <w:ilvl w:val="0"/>
          <w:numId w:val="0"/>
        </w:numPr>
        <w:tabs>
          <w:tab w:val="left" w:pos="1985"/>
        </w:tabs>
        <w:ind w:left="3261" w:hanging="1276"/>
      </w:pPr>
      <w:r w:rsidRPr="004D32F9">
        <w:t>(a)</w:t>
      </w:r>
      <w:r w:rsidRPr="004D32F9">
        <w:tab/>
      </w:r>
      <w:proofErr w:type="gramStart"/>
      <w:r w:rsidRPr="004D32F9">
        <w:t>calculating</w:t>
      </w:r>
      <w:proofErr w:type="gramEnd"/>
      <w:r w:rsidRPr="004D32F9">
        <w:t xml:space="preserve"> the SAIDI Target, </w:t>
      </w:r>
      <w:r w:rsidR="00321F81">
        <w:t>the S</w:t>
      </w:r>
      <w:r>
        <w:t>AIDI Target, and</w:t>
      </w:r>
    </w:p>
    <w:p w:rsidR="004D32F9" w:rsidRDefault="004D32F9" w:rsidP="004D32F9">
      <w:pPr>
        <w:pStyle w:val="Schnumberedtext"/>
        <w:numPr>
          <w:ilvl w:val="0"/>
          <w:numId w:val="0"/>
        </w:numPr>
        <w:tabs>
          <w:tab w:val="left" w:pos="1985"/>
        </w:tabs>
        <w:ind w:left="3261" w:hanging="1276"/>
      </w:pPr>
      <w:r>
        <w:t>(b)</w:t>
      </w:r>
      <w:r>
        <w:tab/>
      </w:r>
      <w:proofErr w:type="gramStart"/>
      <w:r>
        <w:t>calculating</w:t>
      </w:r>
      <w:proofErr w:type="gramEnd"/>
      <w:r>
        <w:t xml:space="preserve"> the </w:t>
      </w:r>
      <w:r w:rsidR="007C1970">
        <w:t>SAIDI Unplanned Boundary Value</w:t>
      </w:r>
      <w:r>
        <w:t>, the SAIDI Unplanned Boundary Value</w:t>
      </w:r>
    </w:p>
    <w:p w:rsidR="00321F81" w:rsidRPr="00113E4A" w:rsidRDefault="00321F81" w:rsidP="00B21E55">
      <w:pPr>
        <w:pStyle w:val="Schnumberedtext"/>
        <w:numPr>
          <w:ilvl w:val="0"/>
          <w:numId w:val="0"/>
        </w:numPr>
        <w:tabs>
          <w:tab w:val="left" w:pos="1985"/>
        </w:tabs>
        <w:ind w:left="1985"/>
      </w:pPr>
      <w:proofErr w:type="gramStart"/>
      <w:r>
        <w:t>of</w:t>
      </w:r>
      <w:proofErr w:type="gramEnd"/>
      <w:r>
        <w:t xml:space="preserve"> the Non-exempt EDB</w:t>
      </w:r>
      <w:r w:rsidR="007D2EEE">
        <w:t xml:space="preserve"> </w:t>
      </w:r>
      <w:r w:rsidRPr="0023230C">
        <w:rPr>
          <w:strike/>
          <w:color w:val="1F497D" w:themeColor="text2"/>
        </w:rPr>
        <w:t xml:space="preserve">in the Assessment Period prior to year </w:t>
      </w:r>
      <w:r w:rsidRPr="0023230C">
        <w:rPr>
          <w:i/>
          <w:strike/>
          <w:color w:val="1F497D" w:themeColor="text2"/>
        </w:rPr>
        <w:t>t</w:t>
      </w:r>
      <w:r w:rsidR="0023230C">
        <w:t xml:space="preserve"> </w:t>
      </w:r>
      <w:r w:rsidR="0023230C" w:rsidRPr="0023230C">
        <w:rPr>
          <w:color w:val="1F497D" w:themeColor="text2"/>
          <w:u w:val="single"/>
        </w:rPr>
        <w:t>as specified in Schedules 4A and 5B</w:t>
      </w:r>
      <w:r w:rsidR="00113E4A">
        <w:t>;</w:t>
      </w:r>
    </w:p>
    <w:p w:rsidR="004D32F9" w:rsidRDefault="00AA7ECC" w:rsidP="004D32F9">
      <w:pPr>
        <w:pStyle w:val="Schnumberedtext"/>
        <w:numPr>
          <w:ilvl w:val="0"/>
          <w:numId w:val="0"/>
        </w:numPr>
        <w:tabs>
          <w:tab w:val="left" w:pos="1985"/>
        </w:tabs>
        <w:ind w:left="1985" w:hanging="1276"/>
      </w:pPr>
      <w:proofErr w:type="spellStart"/>
      <w:r>
        <w:rPr>
          <w:i/>
        </w:rPr>
        <w:t>SAIDI</w:t>
      </w:r>
      <w:r w:rsidR="00C16294" w:rsidRPr="007D2EEE">
        <w:rPr>
          <w:i/>
          <w:strike/>
          <w:color w:val="1F497D" w:themeColor="text2"/>
          <w:vertAlign w:val="subscript"/>
        </w:rPr>
        <w:t>other</w:t>
      </w:r>
      <w:r w:rsidR="007D2EEE" w:rsidRPr="007D2EEE">
        <w:rPr>
          <w:i/>
          <w:color w:val="1F497D" w:themeColor="text2"/>
          <w:u w:val="single"/>
          <w:vertAlign w:val="subscript"/>
        </w:rPr>
        <w:t>added</w:t>
      </w:r>
      <w:proofErr w:type="spellEnd"/>
      <w:r>
        <w:rPr>
          <w:i/>
          <w:vertAlign w:val="subscript"/>
        </w:rPr>
        <w:t>, t</w:t>
      </w:r>
      <w:r w:rsidR="007F712B">
        <w:rPr>
          <w:i/>
          <w:vertAlign w:val="subscript"/>
        </w:rPr>
        <w:tab/>
      </w:r>
      <w:r w:rsidR="00321F81">
        <w:tab/>
        <w:t>is</w:t>
      </w:r>
      <w:r w:rsidR="004D32F9">
        <w:t>, for the purposes of –</w:t>
      </w:r>
    </w:p>
    <w:p w:rsidR="004D32F9" w:rsidRPr="00097713" w:rsidRDefault="004D32F9" w:rsidP="004D32F9">
      <w:pPr>
        <w:pStyle w:val="Schnumberedtext"/>
        <w:numPr>
          <w:ilvl w:val="0"/>
          <w:numId w:val="0"/>
        </w:numPr>
        <w:tabs>
          <w:tab w:val="left" w:pos="1985"/>
        </w:tabs>
        <w:ind w:left="3261" w:hanging="1276"/>
      </w:pPr>
      <w:r w:rsidRPr="004D32F9">
        <w:lastRenderedPageBreak/>
        <w:t>(a)</w:t>
      </w:r>
      <w:r w:rsidRPr="004D32F9">
        <w:tab/>
      </w:r>
      <w:r w:rsidRPr="00097713">
        <w:t>calculating the SAIDI Target</w:t>
      </w:r>
      <w:r w:rsidRPr="008E7747">
        <w:rPr>
          <w:color w:val="auto"/>
        </w:rPr>
        <w:t xml:space="preserve">, </w:t>
      </w:r>
      <w:r w:rsidRPr="008E7747">
        <w:rPr>
          <w:strike/>
          <w:color w:val="1F497D" w:themeColor="text2"/>
        </w:rPr>
        <w:t>the SAIDI Target</w:t>
      </w:r>
      <w:r w:rsidR="0027348C" w:rsidRPr="008E7747">
        <w:rPr>
          <w:strike/>
          <w:color w:val="1F497D" w:themeColor="text2"/>
        </w:rPr>
        <w:t>, subject to</w:t>
      </w:r>
      <w:r w:rsidR="0027348C" w:rsidRPr="00097713">
        <w:t xml:space="preserve"> </w:t>
      </w:r>
      <w:r w:rsidR="008E7747" w:rsidRPr="008E7747">
        <w:rPr>
          <w:color w:val="1F497D" w:themeColor="text2"/>
          <w:u w:val="single"/>
        </w:rPr>
        <w:t xml:space="preserve">the value </w:t>
      </w:r>
      <w:r w:rsidR="008E7747">
        <w:rPr>
          <w:color w:val="1F497D" w:themeColor="text2"/>
          <w:u w:val="single"/>
        </w:rPr>
        <w:t xml:space="preserve">of historic SAIDI </w:t>
      </w:r>
      <w:r w:rsidR="008E7747" w:rsidRPr="008E7747">
        <w:rPr>
          <w:color w:val="1F497D" w:themeColor="text2"/>
          <w:u w:val="single"/>
        </w:rPr>
        <w:t>calculated in accordance with</w:t>
      </w:r>
      <w:r w:rsidR="008E7747">
        <w:t xml:space="preserve"> </w:t>
      </w:r>
      <w:r w:rsidR="0027348C" w:rsidRPr="00097713">
        <w:t xml:space="preserve">paragraph </w:t>
      </w:r>
      <w:r w:rsidR="0027348C" w:rsidRPr="008E7747">
        <w:rPr>
          <w:strike/>
          <w:color w:val="1F497D" w:themeColor="text2"/>
        </w:rPr>
        <w:t>3</w:t>
      </w:r>
      <w:r w:rsidR="008E7747" w:rsidRPr="008E7747">
        <w:rPr>
          <w:color w:val="1F497D" w:themeColor="text2"/>
          <w:u w:val="single"/>
        </w:rPr>
        <w:t>5</w:t>
      </w:r>
      <w:r w:rsidRPr="00097713">
        <w:t>, and</w:t>
      </w:r>
    </w:p>
    <w:p w:rsidR="004D32F9" w:rsidRPr="00097713" w:rsidRDefault="004D32F9" w:rsidP="004D32F9">
      <w:pPr>
        <w:pStyle w:val="Schnumberedtext"/>
        <w:numPr>
          <w:ilvl w:val="0"/>
          <w:numId w:val="0"/>
        </w:numPr>
        <w:tabs>
          <w:tab w:val="left" w:pos="1985"/>
        </w:tabs>
        <w:ind w:left="3261" w:hanging="1276"/>
      </w:pPr>
      <w:r w:rsidRPr="00097713">
        <w:t>(b)</w:t>
      </w:r>
      <w:r w:rsidRPr="00097713">
        <w:tab/>
      </w:r>
      <w:proofErr w:type="gramStart"/>
      <w:r w:rsidRPr="00097713">
        <w:t>calculating</w:t>
      </w:r>
      <w:proofErr w:type="gramEnd"/>
      <w:r w:rsidRPr="00097713">
        <w:t xml:space="preserve"> the SAIDI Unplanned Boundary Value, the SAIDI Unplanned Boundary Value</w:t>
      </w:r>
    </w:p>
    <w:p w:rsidR="00321F81" w:rsidRPr="0094773C" w:rsidRDefault="004D32F9" w:rsidP="00AA7ECC">
      <w:pPr>
        <w:pStyle w:val="Schnumberedtext"/>
        <w:numPr>
          <w:ilvl w:val="0"/>
          <w:numId w:val="0"/>
        </w:numPr>
        <w:tabs>
          <w:tab w:val="left" w:pos="1985"/>
        </w:tabs>
        <w:ind w:left="1985" w:hanging="1276"/>
      </w:pPr>
      <w:r w:rsidRPr="00097713">
        <w:tab/>
      </w:r>
      <w:r w:rsidR="00414395" w:rsidRPr="007F712B">
        <w:t xml:space="preserve">in the Assessment Period </w:t>
      </w:r>
      <w:r w:rsidR="00414395" w:rsidRPr="007F712B">
        <w:rPr>
          <w:i/>
        </w:rPr>
        <w:t>t</w:t>
      </w:r>
      <w:r w:rsidR="00414395" w:rsidRPr="007F712B">
        <w:t xml:space="preserve"> </w:t>
      </w:r>
      <w:r w:rsidR="00AA7ECC" w:rsidRPr="007F712B">
        <w:rPr>
          <w:strike/>
          <w:color w:val="1F497D" w:themeColor="text2"/>
        </w:rPr>
        <w:t>of the</w:t>
      </w:r>
      <w:r w:rsidR="00AA7ECC" w:rsidRPr="007F712B">
        <w:rPr>
          <w:color w:val="1F497D" w:themeColor="text2"/>
        </w:rPr>
        <w:t xml:space="preserve"> </w:t>
      </w:r>
      <w:r w:rsidR="00AA7ECC" w:rsidRPr="007F712B">
        <w:rPr>
          <w:strike/>
          <w:color w:val="1F497D" w:themeColor="text2"/>
        </w:rPr>
        <w:t xml:space="preserve">EDB </w:t>
      </w:r>
      <w:r w:rsidR="00C16294" w:rsidRPr="007F712B">
        <w:rPr>
          <w:strike/>
          <w:color w:val="1F497D" w:themeColor="text2"/>
        </w:rPr>
        <w:t xml:space="preserve">from </w:t>
      </w:r>
      <w:r w:rsidR="00414395" w:rsidRPr="007F712B">
        <w:rPr>
          <w:strike/>
          <w:color w:val="1F497D" w:themeColor="text2"/>
        </w:rPr>
        <w:t>which assets have been transferred to or from</w:t>
      </w:r>
      <w:r w:rsidR="0094773C" w:rsidRPr="007F712B">
        <w:t xml:space="preserve"> </w:t>
      </w:r>
      <w:r w:rsidR="008E7747" w:rsidRPr="007F712B">
        <w:rPr>
          <w:color w:val="1F497D" w:themeColor="text2"/>
          <w:u w:val="single"/>
        </w:rPr>
        <w:t xml:space="preserve">for the </w:t>
      </w:r>
      <w:r w:rsidR="00097713" w:rsidRPr="007F712B">
        <w:rPr>
          <w:color w:val="1F497D" w:themeColor="text2"/>
          <w:u w:val="single"/>
        </w:rPr>
        <w:t xml:space="preserve">ICPs </w:t>
      </w:r>
      <w:r w:rsidR="0023230C" w:rsidRPr="007F712B">
        <w:rPr>
          <w:color w:val="1F497D" w:themeColor="text2"/>
          <w:u w:val="single"/>
        </w:rPr>
        <w:t>transferred</w:t>
      </w:r>
      <w:r w:rsidR="0064088B" w:rsidRPr="007F712B">
        <w:rPr>
          <w:color w:val="1F497D" w:themeColor="text2"/>
          <w:u w:val="single"/>
        </w:rPr>
        <w:t xml:space="preserve"> to the Non-exempt EDB</w:t>
      </w:r>
      <w:r w:rsidR="00097713" w:rsidRPr="007F712B">
        <w:t xml:space="preserve"> </w:t>
      </w:r>
      <w:r w:rsidR="0094773C" w:rsidRPr="007F712B">
        <w:t xml:space="preserve">as part of the Major Transaction </w:t>
      </w:r>
      <w:r w:rsidR="0094773C" w:rsidRPr="007F712B">
        <w:rPr>
          <w:strike/>
          <w:color w:val="1F497D" w:themeColor="text2"/>
        </w:rPr>
        <w:t>or</w:t>
      </w:r>
      <w:r w:rsidR="0094773C" w:rsidRPr="007F712B">
        <w:rPr>
          <w:rFonts w:asciiTheme="minorHAnsi" w:hAnsiTheme="minorHAnsi"/>
          <w:strike/>
          <w:color w:val="1F497D" w:themeColor="text2"/>
        </w:rPr>
        <w:t xml:space="preserve"> transfer of transmission assets from Transpower</w:t>
      </w:r>
      <w:r w:rsidR="00113E4A" w:rsidRPr="007F712B">
        <w:rPr>
          <w:rFonts w:asciiTheme="minorHAnsi" w:hAnsiTheme="minorHAnsi"/>
        </w:rPr>
        <w:t>;</w:t>
      </w:r>
    </w:p>
    <w:p w:rsidR="007D2EEE" w:rsidRPr="00504184" w:rsidRDefault="007D2EEE" w:rsidP="007D2EEE">
      <w:pPr>
        <w:pStyle w:val="Schnumberedtext"/>
        <w:numPr>
          <w:ilvl w:val="0"/>
          <w:numId w:val="0"/>
        </w:numPr>
        <w:tabs>
          <w:tab w:val="left" w:pos="1985"/>
        </w:tabs>
        <w:ind w:left="1985" w:hanging="1276"/>
        <w:rPr>
          <w:color w:val="1F497D" w:themeColor="text2"/>
          <w:u w:val="single"/>
        </w:rPr>
      </w:pPr>
      <w:proofErr w:type="spellStart"/>
      <w:r w:rsidRPr="00504184">
        <w:rPr>
          <w:i/>
          <w:color w:val="1F497D" w:themeColor="text2"/>
          <w:u w:val="single"/>
        </w:rPr>
        <w:t>SAIDI</w:t>
      </w:r>
      <w:r w:rsidRPr="00504184">
        <w:rPr>
          <w:i/>
          <w:color w:val="1F497D" w:themeColor="text2"/>
          <w:u w:val="single"/>
          <w:vertAlign w:val="subscript"/>
        </w:rPr>
        <w:t>lost</w:t>
      </w:r>
      <w:proofErr w:type="spellEnd"/>
      <w:r w:rsidRPr="00504184">
        <w:rPr>
          <w:i/>
          <w:color w:val="1F497D" w:themeColor="text2"/>
          <w:u w:val="single"/>
          <w:vertAlign w:val="subscript"/>
        </w:rPr>
        <w:t>, t</w:t>
      </w:r>
      <w:r w:rsidRPr="00504184">
        <w:rPr>
          <w:color w:val="1F497D" w:themeColor="text2"/>
          <w:u w:val="single"/>
        </w:rPr>
        <w:tab/>
        <w:t>is, for the purposes of –</w:t>
      </w:r>
    </w:p>
    <w:p w:rsidR="007D2EEE" w:rsidRPr="00504184" w:rsidRDefault="007D2EEE" w:rsidP="007D2EEE">
      <w:pPr>
        <w:pStyle w:val="Schnumberedtext"/>
        <w:numPr>
          <w:ilvl w:val="0"/>
          <w:numId w:val="0"/>
        </w:numPr>
        <w:tabs>
          <w:tab w:val="left" w:pos="1985"/>
        </w:tabs>
        <w:ind w:left="3261" w:hanging="1276"/>
        <w:rPr>
          <w:color w:val="1F497D" w:themeColor="text2"/>
          <w:u w:val="single"/>
        </w:rPr>
      </w:pPr>
      <w:r w:rsidRPr="00504184">
        <w:rPr>
          <w:color w:val="1F497D" w:themeColor="text2"/>
          <w:u w:val="single"/>
        </w:rPr>
        <w:t>(a)</w:t>
      </w:r>
      <w:r w:rsidRPr="00504184">
        <w:rPr>
          <w:color w:val="1F497D" w:themeColor="text2"/>
          <w:u w:val="single"/>
        </w:rPr>
        <w:tab/>
      </w:r>
      <w:proofErr w:type="gramStart"/>
      <w:r w:rsidRPr="00504184">
        <w:rPr>
          <w:color w:val="1F497D" w:themeColor="text2"/>
          <w:u w:val="single"/>
        </w:rPr>
        <w:t>calculating</w:t>
      </w:r>
      <w:proofErr w:type="gramEnd"/>
      <w:r w:rsidRPr="00504184">
        <w:rPr>
          <w:color w:val="1F497D" w:themeColor="text2"/>
          <w:u w:val="single"/>
        </w:rPr>
        <w:t xml:space="preserve"> the SAIDI Target, the </w:t>
      </w:r>
      <w:r w:rsidR="008E7747">
        <w:rPr>
          <w:color w:val="1F497D" w:themeColor="text2"/>
          <w:u w:val="single"/>
        </w:rPr>
        <w:t xml:space="preserve">value of historic </w:t>
      </w:r>
      <w:r w:rsidRPr="00504184">
        <w:rPr>
          <w:color w:val="1F497D" w:themeColor="text2"/>
          <w:u w:val="single"/>
        </w:rPr>
        <w:t xml:space="preserve">SAIDI </w:t>
      </w:r>
      <w:r w:rsidR="008E7747">
        <w:rPr>
          <w:color w:val="1F497D" w:themeColor="text2"/>
          <w:u w:val="single"/>
        </w:rPr>
        <w:t xml:space="preserve">calculated in accordance with </w:t>
      </w:r>
      <w:r w:rsidRPr="00504184">
        <w:rPr>
          <w:color w:val="1F497D" w:themeColor="text2"/>
          <w:u w:val="single"/>
        </w:rPr>
        <w:t xml:space="preserve">paragraph </w:t>
      </w:r>
      <w:r w:rsidR="00237C0F" w:rsidRPr="00504184">
        <w:rPr>
          <w:color w:val="1F497D" w:themeColor="text2"/>
          <w:u w:val="single"/>
        </w:rPr>
        <w:t>5</w:t>
      </w:r>
      <w:r w:rsidRPr="00504184">
        <w:rPr>
          <w:color w:val="1F497D" w:themeColor="text2"/>
          <w:u w:val="single"/>
        </w:rPr>
        <w:t>, and</w:t>
      </w:r>
    </w:p>
    <w:p w:rsidR="007D2EEE" w:rsidRPr="00504184" w:rsidRDefault="007D2EEE" w:rsidP="007D2EEE">
      <w:pPr>
        <w:pStyle w:val="Schnumberedtext"/>
        <w:numPr>
          <w:ilvl w:val="0"/>
          <w:numId w:val="0"/>
        </w:numPr>
        <w:tabs>
          <w:tab w:val="left" w:pos="1985"/>
        </w:tabs>
        <w:ind w:left="3261" w:hanging="1276"/>
        <w:rPr>
          <w:color w:val="1F497D" w:themeColor="text2"/>
          <w:u w:val="single"/>
        </w:rPr>
      </w:pPr>
      <w:r w:rsidRPr="00504184">
        <w:rPr>
          <w:color w:val="1F497D" w:themeColor="text2"/>
          <w:u w:val="single"/>
        </w:rPr>
        <w:t>(b)</w:t>
      </w:r>
      <w:r w:rsidRPr="00504184">
        <w:rPr>
          <w:color w:val="1F497D" w:themeColor="text2"/>
          <w:u w:val="single"/>
        </w:rPr>
        <w:tab/>
      </w:r>
      <w:proofErr w:type="gramStart"/>
      <w:r w:rsidRPr="00504184">
        <w:rPr>
          <w:color w:val="1F497D" w:themeColor="text2"/>
          <w:u w:val="single"/>
        </w:rPr>
        <w:t>calculating</w:t>
      </w:r>
      <w:proofErr w:type="gramEnd"/>
      <w:r w:rsidRPr="00504184">
        <w:rPr>
          <w:color w:val="1F497D" w:themeColor="text2"/>
          <w:u w:val="single"/>
        </w:rPr>
        <w:t xml:space="preserve"> the SAIDI Unplanned Boundary Value, the SAIDI Unplanned Boundary Value</w:t>
      </w:r>
    </w:p>
    <w:p w:rsidR="00237C0F" w:rsidRPr="00504184" w:rsidRDefault="00237C0F" w:rsidP="00237C0F">
      <w:pPr>
        <w:pStyle w:val="Schnumberedtext"/>
        <w:numPr>
          <w:ilvl w:val="0"/>
          <w:numId w:val="0"/>
        </w:numPr>
        <w:tabs>
          <w:tab w:val="left" w:pos="1985"/>
        </w:tabs>
        <w:ind w:left="1985"/>
        <w:rPr>
          <w:color w:val="1F497D" w:themeColor="text2"/>
          <w:u w:val="single"/>
        </w:rPr>
      </w:pPr>
      <w:proofErr w:type="gramStart"/>
      <w:r w:rsidRPr="007F712B">
        <w:rPr>
          <w:color w:val="1F497D" w:themeColor="text2"/>
          <w:u w:val="single"/>
        </w:rPr>
        <w:t>in</w:t>
      </w:r>
      <w:proofErr w:type="gramEnd"/>
      <w:r w:rsidRPr="007F712B">
        <w:rPr>
          <w:color w:val="1F497D" w:themeColor="text2"/>
          <w:u w:val="single"/>
        </w:rPr>
        <w:t xml:space="preserve"> the Assessment Period </w:t>
      </w:r>
      <w:r w:rsidR="007F712B" w:rsidRPr="007F712B">
        <w:rPr>
          <w:i/>
          <w:color w:val="1F497D" w:themeColor="text2"/>
          <w:u w:val="single"/>
        </w:rPr>
        <w:t>t</w:t>
      </w:r>
      <w:r w:rsidRPr="007F712B">
        <w:rPr>
          <w:color w:val="1F497D" w:themeColor="text2"/>
          <w:u w:val="single"/>
        </w:rPr>
        <w:t xml:space="preserve"> </w:t>
      </w:r>
      <w:r w:rsidR="00901E10" w:rsidRPr="007F712B">
        <w:rPr>
          <w:color w:val="1F497D" w:themeColor="text2"/>
          <w:u w:val="single"/>
        </w:rPr>
        <w:t>for</w:t>
      </w:r>
      <w:r w:rsidRPr="007F712B">
        <w:rPr>
          <w:color w:val="1F497D" w:themeColor="text2"/>
          <w:u w:val="single"/>
        </w:rPr>
        <w:t xml:space="preserve"> the ICPs </w:t>
      </w:r>
      <w:r w:rsidR="0064088B" w:rsidRPr="007F712B">
        <w:rPr>
          <w:color w:val="1F497D" w:themeColor="text2"/>
          <w:u w:val="single"/>
        </w:rPr>
        <w:t>transferred</w:t>
      </w:r>
      <w:r w:rsidRPr="007F712B">
        <w:rPr>
          <w:color w:val="1F497D" w:themeColor="text2"/>
          <w:u w:val="single"/>
        </w:rPr>
        <w:t xml:space="preserve"> </w:t>
      </w:r>
      <w:r w:rsidR="0064088B" w:rsidRPr="007F712B">
        <w:rPr>
          <w:color w:val="1F497D" w:themeColor="text2"/>
          <w:u w:val="single"/>
        </w:rPr>
        <w:t xml:space="preserve">from the Non-exempt EDB </w:t>
      </w:r>
      <w:r w:rsidRPr="007F712B">
        <w:rPr>
          <w:color w:val="1F497D" w:themeColor="text2"/>
          <w:u w:val="single"/>
        </w:rPr>
        <w:t>as part of the Major Transaction</w:t>
      </w:r>
      <w:r w:rsidRPr="007F712B">
        <w:rPr>
          <w:rFonts w:asciiTheme="minorHAnsi" w:hAnsiTheme="minorHAnsi"/>
          <w:color w:val="1F497D" w:themeColor="text2"/>
          <w:u w:val="single"/>
        </w:rPr>
        <w:t>;</w:t>
      </w:r>
    </w:p>
    <w:p w:rsidR="00321F81" w:rsidRPr="00113E4A" w:rsidRDefault="00321F81" w:rsidP="007D2EEE">
      <w:pPr>
        <w:pStyle w:val="Schnumberedtext"/>
        <w:numPr>
          <w:ilvl w:val="0"/>
          <w:numId w:val="0"/>
        </w:numPr>
        <w:tabs>
          <w:tab w:val="left" w:pos="1985"/>
        </w:tabs>
        <w:ind w:left="1985" w:hanging="1276"/>
      </w:pPr>
      <w:proofErr w:type="spellStart"/>
      <w:r w:rsidRPr="00321F81">
        <w:rPr>
          <w:i/>
        </w:rPr>
        <w:t>ICP</w:t>
      </w:r>
      <w:r w:rsidR="0094773C" w:rsidRPr="0094773C">
        <w:rPr>
          <w:i/>
          <w:vertAlign w:val="subscript"/>
        </w:rPr>
        <w:t>t</w:t>
      </w:r>
      <w:proofErr w:type="spellEnd"/>
      <w:r>
        <w:tab/>
        <w:t xml:space="preserve">is the number of ICPs on the </w:t>
      </w:r>
      <w:r w:rsidR="0094773C">
        <w:t xml:space="preserve">Non-exempt EDB’s </w:t>
      </w:r>
      <w:r>
        <w:t xml:space="preserve">network </w:t>
      </w:r>
      <w:r w:rsidR="006A76D6">
        <w:t>immediately prior to the Major</w:t>
      </w:r>
      <w:r w:rsidR="006A76D6" w:rsidRPr="0064088B">
        <w:rPr>
          <w:color w:val="auto"/>
        </w:rPr>
        <w:t xml:space="preserve"> Transaction</w:t>
      </w:r>
      <w:r w:rsidR="006A76D6" w:rsidRPr="00F55DE9">
        <w:rPr>
          <w:color w:val="auto"/>
        </w:rPr>
        <w:t xml:space="preserve"> </w:t>
      </w:r>
      <w:r w:rsidR="006A76D6" w:rsidRPr="008E7747">
        <w:rPr>
          <w:strike/>
          <w:color w:val="1F497D" w:themeColor="text2"/>
        </w:rPr>
        <w:t>or transfer of transmission assets from Transpower</w:t>
      </w:r>
      <w:r w:rsidR="00113E4A">
        <w:t>;</w:t>
      </w:r>
    </w:p>
    <w:p w:rsidR="005C75CF" w:rsidRPr="007D2EEE" w:rsidRDefault="005C75CF" w:rsidP="005C75CF">
      <w:pPr>
        <w:pStyle w:val="Schnumberedtext"/>
        <w:numPr>
          <w:ilvl w:val="0"/>
          <w:numId w:val="0"/>
        </w:numPr>
        <w:tabs>
          <w:tab w:val="left" w:pos="1985"/>
        </w:tabs>
        <w:ind w:left="1985" w:hanging="1276"/>
        <w:rPr>
          <w:strike/>
          <w:color w:val="1F497D" w:themeColor="text2"/>
        </w:rPr>
      </w:pPr>
      <w:proofErr w:type="spellStart"/>
      <w:r w:rsidRPr="00321F81">
        <w:rPr>
          <w:i/>
        </w:rPr>
        <w:t>ICP</w:t>
      </w:r>
      <w:r w:rsidRPr="0094773C">
        <w:rPr>
          <w:i/>
          <w:vertAlign w:val="subscript"/>
        </w:rPr>
        <w:t>a</w:t>
      </w:r>
      <w:r>
        <w:rPr>
          <w:i/>
          <w:vertAlign w:val="subscript"/>
        </w:rPr>
        <w:t>dded</w:t>
      </w:r>
      <w:proofErr w:type="spellEnd"/>
      <w:r w:rsidRPr="0094773C">
        <w:rPr>
          <w:i/>
          <w:vertAlign w:val="subscript"/>
        </w:rPr>
        <w:t>, t</w:t>
      </w:r>
      <w:r>
        <w:tab/>
        <w:t>is</w:t>
      </w:r>
      <w:r w:rsidRPr="007D2EEE">
        <w:rPr>
          <w:strike/>
          <w:color w:val="1F497D" w:themeColor="text2"/>
        </w:rPr>
        <w:t>, for the purposes of–</w:t>
      </w:r>
    </w:p>
    <w:p w:rsidR="005C75CF" w:rsidRDefault="00B21E55" w:rsidP="00B21E55">
      <w:pPr>
        <w:pStyle w:val="Schnumberedtext"/>
        <w:numPr>
          <w:ilvl w:val="0"/>
          <w:numId w:val="0"/>
        </w:numPr>
        <w:tabs>
          <w:tab w:val="left" w:pos="1985"/>
        </w:tabs>
        <w:ind w:left="2835" w:hanging="850"/>
      </w:pPr>
      <w:r w:rsidRPr="007D2EEE">
        <w:rPr>
          <w:strike/>
          <w:color w:val="1F497D" w:themeColor="text2"/>
        </w:rPr>
        <w:t>(a)</w:t>
      </w:r>
      <w:r w:rsidRPr="007D2EEE">
        <w:rPr>
          <w:strike/>
          <w:color w:val="1F497D" w:themeColor="text2"/>
        </w:rPr>
        <w:tab/>
      </w:r>
      <w:proofErr w:type="gramStart"/>
      <w:r w:rsidR="005C75CF" w:rsidRPr="007D2EEE">
        <w:rPr>
          <w:strike/>
          <w:color w:val="1F497D" w:themeColor="text2"/>
        </w:rPr>
        <w:t>a</w:t>
      </w:r>
      <w:proofErr w:type="gramEnd"/>
      <w:r w:rsidR="005C75CF" w:rsidRPr="007D2EEE">
        <w:rPr>
          <w:strike/>
          <w:color w:val="1F497D" w:themeColor="text2"/>
        </w:rPr>
        <w:t xml:space="preserve"> Major Transaction,</w:t>
      </w:r>
      <w:r w:rsidR="005C75CF">
        <w:t xml:space="preserve"> the number of ICPs transferred to the Non-exempt EDB in the Assessment Period </w:t>
      </w:r>
      <w:r w:rsidR="005C75CF">
        <w:rPr>
          <w:i/>
        </w:rPr>
        <w:t>t</w:t>
      </w:r>
      <w:r w:rsidR="005C75CF" w:rsidRPr="0094773C">
        <w:t xml:space="preserve"> </w:t>
      </w:r>
      <w:r w:rsidR="005C75CF">
        <w:t xml:space="preserve">as part of the Major Transaction, </w:t>
      </w:r>
    </w:p>
    <w:p w:rsidR="005C75CF" w:rsidRPr="0094773C" w:rsidRDefault="005C75CF" w:rsidP="005C75CF">
      <w:pPr>
        <w:pStyle w:val="Schnumberedtext"/>
        <w:numPr>
          <w:ilvl w:val="0"/>
          <w:numId w:val="0"/>
        </w:numPr>
        <w:tabs>
          <w:tab w:val="left" w:pos="1985"/>
        </w:tabs>
        <w:ind w:left="2835" w:hanging="850"/>
      </w:pPr>
      <w:r w:rsidRPr="007D2EEE">
        <w:rPr>
          <w:strike/>
          <w:color w:val="1F497D" w:themeColor="text2"/>
        </w:rPr>
        <w:t>(</w:t>
      </w:r>
      <w:r w:rsidR="007D2EEE" w:rsidRPr="007D2EEE">
        <w:rPr>
          <w:strike/>
          <w:color w:val="1F497D" w:themeColor="text2"/>
        </w:rPr>
        <w:t>b</w:t>
      </w:r>
      <w:r w:rsidRPr="007D2EEE">
        <w:rPr>
          <w:strike/>
          <w:color w:val="1F497D" w:themeColor="text2"/>
        </w:rPr>
        <w:t>)</w:t>
      </w:r>
      <w:r w:rsidRPr="007D2EEE">
        <w:rPr>
          <w:strike/>
          <w:color w:val="1F497D" w:themeColor="text2"/>
        </w:rPr>
        <w:tab/>
      </w:r>
      <w:proofErr w:type="gramStart"/>
      <w:r w:rsidRPr="007D2EEE">
        <w:rPr>
          <w:strike/>
          <w:color w:val="1F497D" w:themeColor="text2"/>
        </w:rPr>
        <w:t>a</w:t>
      </w:r>
      <w:proofErr w:type="gramEnd"/>
      <w:r w:rsidRPr="007D2EEE">
        <w:rPr>
          <w:rFonts w:asciiTheme="minorHAnsi" w:hAnsiTheme="minorHAnsi"/>
          <w:strike/>
          <w:color w:val="1F497D" w:themeColor="text2"/>
        </w:rPr>
        <w:t xml:space="preserve"> transfer of transmission assets from Transpower, equal to </w:t>
      </w:r>
      <w:proofErr w:type="spellStart"/>
      <w:r w:rsidRPr="007D2EEE">
        <w:rPr>
          <w:rFonts w:asciiTheme="minorHAnsi" w:hAnsiTheme="minorHAnsi"/>
          <w:i/>
          <w:strike/>
          <w:color w:val="1F497D" w:themeColor="text2"/>
        </w:rPr>
        <w:t>ICP</w:t>
      </w:r>
      <w:r w:rsidRPr="007D2EEE">
        <w:rPr>
          <w:rFonts w:asciiTheme="minorHAnsi" w:hAnsiTheme="minorHAnsi"/>
          <w:i/>
          <w:strike/>
          <w:color w:val="1F497D" w:themeColor="text2"/>
          <w:vertAlign w:val="subscript"/>
        </w:rPr>
        <w:t>t</w:t>
      </w:r>
      <w:proofErr w:type="spellEnd"/>
      <w:r w:rsidRPr="007D2EEE">
        <w:rPr>
          <w:rFonts w:asciiTheme="minorHAnsi" w:hAnsiTheme="minorHAnsi"/>
          <w:strike/>
          <w:color w:val="1F497D" w:themeColor="text2"/>
        </w:rPr>
        <w:t>;</w:t>
      </w:r>
      <w:r w:rsidRPr="007D2EEE">
        <w:rPr>
          <w:rFonts w:asciiTheme="minorHAnsi" w:hAnsiTheme="minorHAnsi"/>
          <w:color w:val="1F497D" w:themeColor="text2"/>
        </w:rPr>
        <w:t xml:space="preserve"> </w:t>
      </w:r>
      <w:r w:rsidRPr="00BA0E3E">
        <w:rPr>
          <w:rFonts w:asciiTheme="minorHAnsi" w:hAnsiTheme="minorHAnsi"/>
        </w:rPr>
        <w:t>and</w:t>
      </w:r>
    </w:p>
    <w:p w:rsidR="005C75CF" w:rsidRPr="007D2EEE" w:rsidRDefault="005C75CF" w:rsidP="005C75CF">
      <w:pPr>
        <w:pStyle w:val="Schnumberedtext"/>
        <w:numPr>
          <w:ilvl w:val="0"/>
          <w:numId w:val="0"/>
        </w:numPr>
        <w:tabs>
          <w:tab w:val="left" w:pos="1985"/>
        </w:tabs>
        <w:ind w:left="1985" w:hanging="1276"/>
        <w:rPr>
          <w:strike/>
          <w:color w:val="1F497D" w:themeColor="text2"/>
        </w:rPr>
      </w:pPr>
      <w:proofErr w:type="spellStart"/>
      <w:r w:rsidRPr="00321F81">
        <w:rPr>
          <w:i/>
        </w:rPr>
        <w:t>ICP</w:t>
      </w:r>
      <w:r>
        <w:rPr>
          <w:i/>
          <w:vertAlign w:val="subscript"/>
        </w:rPr>
        <w:t>lo</w:t>
      </w:r>
      <w:r w:rsidRPr="0094773C">
        <w:rPr>
          <w:i/>
          <w:vertAlign w:val="subscript"/>
        </w:rPr>
        <w:t>s</w:t>
      </w:r>
      <w:r>
        <w:rPr>
          <w:i/>
          <w:vertAlign w:val="subscript"/>
        </w:rPr>
        <w:t>t</w:t>
      </w:r>
      <w:proofErr w:type="spellEnd"/>
      <w:r>
        <w:rPr>
          <w:i/>
          <w:vertAlign w:val="subscript"/>
        </w:rPr>
        <w:t>, t</w:t>
      </w:r>
      <w:r>
        <w:tab/>
        <w:t>is</w:t>
      </w:r>
      <w:r w:rsidRPr="007D2EEE">
        <w:rPr>
          <w:strike/>
          <w:color w:val="1F497D" w:themeColor="text2"/>
        </w:rPr>
        <w:t>, for the purposes of–</w:t>
      </w:r>
    </w:p>
    <w:p w:rsidR="005C75CF" w:rsidRDefault="005C75CF" w:rsidP="005C75CF">
      <w:pPr>
        <w:pStyle w:val="Schnumberedtext"/>
        <w:numPr>
          <w:ilvl w:val="0"/>
          <w:numId w:val="0"/>
        </w:numPr>
        <w:tabs>
          <w:tab w:val="left" w:pos="1985"/>
        </w:tabs>
        <w:ind w:left="2835" w:hanging="850"/>
      </w:pPr>
      <w:r w:rsidRPr="007D2EEE">
        <w:rPr>
          <w:strike/>
          <w:color w:val="1F497D" w:themeColor="text2"/>
        </w:rPr>
        <w:t>(a)</w:t>
      </w:r>
      <w:r w:rsidRPr="007D2EEE">
        <w:rPr>
          <w:strike/>
          <w:color w:val="1F497D" w:themeColor="text2"/>
        </w:rPr>
        <w:tab/>
      </w:r>
      <w:proofErr w:type="gramStart"/>
      <w:r w:rsidRPr="007D2EEE">
        <w:rPr>
          <w:strike/>
          <w:color w:val="1F497D" w:themeColor="text2"/>
        </w:rPr>
        <w:t>a</w:t>
      </w:r>
      <w:proofErr w:type="gramEnd"/>
      <w:r w:rsidRPr="007D2EEE">
        <w:rPr>
          <w:strike/>
          <w:color w:val="1F497D" w:themeColor="text2"/>
        </w:rPr>
        <w:t xml:space="preserve"> Major Transaction,</w:t>
      </w:r>
      <w:r>
        <w:t xml:space="preserve"> the </w:t>
      </w:r>
      <w:r w:rsidRPr="008312A9">
        <w:rPr>
          <w:rFonts w:asciiTheme="minorHAnsi" w:hAnsiTheme="minorHAnsi"/>
        </w:rPr>
        <w:t>number</w:t>
      </w:r>
      <w:r>
        <w:t xml:space="preserve"> of ICPs transferred from the Non-exempt EDB in the Assessment Period </w:t>
      </w:r>
      <w:r>
        <w:rPr>
          <w:i/>
        </w:rPr>
        <w:t>t</w:t>
      </w:r>
      <w:r w:rsidRPr="0094773C">
        <w:t xml:space="preserve"> </w:t>
      </w:r>
      <w:r>
        <w:t>a</w:t>
      </w:r>
      <w:r w:rsidR="00901E10">
        <w:t>s part of the Major Transaction</w:t>
      </w:r>
      <w:r w:rsidR="00901E10" w:rsidRPr="00901E10">
        <w:rPr>
          <w:strike/>
          <w:color w:val="1F497D" w:themeColor="text2"/>
        </w:rPr>
        <w:t>,</w:t>
      </w:r>
      <w:r w:rsidR="00901E10" w:rsidRPr="00901E10">
        <w:rPr>
          <w:color w:val="1F497D" w:themeColor="text2"/>
          <w:u w:val="single"/>
        </w:rPr>
        <w:t>.</w:t>
      </w:r>
    </w:p>
    <w:p w:rsidR="005C75CF" w:rsidRPr="007D2EEE" w:rsidRDefault="005C75CF" w:rsidP="005C75CF">
      <w:pPr>
        <w:pStyle w:val="Schnumberedtext"/>
        <w:numPr>
          <w:ilvl w:val="0"/>
          <w:numId w:val="0"/>
        </w:numPr>
        <w:tabs>
          <w:tab w:val="left" w:pos="1985"/>
        </w:tabs>
        <w:ind w:left="2835" w:hanging="850"/>
        <w:rPr>
          <w:strike/>
        </w:rPr>
      </w:pPr>
      <w:r w:rsidRPr="007D2EEE">
        <w:rPr>
          <w:rFonts w:asciiTheme="minorHAnsi" w:hAnsiTheme="minorHAnsi"/>
          <w:strike/>
          <w:color w:val="1F497D" w:themeColor="text2"/>
        </w:rPr>
        <w:t>(b)</w:t>
      </w:r>
      <w:r w:rsidRPr="007D2EEE">
        <w:rPr>
          <w:rFonts w:asciiTheme="minorHAnsi" w:hAnsiTheme="minorHAnsi"/>
          <w:strike/>
          <w:color w:val="1F497D" w:themeColor="text2"/>
        </w:rPr>
        <w:tab/>
      </w:r>
      <w:proofErr w:type="gramStart"/>
      <w:r w:rsidRPr="007D2EEE">
        <w:rPr>
          <w:rFonts w:asciiTheme="minorHAnsi" w:hAnsiTheme="minorHAnsi"/>
          <w:strike/>
          <w:color w:val="1F497D" w:themeColor="text2"/>
        </w:rPr>
        <w:t>a</w:t>
      </w:r>
      <w:proofErr w:type="gramEnd"/>
      <w:r w:rsidRPr="007D2EEE">
        <w:rPr>
          <w:rFonts w:asciiTheme="minorHAnsi" w:hAnsiTheme="minorHAnsi"/>
          <w:strike/>
          <w:color w:val="1F497D" w:themeColor="text2"/>
        </w:rPr>
        <w:t xml:space="preserve"> transfer of transmission assets from Transpower, nil.</w:t>
      </w:r>
    </w:p>
    <w:p w:rsidR="00365151" w:rsidRPr="00365151" w:rsidRDefault="007D2EEE" w:rsidP="00365151">
      <w:pPr>
        <w:pStyle w:val="Schnumberedtext"/>
        <w:spacing w:before="240"/>
        <w:ind w:hanging="720"/>
        <w:rPr>
          <w:color w:val="1F497D" w:themeColor="text2"/>
          <w:u w:val="single"/>
        </w:rPr>
      </w:pPr>
      <w:bookmarkStart w:id="34" w:name="_Ref400436946"/>
      <w:r w:rsidRPr="00365151">
        <w:rPr>
          <w:color w:val="1F497D" w:themeColor="text2"/>
          <w:u w:val="single"/>
        </w:rPr>
        <w:t xml:space="preserve">For the purposes of paragraph </w:t>
      </w:r>
      <w:r w:rsidRPr="00365151">
        <w:rPr>
          <w:color w:val="1F497D" w:themeColor="text2"/>
          <w:u w:val="single"/>
        </w:rPr>
        <w:fldChar w:fldCharType="begin"/>
      </w:r>
      <w:r w:rsidRPr="00365151">
        <w:rPr>
          <w:color w:val="1F497D" w:themeColor="text2"/>
          <w:u w:val="single"/>
        </w:rPr>
        <w:instrText xml:space="preserve"> REF _Ref400100158 \r \h </w:instrText>
      </w:r>
      <w:r w:rsidR="00365151" w:rsidRPr="00365151">
        <w:rPr>
          <w:color w:val="1F497D" w:themeColor="text2"/>
          <w:u w:val="single"/>
        </w:rPr>
        <w:instrText xml:space="preserve"> \* MERGEFORMAT </w:instrText>
      </w:r>
      <w:r w:rsidRPr="00365151">
        <w:rPr>
          <w:color w:val="1F497D" w:themeColor="text2"/>
          <w:u w:val="single"/>
        </w:rPr>
      </w:r>
      <w:r w:rsidRPr="00365151">
        <w:rPr>
          <w:color w:val="1F497D" w:themeColor="text2"/>
          <w:u w:val="single"/>
        </w:rPr>
        <w:fldChar w:fldCharType="separate"/>
      </w:r>
      <w:r w:rsidRPr="00365151">
        <w:rPr>
          <w:color w:val="1F497D" w:themeColor="text2"/>
          <w:u w:val="single"/>
        </w:rPr>
        <w:t>1</w:t>
      </w:r>
      <w:r w:rsidRPr="00365151">
        <w:rPr>
          <w:color w:val="1F497D" w:themeColor="text2"/>
          <w:u w:val="single"/>
        </w:rPr>
        <w:fldChar w:fldCharType="end"/>
      </w:r>
      <w:r w:rsidRPr="00365151">
        <w:rPr>
          <w:color w:val="1F497D" w:themeColor="text2"/>
          <w:u w:val="single"/>
        </w:rPr>
        <w:t>, following an Amalgamation or Merger, the SAIDI Target and SAIDI Unplanned Boundary Values for each Assessment Period must be calculated in accordance with the formula</w:t>
      </w:r>
      <w:r w:rsidR="00365151" w:rsidRPr="00365151">
        <w:rPr>
          <w:color w:val="1F497D" w:themeColor="text2"/>
          <w:u w:val="single"/>
        </w:rPr>
        <w:t xml:space="preserve">– </w:t>
      </w:r>
    </w:p>
    <w:p w:rsidR="00365151" w:rsidRPr="00365151" w:rsidRDefault="0067630A" w:rsidP="00365151">
      <w:pPr>
        <w:pStyle w:val="Schnumberedtext"/>
        <w:numPr>
          <w:ilvl w:val="0"/>
          <w:numId w:val="0"/>
        </w:numPr>
        <w:ind w:left="360"/>
        <w:rPr>
          <w:color w:val="1F497D" w:themeColor="text2"/>
        </w:rPr>
      </w:pPr>
      <m:oMathPara>
        <m:oMath>
          <m:f>
            <m:fPr>
              <m:ctrlPr>
                <w:rPr>
                  <w:rFonts w:ascii="Cambria Math" w:hAnsi="Cambria Math"/>
                  <w:color w:val="1F497D" w:themeColor="text2"/>
                </w:rPr>
              </m:ctrlPr>
            </m:fPr>
            <m:num>
              <m:d>
                <m:dPr>
                  <m:ctrlPr>
                    <w:rPr>
                      <w:rFonts w:ascii="Cambria Math" w:hAnsi="Cambria Math"/>
                      <w:i/>
                      <w:color w:val="1F497D" w:themeColor="text2"/>
                    </w:rPr>
                  </m:ctrlPr>
                </m:dPr>
                <m:e>
                  <m:sSubSup>
                    <m:sSubSupPr>
                      <m:ctrlPr>
                        <w:rPr>
                          <w:rFonts w:ascii="Cambria Math" w:hAnsi="Cambria Math"/>
                          <w:i/>
                          <w:color w:val="1F497D" w:themeColor="text2"/>
                        </w:rPr>
                      </m:ctrlPr>
                    </m:sSubSupPr>
                    <m:e>
                      <m:r>
                        <w:rPr>
                          <w:rFonts w:ascii="Cambria Math" w:hAnsi="Cambria Math"/>
                          <w:color w:val="1F497D" w:themeColor="text2"/>
                        </w:rPr>
                        <m:t>SAIDI</m:t>
                      </m:r>
                    </m:e>
                    <m:sub>
                      <m:r>
                        <w:rPr>
                          <w:rFonts w:ascii="Cambria Math" w:hAnsi="Cambria Math"/>
                          <w:color w:val="1F497D" w:themeColor="text2"/>
                        </w:rPr>
                        <m:t>t-1</m:t>
                      </m:r>
                    </m:sub>
                    <m:sup>
                      <m:r>
                        <w:rPr>
                          <w:rFonts w:ascii="Cambria Math" w:hAnsi="Cambria Math"/>
                          <w:color w:val="1F497D" w:themeColor="text2"/>
                        </w:rPr>
                        <m:t>A</m:t>
                      </m:r>
                    </m:sup>
                  </m:sSubSup>
                  <m:r>
                    <w:rPr>
                      <w:rFonts w:ascii="Cambria Math" w:hAnsi="Cambria Math"/>
                      <w:color w:val="1F497D" w:themeColor="text2"/>
                    </w:rPr>
                    <m:t>*</m:t>
                  </m:r>
                  <m:sSubSup>
                    <m:sSubSupPr>
                      <m:ctrlPr>
                        <w:rPr>
                          <w:rFonts w:ascii="Cambria Math" w:hAnsi="Cambria Math"/>
                          <w:i/>
                          <w:color w:val="1F497D" w:themeColor="text2"/>
                        </w:rPr>
                      </m:ctrlPr>
                    </m:sSubSupPr>
                    <m:e>
                      <m:r>
                        <w:rPr>
                          <w:rFonts w:ascii="Cambria Math" w:hAnsi="Cambria Math"/>
                          <w:color w:val="1F497D" w:themeColor="text2"/>
                        </w:rPr>
                        <m:t>ICP</m:t>
                      </m:r>
                    </m:e>
                    <m:sub>
                      <m:r>
                        <w:rPr>
                          <w:rFonts w:ascii="Cambria Math" w:hAnsi="Cambria Math"/>
                          <w:color w:val="1F497D" w:themeColor="text2"/>
                        </w:rPr>
                        <m:t>t</m:t>
                      </m:r>
                    </m:sub>
                    <m:sup>
                      <m:r>
                        <w:rPr>
                          <w:rFonts w:ascii="Cambria Math" w:hAnsi="Cambria Math"/>
                          <w:color w:val="1F497D" w:themeColor="text2"/>
                        </w:rPr>
                        <m:t>A</m:t>
                      </m:r>
                    </m:sup>
                  </m:sSubSup>
                </m:e>
              </m:d>
              <m:r>
                <w:rPr>
                  <w:rFonts w:ascii="Cambria Math" w:hAnsi="Cambria Math"/>
                  <w:color w:val="1F497D" w:themeColor="text2"/>
                </w:rPr>
                <m:t>+</m:t>
              </m:r>
              <m:d>
                <m:dPr>
                  <m:ctrlPr>
                    <w:rPr>
                      <w:rFonts w:ascii="Cambria Math" w:hAnsi="Cambria Math"/>
                      <w:i/>
                      <w:color w:val="1F497D" w:themeColor="text2"/>
                    </w:rPr>
                  </m:ctrlPr>
                </m:dPr>
                <m:e>
                  <m:sSubSup>
                    <m:sSubSupPr>
                      <m:ctrlPr>
                        <w:rPr>
                          <w:rFonts w:ascii="Cambria Math" w:hAnsi="Cambria Math"/>
                          <w:i/>
                          <w:color w:val="1F497D" w:themeColor="text2"/>
                        </w:rPr>
                      </m:ctrlPr>
                    </m:sSubSupPr>
                    <m:e>
                      <m:r>
                        <w:rPr>
                          <w:rFonts w:ascii="Cambria Math" w:hAnsi="Cambria Math"/>
                          <w:color w:val="1F497D" w:themeColor="text2"/>
                        </w:rPr>
                        <m:t>SAIDI</m:t>
                      </m:r>
                    </m:e>
                    <m:sub>
                      <m:r>
                        <w:rPr>
                          <w:rFonts w:ascii="Cambria Math" w:hAnsi="Cambria Math"/>
                          <w:color w:val="1F497D" w:themeColor="text2"/>
                        </w:rPr>
                        <m:t>t-1</m:t>
                      </m:r>
                    </m:sub>
                    <m:sup>
                      <m:r>
                        <w:rPr>
                          <w:rFonts w:ascii="Cambria Math" w:hAnsi="Cambria Math"/>
                          <w:color w:val="1F497D" w:themeColor="text2"/>
                        </w:rPr>
                        <m:t>B</m:t>
                      </m:r>
                    </m:sup>
                  </m:sSubSup>
                  <m:r>
                    <w:rPr>
                      <w:rFonts w:ascii="Cambria Math" w:hAnsi="Cambria Math"/>
                      <w:color w:val="1F497D" w:themeColor="text2"/>
                    </w:rPr>
                    <m:t>*</m:t>
                  </m:r>
                  <m:sSubSup>
                    <m:sSubSupPr>
                      <m:ctrlPr>
                        <w:rPr>
                          <w:rFonts w:ascii="Cambria Math" w:hAnsi="Cambria Math"/>
                          <w:i/>
                          <w:color w:val="1F497D" w:themeColor="text2"/>
                        </w:rPr>
                      </m:ctrlPr>
                    </m:sSubSupPr>
                    <m:e>
                      <m:r>
                        <w:rPr>
                          <w:rFonts w:ascii="Cambria Math" w:hAnsi="Cambria Math"/>
                          <w:color w:val="1F497D" w:themeColor="text2"/>
                        </w:rPr>
                        <m:t>ICP</m:t>
                      </m:r>
                    </m:e>
                    <m:sub>
                      <m:r>
                        <w:rPr>
                          <w:rFonts w:ascii="Cambria Math" w:hAnsi="Cambria Math"/>
                          <w:color w:val="1F497D" w:themeColor="text2"/>
                        </w:rPr>
                        <m:t>t</m:t>
                      </m:r>
                    </m:sub>
                    <m:sup>
                      <m:r>
                        <w:rPr>
                          <w:rFonts w:ascii="Cambria Math" w:hAnsi="Cambria Math"/>
                          <w:color w:val="1F497D" w:themeColor="text2"/>
                        </w:rPr>
                        <m:t>B</m:t>
                      </m:r>
                    </m:sup>
                  </m:sSubSup>
                </m:e>
              </m:d>
            </m:num>
            <m:den>
              <m:sSubSup>
                <m:sSubSupPr>
                  <m:ctrlPr>
                    <w:rPr>
                      <w:rFonts w:ascii="Cambria Math" w:hAnsi="Cambria Math"/>
                      <w:i/>
                      <w:color w:val="1F497D" w:themeColor="text2"/>
                    </w:rPr>
                  </m:ctrlPr>
                </m:sSubSupPr>
                <m:e>
                  <m:r>
                    <w:rPr>
                      <w:rFonts w:ascii="Cambria Math" w:hAnsi="Cambria Math"/>
                      <w:color w:val="1F497D" w:themeColor="text2"/>
                    </w:rPr>
                    <m:t>ICP</m:t>
                  </m:r>
                </m:e>
                <m:sub>
                  <m:r>
                    <w:rPr>
                      <w:rFonts w:ascii="Cambria Math" w:hAnsi="Cambria Math"/>
                      <w:color w:val="1F497D" w:themeColor="text2"/>
                    </w:rPr>
                    <m:t>t</m:t>
                  </m:r>
                </m:sub>
                <m:sup>
                  <m:r>
                    <w:rPr>
                      <w:rFonts w:ascii="Cambria Math" w:hAnsi="Cambria Math"/>
                      <w:color w:val="1F497D" w:themeColor="text2"/>
                    </w:rPr>
                    <m:t>A</m:t>
                  </m:r>
                </m:sup>
              </m:sSubSup>
              <m:r>
                <w:rPr>
                  <w:rFonts w:ascii="Cambria Math" w:hAnsi="Cambria Math"/>
                  <w:color w:val="1F497D" w:themeColor="text2"/>
                </w:rPr>
                <m:t>+</m:t>
              </m:r>
              <m:sSubSup>
                <m:sSubSupPr>
                  <m:ctrlPr>
                    <w:rPr>
                      <w:rFonts w:ascii="Cambria Math" w:hAnsi="Cambria Math"/>
                      <w:i/>
                      <w:color w:val="1F497D" w:themeColor="text2"/>
                    </w:rPr>
                  </m:ctrlPr>
                </m:sSubSupPr>
                <m:e>
                  <m:r>
                    <w:rPr>
                      <w:rFonts w:ascii="Cambria Math" w:hAnsi="Cambria Math"/>
                      <w:color w:val="1F497D" w:themeColor="text2"/>
                    </w:rPr>
                    <m:t>ICP</m:t>
                  </m:r>
                </m:e>
                <m:sub>
                  <m:r>
                    <w:rPr>
                      <w:rFonts w:ascii="Cambria Math" w:hAnsi="Cambria Math"/>
                      <w:color w:val="1F497D" w:themeColor="text2"/>
                    </w:rPr>
                    <m:t>t</m:t>
                  </m:r>
                </m:sub>
                <m:sup>
                  <m:r>
                    <w:rPr>
                      <w:rFonts w:ascii="Cambria Math" w:hAnsi="Cambria Math"/>
                      <w:color w:val="1F497D" w:themeColor="text2"/>
                    </w:rPr>
                    <m:t>B</m:t>
                  </m:r>
                </m:sup>
              </m:sSubSup>
            </m:den>
          </m:f>
        </m:oMath>
      </m:oMathPara>
    </w:p>
    <w:p w:rsidR="00365151" w:rsidRPr="00365151" w:rsidRDefault="00365151" w:rsidP="00365151">
      <w:pPr>
        <w:pStyle w:val="Schnumberedtext"/>
        <w:numPr>
          <w:ilvl w:val="0"/>
          <w:numId w:val="0"/>
        </w:numPr>
        <w:tabs>
          <w:tab w:val="left" w:pos="1701"/>
        </w:tabs>
        <w:ind w:left="1701" w:hanging="992"/>
        <w:rPr>
          <w:color w:val="1F497D" w:themeColor="text2"/>
          <w:u w:val="single"/>
        </w:rPr>
      </w:pPr>
      <w:proofErr w:type="gramStart"/>
      <w:r w:rsidRPr="00365151">
        <w:rPr>
          <w:color w:val="1F497D" w:themeColor="text2"/>
          <w:u w:val="single"/>
        </w:rPr>
        <w:lastRenderedPageBreak/>
        <w:t>where-</w:t>
      </w:r>
      <w:proofErr w:type="gramEnd"/>
    </w:p>
    <w:p w:rsidR="00365151" w:rsidRPr="00365151" w:rsidRDefault="00365151" w:rsidP="00365151">
      <w:pPr>
        <w:pStyle w:val="Schnumberedtext"/>
        <w:numPr>
          <w:ilvl w:val="0"/>
          <w:numId w:val="0"/>
        </w:numPr>
        <w:tabs>
          <w:tab w:val="left" w:pos="1985"/>
        </w:tabs>
        <w:ind w:left="1985" w:hanging="1276"/>
        <w:rPr>
          <w:color w:val="1F497D" w:themeColor="text2"/>
          <w:u w:val="single"/>
        </w:rPr>
      </w:pPr>
      <w:proofErr w:type="gramStart"/>
      <w:r w:rsidRPr="00365151">
        <w:rPr>
          <w:i/>
          <w:color w:val="1F497D" w:themeColor="text2"/>
          <w:u w:val="single"/>
        </w:rPr>
        <w:t>t</w:t>
      </w:r>
      <w:proofErr w:type="gramEnd"/>
      <w:r w:rsidRPr="00365151">
        <w:rPr>
          <w:color w:val="1F497D" w:themeColor="text2"/>
          <w:u w:val="single"/>
        </w:rPr>
        <w:tab/>
        <w:t>is the Assessment Period in which the Amalgamation of Merger occurs;</w:t>
      </w:r>
    </w:p>
    <w:p w:rsidR="00365151" w:rsidRPr="00365151" w:rsidRDefault="00365151" w:rsidP="00365151">
      <w:pPr>
        <w:pStyle w:val="Schnumberedtext"/>
        <w:numPr>
          <w:ilvl w:val="0"/>
          <w:numId w:val="0"/>
        </w:numPr>
        <w:tabs>
          <w:tab w:val="left" w:pos="1985"/>
        </w:tabs>
        <w:ind w:left="1985" w:hanging="1276"/>
        <w:rPr>
          <w:color w:val="1F497D" w:themeColor="text2"/>
          <w:u w:val="single"/>
        </w:rPr>
      </w:pPr>
      <w:r w:rsidRPr="00365151">
        <w:rPr>
          <w:i/>
          <w:color w:val="1F497D" w:themeColor="text2"/>
          <w:u w:val="single"/>
        </w:rPr>
        <w:t>SAIDI</w:t>
      </w:r>
      <w:r w:rsidRPr="00365151">
        <w:rPr>
          <w:i/>
          <w:color w:val="1F497D" w:themeColor="text2"/>
          <w:u w:val="single"/>
          <w:vertAlign w:val="subscript"/>
        </w:rPr>
        <w:t>t-1</w:t>
      </w:r>
      <w:r w:rsidRPr="00365151">
        <w:rPr>
          <w:i/>
          <w:color w:val="1F497D" w:themeColor="text2"/>
          <w:u w:val="single"/>
          <w:vertAlign w:val="superscript"/>
        </w:rPr>
        <w:t>A</w:t>
      </w:r>
      <w:r w:rsidRPr="00365151">
        <w:rPr>
          <w:i/>
          <w:color w:val="1F497D" w:themeColor="text2"/>
          <w:u w:val="single"/>
        </w:rPr>
        <w:tab/>
      </w:r>
      <w:r w:rsidRPr="00365151">
        <w:rPr>
          <w:color w:val="1F497D" w:themeColor="text2"/>
          <w:u w:val="single"/>
        </w:rPr>
        <w:t>is, for the purposes of –</w:t>
      </w:r>
    </w:p>
    <w:p w:rsidR="00365151" w:rsidRPr="00365151" w:rsidRDefault="00365151" w:rsidP="00365151">
      <w:pPr>
        <w:pStyle w:val="Schnumberedtext"/>
        <w:numPr>
          <w:ilvl w:val="0"/>
          <w:numId w:val="0"/>
        </w:numPr>
        <w:tabs>
          <w:tab w:val="left" w:pos="1985"/>
        </w:tabs>
        <w:ind w:left="3261" w:hanging="1276"/>
        <w:rPr>
          <w:color w:val="1F497D" w:themeColor="text2"/>
          <w:u w:val="single"/>
        </w:rPr>
      </w:pPr>
      <w:r w:rsidRPr="00365151">
        <w:rPr>
          <w:color w:val="1F497D" w:themeColor="text2"/>
          <w:u w:val="single"/>
        </w:rPr>
        <w:t>(a)</w:t>
      </w:r>
      <w:r w:rsidRPr="00365151">
        <w:rPr>
          <w:color w:val="1F497D" w:themeColor="text2"/>
          <w:u w:val="single"/>
        </w:rPr>
        <w:tab/>
      </w:r>
      <w:proofErr w:type="gramStart"/>
      <w:r w:rsidRPr="00365151">
        <w:rPr>
          <w:color w:val="1F497D" w:themeColor="text2"/>
          <w:u w:val="single"/>
        </w:rPr>
        <w:t>calculating</w:t>
      </w:r>
      <w:proofErr w:type="gramEnd"/>
      <w:r w:rsidRPr="00365151">
        <w:rPr>
          <w:color w:val="1F497D" w:themeColor="text2"/>
          <w:u w:val="single"/>
        </w:rPr>
        <w:t xml:space="preserve"> the SAIDI Target, the SAIDI Target, and</w:t>
      </w:r>
    </w:p>
    <w:p w:rsidR="00365151" w:rsidRPr="00365151" w:rsidRDefault="00365151" w:rsidP="00365151">
      <w:pPr>
        <w:pStyle w:val="Schnumberedtext"/>
        <w:numPr>
          <w:ilvl w:val="0"/>
          <w:numId w:val="0"/>
        </w:numPr>
        <w:tabs>
          <w:tab w:val="left" w:pos="1985"/>
        </w:tabs>
        <w:ind w:left="3261" w:hanging="1276"/>
        <w:rPr>
          <w:color w:val="1F497D" w:themeColor="text2"/>
          <w:u w:val="single"/>
        </w:rPr>
      </w:pPr>
      <w:r w:rsidRPr="00365151">
        <w:rPr>
          <w:color w:val="1F497D" w:themeColor="text2"/>
          <w:u w:val="single"/>
        </w:rPr>
        <w:t>(b)</w:t>
      </w:r>
      <w:r w:rsidRPr="00365151">
        <w:rPr>
          <w:color w:val="1F497D" w:themeColor="text2"/>
          <w:u w:val="single"/>
        </w:rPr>
        <w:tab/>
      </w:r>
      <w:proofErr w:type="gramStart"/>
      <w:r w:rsidRPr="00365151">
        <w:rPr>
          <w:color w:val="1F497D" w:themeColor="text2"/>
          <w:u w:val="single"/>
        </w:rPr>
        <w:t>calculating</w:t>
      </w:r>
      <w:proofErr w:type="gramEnd"/>
      <w:r w:rsidRPr="00365151">
        <w:rPr>
          <w:color w:val="1F497D" w:themeColor="text2"/>
          <w:u w:val="single"/>
        </w:rPr>
        <w:t xml:space="preserve"> the SAIDI Unplanned Boundary Value, the SAIDI Unplanned Boundary Value</w:t>
      </w:r>
    </w:p>
    <w:p w:rsidR="00365151" w:rsidRPr="00365151" w:rsidRDefault="00365151" w:rsidP="00365151">
      <w:pPr>
        <w:pStyle w:val="Schnumberedtext"/>
        <w:numPr>
          <w:ilvl w:val="0"/>
          <w:numId w:val="0"/>
        </w:numPr>
        <w:tabs>
          <w:tab w:val="left" w:pos="1985"/>
        </w:tabs>
        <w:ind w:left="1985"/>
        <w:rPr>
          <w:color w:val="1F497D" w:themeColor="text2"/>
          <w:u w:val="single"/>
        </w:rPr>
      </w:pPr>
      <w:proofErr w:type="gramStart"/>
      <w:r w:rsidRPr="00365151">
        <w:rPr>
          <w:color w:val="1F497D" w:themeColor="text2"/>
          <w:u w:val="single"/>
        </w:rPr>
        <w:t>of</w:t>
      </w:r>
      <w:proofErr w:type="gramEnd"/>
      <w:r w:rsidRPr="00365151">
        <w:rPr>
          <w:color w:val="1F497D" w:themeColor="text2"/>
          <w:u w:val="single"/>
        </w:rPr>
        <w:t xml:space="preserve"> one of the Non-exempt EDBs </w:t>
      </w:r>
      <w:r w:rsidR="0064088B">
        <w:rPr>
          <w:color w:val="1F497D" w:themeColor="text2"/>
          <w:u w:val="single"/>
        </w:rPr>
        <w:t>subject to the Amalgamation or Merger as specified in Schedules 4A and 5B</w:t>
      </w:r>
      <w:r w:rsidRPr="00365151">
        <w:rPr>
          <w:color w:val="1F497D" w:themeColor="text2"/>
          <w:u w:val="single"/>
        </w:rPr>
        <w:t>;</w:t>
      </w:r>
    </w:p>
    <w:p w:rsidR="00365151" w:rsidRPr="00365151" w:rsidRDefault="00365151" w:rsidP="00365151">
      <w:pPr>
        <w:pStyle w:val="Schnumberedtext"/>
        <w:numPr>
          <w:ilvl w:val="0"/>
          <w:numId w:val="0"/>
        </w:numPr>
        <w:tabs>
          <w:tab w:val="left" w:pos="1985"/>
        </w:tabs>
        <w:ind w:left="1985" w:hanging="1276"/>
        <w:rPr>
          <w:color w:val="1F497D" w:themeColor="text2"/>
          <w:u w:val="single"/>
        </w:rPr>
      </w:pPr>
      <w:r w:rsidRPr="00365151">
        <w:rPr>
          <w:i/>
          <w:color w:val="1F497D" w:themeColor="text2"/>
          <w:u w:val="single"/>
        </w:rPr>
        <w:t>SAIDI</w:t>
      </w:r>
      <w:r w:rsidRPr="00365151">
        <w:rPr>
          <w:i/>
          <w:color w:val="1F497D" w:themeColor="text2"/>
          <w:u w:val="single"/>
          <w:vertAlign w:val="subscript"/>
        </w:rPr>
        <w:t>t-1</w:t>
      </w:r>
      <w:r w:rsidRPr="00365151">
        <w:rPr>
          <w:i/>
          <w:color w:val="1F497D" w:themeColor="text2"/>
          <w:u w:val="single"/>
          <w:vertAlign w:val="superscript"/>
        </w:rPr>
        <w:t>B</w:t>
      </w:r>
      <w:r w:rsidRPr="00365151">
        <w:rPr>
          <w:i/>
          <w:color w:val="1F497D" w:themeColor="text2"/>
          <w:u w:val="single"/>
        </w:rPr>
        <w:tab/>
      </w:r>
      <w:r w:rsidRPr="00365151">
        <w:rPr>
          <w:color w:val="1F497D" w:themeColor="text2"/>
          <w:u w:val="single"/>
        </w:rPr>
        <w:t>is, for the purposes of –</w:t>
      </w:r>
    </w:p>
    <w:p w:rsidR="00365151" w:rsidRPr="00365151" w:rsidRDefault="00365151" w:rsidP="00365151">
      <w:pPr>
        <w:pStyle w:val="Schnumberedtext"/>
        <w:numPr>
          <w:ilvl w:val="0"/>
          <w:numId w:val="0"/>
        </w:numPr>
        <w:tabs>
          <w:tab w:val="left" w:pos="1985"/>
        </w:tabs>
        <w:ind w:left="3261" w:hanging="1276"/>
        <w:rPr>
          <w:color w:val="1F497D" w:themeColor="text2"/>
          <w:u w:val="single"/>
        </w:rPr>
      </w:pPr>
      <w:r w:rsidRPr="00365151">
        <w:rPr>
          <w:color w:val="1F497D" w:themeColor="text2"/>
          <w:u w:val="single"/>
        </w:rPr>
        <w:t>(a)</w:t>
      </w:r>
      <w:r w:rsidRPr="00365151">
        <w:rPr>
          <w:color w:val="1F497D" w:themeColor="text2"/>
          <w:u w:val="single"/>
        </w:rPr>
        <w:tab/>
      </w:r>
      <w:proofErr w:type="gramStart"/>
      <w:r w:rsidRPr="00365151">
        <w:rPr>
          <w:color w:val="1F497D" w:themeColor="text2"/>
          <w:u w:val="single"/>
        </w:rPr>
        <w:t>calculating</w:t>
      </w:r>
      <w:proofErr w:type="gramEnd"/>
      <w:r w:rsidRPr="00365151">
        <w:rPr>
          <w:color w:val="1F497D" w:themeColor="text2"/>
          <w:u w:val="single"/>
        </w:rPr>
        <w:t xml:space="preserve"> the SAIDI Target, the SAIDI Target, and</w:t>
      </w:r>
    </w:p>
    <w:p w:rsidR="00365151" w:rsidRPr="00365151" w:rsidRDefault="00365151" w:rsidP="00365151">
      <w:pPr>
        <w:pStyle w:val="Schnumberedtext"/>
        <w:numPr>
          <w:ilvl w:val="0"/>
          <w:numId w:val="0"/>
        </w:numPr>
        <w:tabs>
          <w:tab w:val="left" w:pos="1985"/>
        </w:tabs>
        <w:ind w:left="3261" w:hanging="1276"/>
        <w:rPr>
          <w:color w:val="1F497D" w:themeColor="text2"/>
          <w:u w:val="single"/>
        </w:rPr>
      </w:pPr>
      <w:r w:rsidRPr="00365151">
        <w:rPr>
          <w:color w:val="1F497D" w:themeColor="text2"/>
          <w:u w:val="single"/>
        </w:rPr>
        <w:t>(b)</w:t>
      </w:r>
      <w:r w:rsidRPr="00365151">
        <w:rPr>
          <w:color w:val="1F497D" w:themeColor="text2"/>
          <w:u w:val="single"/>
        </w:rPr>
        <w:tab/>
      </w:r>
      <w:proofErr w:type="gramStart"/>
      <w:r w:rsidRPr="00365151">
        <w:rPr>
          <w:color w:val="1F497D" w:themeColor="text2"/>
          <w:u w:val="single"/>
        </w:rPr>
        <w:t>calculating</w:t>
      </w:r>
      <w:proofErr w:type="gramEnd"/>
      <w:r w:rsidRPr="00365151">
        <w:rPr>
          <w:color w:val="1F497D" w:themeColor="text2"/>
          <w:u w:val="single"/>
        </w:rPr>
        <w:t xml:space="preserve"> the SAIDI Unplanned Boundary Value, the SAIDI Unplanned Boundary Value</w:t>
      </w:r>
    </w:p>
    <w:p w:rsidR="00365151" w:rsidRPr="00113E4A" w:rsidRDefault="00365151" w:rsidP="00365151">
      <w:pPr>
        <w:pStyle w:val="Schnumberedtext"/>
        <w:numPr>
          <w:ilvl w:val="0"/>
          <w:numId w:val="0"/>
        </w:numPr>
        <w:tabs>
          <w:tab w:val="left" w:pos="1985"/>
        </w:tabs>
        <w:ind w:left="1985"/>
      </w:pPr>
      <w:r w:rsidRPr="00365151">
        <w:rPr>
          <w:color w:val="1F497D" w:themeColor="text2"/>
          <w:u w:val="single"/>
        </w:rPr>
        <w:t>of the other Non-exempt EDB</w:t>
      </w:r>
      <w:r w:rsidR="0064088B">
        <w:rPr>
          <w:color w:val="1F497D" w:themeColor="text2"/>
          <w:u w:val="single"/>
        </w:rPr>
        <w:t xml:space="preserve"> subject to the Amalgamation or Merger</w:t>
      </w:r>
      <w:r w:rsidRPr="00365151">
        <w:rPr>
          <w:color w:val="1F497D" w:themeColor="text2"/>
          <w:u w:val="single"/>
        </w:rPr>
        <w:t xml:space="preserve"> </w:t>
      </w:r>
      <w:r w:rsidR="0064088B">
        <w:rPr>
          <w:color w:val="1F497D" w:themeColor="text2"/>
          <w:u w:val="single"/>
        </w:rPr>
        <w:t>as specified in Schedules 4A and 5B</w:t>
      </w:r>
      <w:r w:rsidRPr="00365151">
        <w:rPr>
          <w:color w:val="1F497D" w:themeColor="text2"/>
          <w:u w:val="single"/>
        </w:rPr>
        <w:t>;</w:t>
      </w:r>
    </w:p>
    <w:p w:rsidR="00365151" w:rsidRPr="00365151" w:rsidRDefault="00365151" w:rsidP="00365151">
      <w:pPr>
        <w:pStyle w:val="Schnumberedtext"/>
        <w:numPr>
          <w:ilvl w:val="0"/>
          <w:numId w:val="0"/>
        </w:numPr>
        <w:tabs>
          <w:tab w:val="left" w:pos="1985"/>
        </w:tabs>
        <w:ind w:left="1985" w:hanging="1276"/>
        <w:rPr>
          <w:color w:val="1F497D" w:themeColor="text2"/>
          <w:u w:val="single"/>
        </w:rPr>
      </w:pPr>
      <w:proofErr w:type="spellStart"/>
      <w:r w:rsidRPr="00365151">
        <w:rPr>
          <w:i/>
          <w:color w:val="1F497D" w:themeColor="text2"/>
          <w:u w:val="single"/>
        </w:rPr>
        <w:t>ICP</w:t>
      </w:r>
      <w:r w:rsidRPr="00365151">
        <w:rPr>
          <w:i/>
          <w:color w:val="1F497D" w:themeColor="text2"/>
          <w:u w:val="single"/>
          <w:vertAlign w:val="subscript"/>
        </w:rPr>
        <w:t>t</w:t>
      </w:r>
      <w:r w:rsidRPr="00365151">
        <w:rPr>
          <w:i/>
          <w:color w:val="1F497D" w:themeColor="text2"/>
          <w:u w:val="single"/>
          <w:vertAlign w:val="superscript"/>
        </w:rPr>
        <w:t>A</w:t>
      </w:r>
      <w:proofErr w:type="spellEnd"/>
      <w:r w:rsidRPr="00365151">
        <w:rPr>
          <w:color w:val="1F497D" w:themeColor="text2"/>
          <w:u w:val="single"/>
        </w:rPr>
        <w:tab/>
        <w:t>is the number of ICPs</w:t>
      </w:r>
      <w:r w:rsidR="00901E10">
        <w:rPr>
          <w:color w:val="1F497D" w:themeColor="text2"/>
          <w:u w:val="single"/>
        </w:rPr>
        <w:t>,</w:t>
      </w:r>
      <w:r w:rsidRPr="00365151">
        <w:rPr>
          <w:color w:val="1F497D" w:themeColor="text2"/>
          <w:u w:val="single"/>
        </w:rPr>
        <w:t xml:space="preserve"> </w:t>
      </w:r>
      <w:r w:rsidR="0064088B">
        <w:rPr>
          <w:color w:val="1F497D" w:themeColor="text2"/>
          <w:u w:val="single"/>
        </w:rPr>
        <w:t xml:space="preserve">supplied by </w:t>
      </w:r>
      <w:r w:rsidR="00901E10">
        <w:rPr>
          <w:color w:val="1F497D" w:themeColor="text2"/>
          <w:u w:val="single"/>
        </w:rPr>
        <w:t xml:space="preserve">the Non-exempt EDB for which </w:t>
      </w:r>
      <w:r w:rsidR="00901E10" w:rsidRPr="00365151">
        <w:rPr>
          <w:i/>
          <w:color w:val="1F497D" w:themeColor="text2"/>
          <w:u w:val="single"/>
        </w:rPr>
        <w:t>SAIDI</w:t>
      </w:r>
      <w:r w:rsidR="00901E10" w:rsidRPr="00365151">
        <w:rPr>
          <w:i/>
          <w:color w:val="1F497D" w:themeColor="text2"/>
          <w:u w:val="single"/>
          <w:vertAlign w:val="subscript"/>
        </w:rPr>
        <w:t>t-1</w:t>
      </w:r>
      <w:r w:rsidR="00901E10" w:rsidRPr="00365151">
        <w:rPr>
          <w:i/>
          <w:color w:val="1F497D" w:themeColor="text2"/>
          <w:u w:val="single"/>
          <w:vertAlign w:val="superscript"/>
        </w:rPr>
        <w:t>A</w:t>
      </w:r>
      <w:r w:rsidRPr="00365151">
        <w:rPr>
          <w:color w:val="1F497D" w:themeColor="text2"/>
          <w:u w:val="single"/>
        </w:rPr>
        <w:t xml:space="preserve"> </w:t>
      </w:r>
      <w:r w:rsidR="00901E10">
        <w:rPr>
          <w:color w:val="1F497D" w:themeColor="text2"/>
          <w:u w:val="single"/>
        </w:rPr>
        <w:t xml:space="preserve">is calculated, </w:t>
      </w:r>
      <w:r w:rsidRPr="00365151">
        <w:rPr>
          <w:color w:val="1F497D" w:themeColor="text2"/>
          <w:u w:val="single"/>
        </w:rPr>
        <w:t>immediately prior to the Amalgamation or Merger;</w:t>
      </w:r>
    </w:p>
    <w:p w:rsidR="00365151" w:rsidRPr="00365151" w:rsidRDefault="00365151" w:rsidP="00365151">
      <w:pPr>
        <w:pStyle w:val="Schnumberedtext"/>
        <w:numPr>
          <w:ilvl w:val="0"/>
          <w:numId w:val="0"/>
        </w:numPr>
        <w:tabs>
          <w:tab w:val="left" w:pos="1985"/>
        </w:tabs>
        <w:ind w:left="1985" w:hanging="1276"/>
        <w:rPr>
          <w:color w:val="1F497D" w:themeColor="text2"/>
          <w:u w:val="single"/>
        </w:rPr>
      </w:pPr>
      <w:proofErr w:type="spellStart"/>
      <w:r w:rsidRPr="00365151">
        <w:rPr>
          <w:i/>
          <w:color w:val="1F497D" w:themeColor="text2"/>
          <w:u w:val="single"/>
        </w:rPr>
        <w:t>ICP</w:t>
      </w:r>
      <w:r w:rsidRPr="00365151">
        <w:rPr>
          <w:i/>
          <w:color w:val="1F497D" w:themeColor="text2"/>
          <w:u w:val="single"/>
          <w:vertAlign w:val="subscript"/>
        </w:rPr>
        <w:t>t</w:t>
      </w:r>
      <w:r w:rsidRPr="00365151">
        <w:rPr>
          <w:i/>
          <w:color w:val="1F497D" w:themeColor="text2"/>
          <w:u w:val="single"/>
          <w:vertAlign w:val="superscript"/>
        </w:rPr>
        <w:t>B</w:t>
      </w:r>
      <w:proofErr w:type="spellEnd"/>
      <w:r w:rsidRPr="00365151">
        <w:rPr>
          <w:color w:val="1F497D" w:themeColor="text2"/>
          <w:u w:val="single"/>
        </w:rPr>
        <w:tab/>
      </w:r>
      <w:r w:rsidR="00901E10" w:rsidRPr="00365151">
        <w:rPr>
          <w:color w:val="1F497D" w:themeColor="text2"/>
          <w:u w:val="single"/>
        </w:rPr>
        <w:t>is the number of ICPs</w:t>
      </w:r>
      <w:r w:rsidR="00901E10">
        <w:rPr>
          <w:color w:val="1F497D" w:themeColor="text2"/>
          <w:u w:val="single"/>
        </w:rPr>
        <w:t>,</w:t>
      </w:r>
      <w:r w:rsidR="00901E10" w:rsidRPr="00365151">
        <w:rPr>
          <w:color w:val="1F497D" w:themeColor="text2"/>
          <w:u w:val="single"/>
        </w:rPr>
        <w:t xml:space="preserve"> </w:t>
      </w:r>
      <w:r w:rsidR="0064088B">
        <w:rPr>
          <w:color w:val="1F497D" w:themeColor="text2"/>
          <w:u w:val="single"/>
        </w:rPr>
        <w:t xml:space="preserve">supplied by </w:t>
      </w:r>
      <w:r w:rsidR="00901E10">
        <w:rPr>
          <w:color w:val="1F497D" w:themeColor="text2"/>
          <w:u w:val="single"/>
        </w:rPr>
        <w:t xml:space="preserve">the Non-exempt EDB for which </w:t>
      </w:r>
      <w:r w:rsidR="00901E10" w:rsidRPr="00365151">
        <w:rPr>
          <w:i/>
          <w:color w:val="1F497D" w:themeColor="text2"/>
          <w:u w:val="single"/>
        </w:rPr>
        <w:t>SAIDI</w:t>
      </w:r>
      <w:r w:rsidR="00901E10" w:rsidRPr="00365151">
        <w:rPr>
          <w:i/>
          <w:color w:val="1F497D" w:themeColor="text2"/>
          <w:u w:val="single"/>
          <w:vertAlign w:val="subscript"/>
        </w:rPr>
        <w:t>t-1</w:t>
      </w:r>
      <w:r w:rsidR="00901E10">
        <w:rPr>
          <w:i/>
          <w:color w:val="1F497D" w:themeColor="text2"/>
          <w:u w:val="single"/>
          <w:vertAlign w:val="superscript"/>
        </w:rPr>
        <w:t>B</w:t>
      </w:r>
      <w:r w:rsidR="00901E10" w:rsidRPr="00365151">
        <w:rPr>
          <w:color w:val="1F497D" w:themeColor="text2"/>
          <w:u w:val="single"/>
        </w:rPr>
        <w:t xml:space="preserve"> </w:t>
      </w:r>
      <w:r w:rsidR="00901E10">
        <w:rPr>
          <w:color w:val="1F497D" w:themeColor="text2"/>
          <w:u w:val="single"/>
        </w:rPr>
        <w:t xml:space="preserve">is calculated, </w:t>
      </w:r>
      <w:r w:rsidR="00901E10" w:rsidRPr="00365151">
        <w:rPr>
          <w:color w:val="1F497D" w:themeColor="text2"/>
          <w:u w:val="single"/>
        </w:rPr>
        <w:t>immediately prior to the Amalgamation or Merger</w:t>
      </w:r>
      <w:r w:rsidRPr="00365151">
        <w:rPr>
          <w:color w:val="1F497D" w:themeColor="text2"/>
          <w:u w:val="single"/>
        </w:rPr>
        <w:t>.</w:t>
      </w:r>
    </w:p>
    <w:p w:rsidR="000637DA" w:rsidRPr="00365151" w:rsidRDefault="000637DA" w:rsidP="000637DA">
      <w:pPr>
        <w:pStyle w:val="Schnumberedtext"/>
        <w:spacing w:before="240"/>
        <w:ind w:hanging="720"/>
        <w:rPr>
          <w:color w:val="1F497D" w:themeColor="text2"/>
          <w:u w:val="single"/>
        </w:rPr>
      </w:pPr>
      <w:r w:rsidRPr="00365151">
        <w:rPr>
          <w:color w:val="1F497D" w:themeColor="text2"/>
          <w:u w:val="single"/>
        </w:rPr>
        <w:t xml:space="preserve">For the purposes of paragraph </w:t>
      </w:r>
      <w:r w:rsidRPr="00365151">
        <w:rPr>
          <w:color w:val="1F497D" w:themeColor="text2"/>
          <w:u w:val="single"/>
        </w:rPr>
        <w:fldChar w:fldCharType="begin"/>
      </w:r>
      <w:r w:rsidRPr="00365151">
        <w:rPr>
          <w:color w:val="1F497D" w:themeColor="text2"/>
          <w:u w:val="single"/>
        </w:rPr>
        <w:instrText xml:space="preserve"> REF _Ref400100158 \r \h  \* MERGEFORMAT </w:instrText>
      </w:r>
      <w:r w:rsidRPr="00365151">
        <w:rPr>
          <w:color w:val="1F497D" w:themeColor="text2"/>
          <w:u w:val="single"/>
        </w:rPr>
      </w:r>
      <w:r w:rsidRPr="00365151">
        <w:rPr>
          <w:color w:val="1F497D" w:themeColor="text2"/>
          <w:u w:val="single"/>
        </w:rPr>
        <w:fldChar w:fldCharType="separate"/>
      </w:r>
      <w:r w:rsidRPr="00365151">
        <w:rPr>
          <w:color w:val="1F497D" w:themeColor="text2"/>
          <w:u w:val="single"/>
        </w:rPr>
        <w:t>1</w:t>
      </w:r>
      <w:r w:rsidRPr="00365151">
        <w:rPr>
          <w:color w:val="1F497D" w:themeColor="text2"/>
          <w:u w:val="single"/>
        </w:rPr>
        <w:fldChar w:fldCharType="end"/>
      </w:r>
      <w:r w:rsidRPr="00365151">
        <w:rPr>
          <w:color w:val="1F497D" w:themeColor="text2"/>
          <w:u w:val="single"/>
        </w:rPr>
        <w:t xml:space="preserve">, following </w:t>
      </w:r>
      <w:r>
        <w:rPr>
          <w:color w:val="1F497D" w:themeColor="text2"/>
          <w:u w:val="single"/>
        </w:rPr>
        <w:t>the transfer of assets from Transpower to a Non-exempt EDB</w:t>
      </w:r>
      <w:r w:rsidRPr="00365151">
        <w:rPr>
          <w:color w:val="1F497D" w:themeColor="text2"/>
          <w:u w:val="single"/>
        </w:rPr>
        <w:t xml:space="preserve">, the SAIDI Target and SAIDI Unplanned Boundary Values for each Assessment Period must be calculated in accordance with the formula– </w:t>
      </w:r>
    </w:p>
    <w:p w:rsidR="000637DA" w:rsidRPr="00365151" w:rsidRDefault="0067630A" w:rsidP="000637DA">
      <w:pPr>
        <w:pStyle w:val="Schnumberedtext"/>
        <w:numPr>
          <w:ilvl w:val="0"/>
          <w:numId w:val="0"/>
        </w:numPr>
        <w:ind w:left="360"/>
        <w:rPr>
          <w:color w:val="1F497D" w:themeColor="text2"/>
        </w:rPr>
      </w:pPr>
      <m:oMathPara>
        <m:oMath>
          <m:f>
            <m:fPr>
              <m:ctrlPr>
                <w:rPr>
                  <w:rFonts w:ascii="Cambria Math" w:hAnsi="Cambria Math"/>
                  <w:color w:val="1F497D" w:themeColor="text2"/>
                </w:rPr>
              </m:ctrlPr>
            </m:fPr>
            <m:num>
              <m:d>
                <m:dPr>
                  <m:ctrlPr>
                    <w:rPr>
                      <w:rFonts w:ascii="Cambria Math" w:hAnsi="Cambria Math"/>
                      <w:i/>
                      <w:color w:val="1F497D" w:themeColor="text2"/>
                    </w:rPr>
                  </m:ctrlPr>
                </m:dPr>
                <m:e>
                  <m:sSub>
                    <m:sSubPr>
                      <m:ctrlPr>
                        <w:rPr>
                          <w:rFonts w:ascii="Cambria Math" w:hAnsi="Cambria Math"/>
                          <w:color w:val="1F497D" w:themeColor="text2"/>
                        </w:rPr>
                      </m:ctrlPr>
                    </m:sSubPr>
                    <m:e>
                      <m:r>
                        <w:rPr>
                          <w:rFonts w:ascii="Cambria Math" w:hAnsi="Cambria Math"/>
                          <w:color w:val="1F497D" w:themeColor="text2"/>
                        </w:rPr>
                        <m:t>SAIDI</m:t>
                      </m:r>
                    </m:e>
                    <m:sub>
                      <m:r>
                        <w:rPr>
                          <w:rFonts w:ascii="Cambria Math" w:hAnsi="Cambria Math"/>
                          <w:color w:val="1F497D" w:themeColor="text2"/>
                        </w:rPr>
                        <m:t>t-</m:t>
                      </m:r>
                      <m:r>
                        <m:rPr>
                          <m:sty m:val="p"/>
                        </m:rPr>
                        <w:rPr>
                          <w:rFonts w:ascii="Cambria Math" w:hAnsi="Cambria Math"/>
                          <w:color w:val="1F497D" w:themeColor="text2"/>
                        </w:rPr>
                        <m:t>1</m:t>
                      </m:r>
                    </m:sub>
                  </m:sSub>
                  <m:r>
                    <w:rPr>
                      <w:rFonts w:ascii="Cambria Math" w:hAnsi="Cambria Math"/>
                      <w:color w:val="1F497D" w:themeColor="text2"/>
                    </w:rPr>
                    <m:t>*Interruptions</m:t>
                  </m:r>
                </m:e>
              </m:d>
              <m:r>
                <w:rPr>
                  <w:rFonts w:ascii="Cambria Math" w:hAnsi="Cambria Math"/>
                  <w:color w:val="1F497D" w:themeColor="text2"/>
                </w:rPr>
                <m:t>+</m:t>
              </m:r>
              <m:d>
                <m:dPr>
                  <m:ctrlPr>
                    <w:rPr>
                      <w:rFonts w:ascii="Cambria Math" w:hAnsi="Cambria Math"/>
                      <w:i/>
                      <w:color w:val="1F497D" w:themeColor="text2"/>
                    </w:rPr>
                  </m:ctrlPr>
                </m:dPr>
                <m:e>
                  <m:sSub>
                    <m:sSubPr>
                      <m:ctrlPr>
                        <w:rPr>
                          <w:rFonts w:ascii="Cambria Math" w:hAnsi="Cambria Math"/>
                          <w:color w:val="1F497D" w:themeColor="text2"/>
                        </w:rPr>
                      </m:ctrlPr>
                    </m:sSubPr>
                    <m:e>
                      <m:r>
                        <w:rPr>
                          <w:rFonts w:ascii="Cambria Math" w:hAnsi="Cambria Math"/>
                          <w:color w:val="1F497D" w:themeColor="text2"/>
                        </w:rPr>
                        <m:t>SAIDI</m:t>
                      </m:r>
                    </m:e>
                    <m:sub>
                      <m:r>
                        <w:rPr>
                          <w:rFonts w:ascii="Cambria Math" w:hAnsi="Cambria Math"/>
                          <w:color w:val="1F497D" w:themeColor="text2"/>
                        </w:rPr>
                        <m:t>added, t</m:t>
                      </m:r>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Interruptions</m:t>
                      </m:r>
                    </m:e>
                    <m:sub>
                      <m:r>
                        <w:rPr>
                          <w:rFonts w:ascii="Cambria Math" w:hAnsi="Cambria Math"/>
                          <w:color w:val="1F497D" w:themeColor="text2"/>
                        </w:rPr>
                        <m:t>added</m:t>
                      </m:r>
                    </m:sub>
                  </m:sSub>
                </m:e>
              </m:d>
            </m:num>
            <m:den>
              <m:r>
                <w:rPr>
                  <w:rFonts w:ascii="Cambria Math" w:hAnsi="Cambria Math"/>
                  <w:color w:val="1F497D" w:themeColor="text2"/>
                </w:rPr>
                <m:t>Interruptions+</m:t>
              </m:r>
              <m:sSub>
                <m:sSubPr>
                  <m:ctrlPr>
                    <w:rPr>
                      <w:rFonts w:ascii="Cambria Math" w:hAnsi="Cambria Math"/>
                      <w:i/>
                      <w:color w:val="1F497D" w:themeColor="text2"/>
                    </w:rPr>
                  </m:ctrlPr>
                </m:sSubPr>
                <m:e>
                  <m:r>
                    <w:rPr>
                      <w:rFonts w:ascii="Cambria Math" w:hAnsi="Cambria Math"/>
                      <w:color w:val="1F497D" w:themeColor="text2"/>
                    </w:rPr>
                    <m:t>Interruptions</m:t>
                  </m:r>
                </m:e>
                <m:sub>
                  <m:r>
                    <w:rPr>
                      <w:rFonts w:ascii="Cambria Math" w:hAnsi="Cambria Math"/>
                      <w:color w:val="1F497D" w:themeColor="text2"/>
                    </w:rPr>
                    <m:t>added</m:t>
                  </m:r>
                </m:sub>
              </m:sSub>
            </m:den>
          </m:f>
        </m:oMath>
      </m:oMathPara>
    </w:p>
    <w:p w:rsidR="000637DA" w:rsidRPr="00365151" w:rsidRDefault="000637DA" w:rsidP="000637DA">
      <w:pPr>
        <w:pStyle w:val="Schnumberedtext"/>
        <w:numPr>
          <w:ilvl w:val="0"/>
          <w:numId w:val="0"/>
        </w:numPr>
        <w:tabs>
          <w:tab w:val="left" w:pos="1701"/>
        </w:tabs>
        <w:ind w:left="1701" w:hanging="992"/>
        <w:rPr>
          <w:color w:val="1F497D" w:themeColor="text2"/>
          <w:u w:val="single"/>
        </w:rPr>
      </w:pPr>
      <w:proofErr w:type="gramStart"/>
      <w:r w:rsidRPr="00365151">
        <w:rPr>
          <w:color w:val="1F497D" w:themeColor="text2"/>
          <w:u w:val="single"/>
        </w:rPr>
        <w:t>where-</w:t>
      </w:r>
      <w:proofErr w:type="gramEnd"/>
    </w:p>
    <w:p w:rsidR="000637DA" w:rsidRPr="00365151" w:rsidRDefault="000637DA" w:rsidP="000637DA">
      <w:pPr>
        <w:pStyle w:val="Schnumberedtext"/>
        <w:numPr>
          <w:ilvl w:val="0"/>
          <w:numId w:val="0"/>
        </w:numPr>
        <w:tabs>
          <w:tab w:val="left" w:pos="1985"/>
        </w:tabs>
        <w:ind w:left="1985" w:hanging="1276"/>
        <w:rPr>
          <w:color w:val="1F497D" w:themeColor="text2"/>
          <w:u w:val="single"/>
        </w:rPr>
      </w:pPr>
      <w:proofErr w:type="gramStart"/>
      <w:r w:rsidRPr="00365151">
        <w:rPr>
          <w:i/>
          <w:color w:val="1F497D" w:themeColor="text2"/>
          <w:u w:val="single"/>
        </w:rPr>
        <w:t>t</w:t>
      </w:r>
      <w:proofErr w:type="gramEnd"/>
      <w:r w:rsidRPr="00365151">
        <w:rPr>
          <w:color w:val="1F497D" w:themeColor="text2"/>
          <w:u w:val="single"/>
        </w:rPr>
        <w:tab/>
        <w:t xml:space="preserve">is the Assessment Period in which the </w:t>
      </w:r>
      <w:r w:rsidR="00A129C9">
        <w:rPr>
          <w:color w:val="1F497D" w:themeColor="text2"/>
          <w:u w:val="single"/>
        </w:rPr>
        <w:t>assets are transferred from Transpower</w:t>
      </w:r>
      <w:r w:rsidRPr="00365151">
        <w:rPr>
          <w:color w:val="1F497D" w:themeColor="text2"/>
          <w:u w:val="single"/>
        </w:rPr>
        <w:t>;</w:t>
      </w:r>
    </w:p>
    <w:p w:rsidR="00A129C9" w:rsidRPr="00237C0F" w:rsidRDefault="00A129C9" w:rsidP="00A129C9">
      <w:pPr>
        <w:pStyle w:val="Schnumberedtext"/>
        <w:numPr>
          <w:ilvl w:val="0"/>
          <w:numId w:val="0"/>
        </w:numPr>
        <w:tabs>
          <w:tab w:val="left" w:pos="1985"/>
        </w:tabs>
        <w:ind w:left="1985" w:hanging="1276"/>
        <w:rPr>
          <w:color w:val="1F497D" w:themeColor="text2"/>
          <w:u w:val="single"/>
        </w:rPr>
      </w:pPr>
      <w:r w:rsidRPr="00237C0F">
        <w:rPr>
          <w:i/>
          <w:color w:val="1F497D" w:themeColor="text2"/>
          <w:u w:val="single"/>
        </w:rPr>
        <w:t>SAIDI</w:t>
      </w:r>
      <w:r w:rsidRPr="00237C0F">
        <w:rPr>
          <w:i/>
          <w:color w:val="1F497D" w:themeColor="text2"/>
          <w:u w:val="single"/>
          <w:vertAlign w:val="subscript"/>
        </w:rPr>
        <w:t>t-1</w:t>
      </w:r>
      <w:r w:rsidRPr="00237C0F">
        <w:rPr>
          <w:i/>
          <w:color w:val="1F497D" w:themeColor="text2"/>
          <w:u w:val="single"/>
        </w:rPr>
        <w:tab/>
      </w:r>
      <w:r w:rsidRPr="00237C0F">
        <w:rPr>
          <w:color w:val="1F497D" w:themeColor="text2"/>
          <w:u w:val="single"/>
        </w:rPr>
        <w:t>is, for the purposes of –</w:t>
      </w:r>
    </w:p>
    <w:p w:rsidR="00A129C9" w:rsidRPr="00237C0F" w:rsidRDefault="00A129C9" w:rsidP="00A129C9">
      <w:pPr>
        <w:pStyle w:val="Schnumberedtext"/>
        <w:numPr>
          <w:ilvl w:val="0"/>
          <w:numId w:val="0"/>
        </w:numPr>
        <w:tabs>
          <w:tab w:val="left" w:pos="1985"/>
        </w:tabs>
        <w:ind w:left="3261" w:hanging="1276"/>
        <w:rPr>
          <w:color w:val="1F497D" w:themeColor="text2"/>
          <w:u w:val="single"/>
        </w:rPr>
      </w:pPr>
      <w:r w:rsidRPr="00237C0F">
        <w:rPr>
          <w:color w:val="1F497D" w:themeColor="text2"/>
          <w:u w:val="single"/>
        </w:rPr>
        <w:t>(a)</w:t>
      </w:r>
      <w:r w:rsidRPr="00237C0F">
        <w:rPr>
          <w:color w:val="1F497D" w:themeColor="text2"/>
          <w:u w:val="single"/>
        </w:rPr>
        <w:tab/>
      </w:r>
      <w:proofErr w:type="gramStart"/>
      <w:r w:rsidRPr="00237C0F">
        <w:rPr>
          <w:color w:val="1F497D" w:themeColor="text2"/>
          <w:u w:val="single"/>
        </w:rPr>
        <w:t>calculating</w:t>
      </w:r>
      <w:proofErr w:type="gramEnd"/>
      <w:r w:rsidRPr="00237C0F">
        <w:rPr>
          <w:color w:val="1F497D" w:themeColor="text2"/>
          <w:u w:val="single"/>
        </w:rPr>
        <w:t xml:space="preserve"> the SAIDI Target, the SAIDI Target, and</w:t>
      </w:r>
    </w:p>
    <w:p w:rsidR="00A129C9" w:rsidRPr="00237C0F" w:rsidRDefault="00A129C9" w:rsidP="00A129C9">
      <w:pPr>
        <w:pStyle w:val="Schnumberedtext"/>
        <w:numPr>
          <w:ilvl w:val="0"/>
          <w:numId w:val="0"/>
        </w:numPr>
        <w:tabs>
          <w:tab w:val="left" w:pos="1985"/>
        </w:tabs>
        <w:ind w:left="3261" w:hanging="1276"/>
        <w:rPr>
          <w:color w:val="1F497D" w:themeColor="text2"/>
          <w:u w:val="single"/>
        </w:rPr>
      </w:pPr>
      <w:r w:rsidRPr="00237C0F">
        <w:rPr>
          <w:color w:val="1F497D" w:themeColor="text2"/>
          <w:u w:val="single"/>
        </w:rPr>
        <w:t>(b)</w:t>
      </w:r>
      <w:r w:rsidRPr="00237C0F">
        <w:rPr>
          <w:color w:val="1F497D" w:themeColor="text2"/>
          <w:u w:val="single"/>
        </w:rPr>
        <w:tab/>
      </w:r>
      <w:proofErr w:type="gramStart"/>
      <w:r w:rsidRPr="00237C0F">
        <w:rPr>
          <w:color w:val="1F497D" w:themeColor="text2"/>
          <w:u w:val="single"/>
        </w:rPr>
        <w:t>calculating</w:t>
      </w:r>
      <w:proofErr w:type="gramEnd"/>
      <w:r w:rsidRPr="00237C0F">
        <w:rPr>
          <w:color w:val="1F497D" w:themeColor="text2"/>
          <w:u w:val="single"/>
        </w:rPr>
        <w:t xml:space="preserve"> the SAIDI Unplanned Boundary Value, the SAIDI Unplanned Boundary Value</w:t>
      </w:r>
    </w:p>
    <w:p w:rsidR="00A129C9" w:rsidRPr="00237C0F" w:rsidRDefault="00A129C9" w:rsidP="00A129C9">
      <w:pPr>
        <w:pStyle w:val="Schnumberedtext"/>
        <w:numPr>
          <w:ilvl w:val="0"/>
          <w:numId w:val="0"/>
        </w:numPr>
        <w:tabs>
          <w:tab w:val="left" w:pos="1985"/>
        </w:tabs>
        <w:ind w:left="1985"/>
        <w:rPr>
          <w:color w:val="1F497D" w:themeColor="text2"/>
          <w:u w:val="single"/>
        </w:rPr>
      </w:pPr>
      <w:proofErr w:type="gramStart"/>
      <w:r w:rsidRPr="00237C0F">
        <w:rPr>
          <w:color w:val="1F497D" w:themeColor="text2"/>
          <w:u w:val="single"/>
        </w:rPr>
        <w:t>of</w:t>
      </w:r>
      <w:proofErr w:type="gramEnd"/>
      <w:r w:rsidRPr="00237C0F">
        <w:rPr>
          <w:color w:val="1F497D" w:themeColor="text2"/>
          <w:u w:val="single"/>
        </w:rPr>
        <w:t xml:space="preserve"> the Non-exempt EDB </w:t>
      </w:r>
      <w:r w:rsidR="0064088B">
        <w:rPr>
          <w:color w:val="1F497D" w:themeColor="text2"/>
          <w:u w:val="single"/>
        </w:rPr>
        <w:t>as specified in Schedules 4A and 5B</w:t>
      </w:r>
      <w:r w:rsidRPr="00237C0F">
        <w:rPr>
          <w:color w:val="1F497D" w:themeColor="text2"/>
          <w:u w:val="single"/>
        </w:rPr>
        <w:t>;</w:t>
      </w:r>
    </w:p>
    <w:p w:rsidR="00A129C9" w:rsidRPr="00237C0F" w:rsidRDefault="00A129C9" w:rsidP="00A129C9">
      <w:pPr>
        <w:pStyle w:val="Schnumberedtext"/>
        <w:numPr>
          <w:ilvl w:val="0"/>
          <w:numId w:val="0"/>
        </w:numPr>
        <w:tabs>
          <w:tab w:val="left" w:pos="1985"/>
        </w:tabs>
        <w:ind w:left="1985" w:hanging="1276"/>
        <w:rPr>
          <w:color w:val="1F497D" w:themeColor="text2"/>
          <w:u w:val="single"/>
        </w:rPr>
      </w:pPr>
      <w:proofErr w:type="spellStart"/>
      <w:r w:rsidRPr="00237C0F">
        <w:rPr>
          <w:i/>
          <w:color w:val="1F497D" w:themeColor="text2"/>
          <w:u w:val="single"/>
        </w:rPr>
        <w:lastRenderedPageBreak/>
        <w:t>SAIDI</w:t>
      </w:r>
      <w:r w:rsidR="007F712B">
        <w:rPr>
          <w:i/>
          <w:color w:val="1F497D" w:themeColor="text2"/>
          <w:u w:val="single"/>
          <w:vertAlign w:val="subscript"/>
        </w:rPr>
        <w:t>added</w:t>
      </w:r>
      <w:proofErr w:type="spellEnd"/>
      <w:r w:rsidR="007F712B">
        <w:rPr>
          <w:i/>
          <w:color w:val="1F497D" w:themeColor="text2"/>
          <w:u w:val="single"/>
          <w:vertAlign w:val="subscript"/>
        </w:rPr>
        <w:t>, t</w:t>
      </w:r>
      <w:r w:rsidRPr="00237C0F">
        <w:rPr>
          <w:color w:val="1F497D" w:themeColor="text2"/>
          <w:u w:val="single"/>
        </w:rPr>
        <w:tab/>
        <w:t>is, for the purposes of –</w:t>
      </w:r>
    </w:p>
    <w:p w:rsidR="00A129C9" w:rsidRPr="00901E10" w:rsidRDefault="00A129C9" w:rsidP="00A129C9">
      <w:pPr>
        <w:pStyle w:val="Schnumberedtext"/>
        <w:numPr>
          <w:ilvl w:val="0"/>
          <w:numId w:val="0"/>
        </w:numPr>
        <w:tabs>
          <w:tab w:val="left" w:pos="1985"/>
        </w:tabs>
        <w:ind w:left="3261" w:hanging="1276"/>
        <w:rPr>
          <w:color w:val="1F497D" w:themeColor="text2"/>
          <w:u w:val="single"/>
        </w:rPr>
      </w:pPr>
      <w:r w:rsidRPr="00901E10">
        <w:rPr>
          <w:color w:val="1F497D" w:themeColor="text2"/>
          <w:u w:val="single"/>
        </w:rPr>
        <w:t>(a)</w:t>
      </w:r>
      <w:r w:rsidRPr="00901E10">
        <w:rPr>
          <w:color w:val="1F497D" w:themeColor="text2"/>
          <w:u w:val="single"/>
        </w:rPr>
        <w:tab/>
      </w:r>
      <w:proofErr w:type="gramStart"/>
      <w:r w:rsidR="00901E10" w:rsidRPr="00901E10">
        <w:rPr>
          <w:color w:val="1F497D" w:themeColor="text2"/>
          <w:u w:val="single"/>
        </w:rPr>
        <w:t>calculating</w:t>
      </w:r>
      <w:proofErr w:type="gramEnd"/>
      <w:r w:rsidR="00901E10" w:rsidRPr="00901E10">
        <w:rPr>
          <w:color w:val="1F497D" w:themeColor="text2"/>
          <w:u w:val="single"/>
        </w:rPr>
        <w:t xml:space="preserve"> the SAIDI Target, the value of historic SAIDI calculated in accordance with paragraph 5, and</w:t>
      </w:r>
    </w:p>
    <w:p w:rsidR="00A129C9" w:rsidRPr="00237C0F" w:rsidRDefault="00A129C9" w:rsidP="00A129C9">
      <w:pPr>
        <w:pStyle w:val="Schnumberedtext"/>
        <w:numPr>
          <w:ilvl w:val="0"/>
          <w:numId w:val="0"/>
        </w:numPr>
        <w:tabs>
          <w:tab w:val="left" w:pos="1985"/>
        </w:tabs>
        <w:ind w:left="3261" w:hanging="1276"/>
        <w:rPr>
          <w:color w:val="1F497D" w:themeColor="text2"/>
          <w:u w:val="single"/>
        </w:rPr>
      </w:pPr>
      <w:r w:rsidRPr="00237C0F">
        <w:rPr>
          <w:color w:val="1F497D" w:themeColor="text2"/>
          <w:u w:val="single"/>
        </w:rPr>
        <w:t>(b)</w:t>
      </w:r>
      <w:r w:rsidRPr="00237C0F">
        <w:rPr>
          <w:color w:val="1F497D" w:themeColor="text2"/>
          <w:u w:val="single"/>
        </w:rPr>
        <w:tab/>
      </w:r>
      <w:proofErr w:type="gramStart"/>
      <w:r w:rsidRPr="00237C0F">
        <w:rPr>
          <w:color w:val="1F497D" w:themeColor="text2"/>
          <w:u w:val="single"/>
        </w:rPr>
        <w:t>calculating</w:t>
      </w:r>
      <w:proofErr w:type="gramEnd"/>
      <w:r w:rsidRPr="00237C0F">
        <w:rPr>
          <w:color w:val="1F497D" w:themeColor="text2"/>
          <w:u w:val="single"/>
        </w:rPr>
        <w:t xml:space="preserve"> the SAIDI Unplanned Boundary Value, the SAIDI Unplanned Boundary Value</w:t>
      </w:r>
    </w:p>
    <w:p w:rsidR="00A129C9" w:rsidRPr="00237C0F" w:rsidRDefault="00A129C9" w:rsidP="00A129C9">
      <w:pPr>
        <w:pStyle w:val="Schnumberedtext"/>
        <w:numPr>
          <w:ilvl w:val="0"/>
          <w:numId w:val="0"/>
        </w:numPr>
        <w:tabs>
          <w:tab w:val="left" w:pos="1985"/>
        </w:tabs>
        <w:ind w:left="1985" w:hanging="1276"/>
        <w:rPr>
          <w:color w:val="1F497D" w:themeColor="text2"/>
          <w:u w:val="single"/>
        </w:rPr>
      </w:pPr>
      <w:r w:rsidRPr="00237C0F">
        <w:rPr>
          <w:color w:val="1F497D" w:themeColor="text2"/>
          <w:u w:val="single"/>
        </w:rPr>
        <w:tab/>
      </w:r>
      <w:proofErr w:type="gramStart"/>
      <w:r w:rsidRPr="007F712B">
        <w:rPr>
          <w:color w:val="1F497D" w:themeColor="text2"/>
          <w:u w:val="single"/>
        </w:rPr>
        <w:t>in</w:t>
      </w:r>
      <w:proofErr w:type="gramEnd"/>
      <w:r w:rsidRPr="007F712B">
        <w:rPr>
          <w:color w:val="1F497D" w:themeColor="text2"/>
          <w:u w:val="single"/>
        </w:rPr>
        <w:t xml:space="preserve"> the Assessment Period </w:t>
      </w:r>
      <w:r w:rsidRPr="007F712B">
        <w:rPr>
          <w:i/>
          <w:color w:val="1F497D" w:themeColor="text2"/>
          <w:u w:val="single"/>
        </w:rPr>
        <w:t>t</w:t>
      </w:r>
      <w:r w:rsidRPr="007F712B">
        <w:rPr>
          <w:color w:val="1F497D" w:themeColor="text2"/>
          <w:u w:val="single"/>
        </w:rPr>
        <w:t xml:space="preserve"> </w:t>
      </w:r>
      <w:r w:rsidR="00901E10" w:rsidRPr="007F712B">
        <w:rPr>
          <w:color w:val="1F497D" w:themeColor="text2"/>
          <w:u w:val="single"/>
        </w:rPr>
        <w:t>for</w:t>
      </w:r>
      <w:r w:rsidRPr="007F712B">
        <w:rPr>
          <w:color w:val="1F497D" w:themeColor="text2"/>
          <w:u w:val="single"/>
        </w:rPr>
        <w:t xml:space="preserve"> the </w:t>
      </w:r>
      <w:r w:rsidR="00237C0F" w:rsidRPr="007F712B">
        <w:rPr>
          <w:color w:val="1F497D" w:themeColor="text2"/>
          <w:u w:val="single"/>
        </w:rPr>
        <w:t xml:space="preserve">transmission </w:t>
      </w:r>
      <w:r w:rsidRPr="007F712B">
        <w:rPr>
          <w:color w:val="1F497D" w:themeColor="text2"/>
          <w:u w:val="single"/>
        </w:rPr>
        <w:t xml:space="preserve">assets transferred </w:t>
      </w:r>
      <w:r w:rsidR="00237C0F" w:rsidRPr="007F712B">
        <w:rPr>
          <w:color w:val="1F497D" w:themeColor="text2"/>
          <w:u w:val="single"/>
        </w:rPr>
        <w:t xml:space="preserve">to the Non-exempt EDB </w:t>
      </w:r>
      <w:r w:rsidRPr="007F712B">
        <w:rPr>
          <w:color w:val="1F497D" w:themeColor="text2"/>
          <w:u w:val="single"/>
        </w:rPr>
        <w:t xml:space="preserve">from </w:t>
      </w:r>
      <w:r w:rsidR="00237C0F" w:rsidRPr="007F712B">
        <w:rPr>
          <w:color w:val="1F497D" w:themeColor="text2"/>
          <w:u w:val="single"/>
        </w:rPr>
        <w:t>Transpower</w:t>
      </w:r>
      <w:r w:rsidRPr="007F712B">
        <w:rPr>
          <w:rFonts w:asciiTheme="minorHAnsi" w:hAnsiTheme="minorHAnsi"/>
          <w:color w:val="1F497D" w:themeColor="text2"/>
          <w:u w:val="single"/>
        </w:rPr>
        <w:t>;</w:t>
      </w:r>
    </w:p>
    <w:p w:rsidR="000637DA" w:rsidRPr="00365151" w:rsidRDefault="000A2E89" w:rsidP="000637DA">
      <w:pPr>
        <w:pStyle w:val="Schnumberedtext"/>
        <w:numPr>
          <w:ilvl w:val="0"/>
          <w:numId w:val="0"/>
        </w:numPr>
        <w:tabs>
          <w:tab w:val="left" w:pos="1985"/>
        </w:tabs>
        <w:ind w:left="1985" w:hanging="1276"/>
        <w:rPr>
          <w:color w:val="1F497D" w:themeColor="text2"/>
          <w:u w:val="single"/>
        </w:rPr>
      </w:pPr>
      <w:proofErr w:type="gramStart"/>
      <w:r w:rsidRPr="000A2E89">
        <w:rPr>
          <w:i/>
          <w:color w:val="1F497D" w:themeColor="text2"/>
          <w:u w:val="single"/>
        </w:rPr>
        <w:t>Interruptions</w:t>
      </w:r>
      <w:r w:rsidR="000637DA" w:rsidRPr="00365151">
        <w:rPr>
          <w:color w:val="1F497D" w:themeColor="text2"/>
          <w:u w:val="single"/>
        </w:rPr>
        <w:tab/>
      </w:r>
      <w:r>
        <w:rPr>
          <w:color w:val="1F497D" w:themeColor="text2"/>
          <w:u w:val="single"/>
        </w:rPr>
        <w:tab/>
      </w:r>
      <w:r>
        <w:rPr>
          <w:color w:val="1F497D" w:themeColor="text2"/>
          <w:u w:val="single"/>
        </w:rPr>
        <w:tab/>
      </w:r>
      <w:r w:rsidR="000637DA" w:rsidRPr="00365151">
        <w:rPr>
          <w:color w:val="1F497D" w:themeColor="text2"/>
          <w:u w:val="single"/>
        </w:rPr>
        <w:t>is</w:t>
      </w:r>
      <w:proofErr w:type="gramEnd"/>
      <w:r w:rsidR="000637DA" w:rsidRPr="00365151">
        <w:rPr>
          <w:color w:val="1F497D" w:themeColor="text2"/>
          <w:u w:val="single"/>
        </w:rPr>
        <w:t xml:space="preserve"> the </w:t>
      </w:r>
      <w:r>
        <w:rPr>
          <w:color w:val="1F497D" w:themeColor="text2"/>
          <w:u w:val="single"/>
        </w:rPr>
        <w:t xml:space="preserve">total number of interruptions </w:t>
      </w:r>
      <w:r w:rsidR="00A129C9">
        <w:rPr>
          <w:color w:val="1F497D" w:themeColor="text2"/>
          <w:u w:val="single"/>
        </w:rPr>
        <w:t>for the non-Exempt EDB</w:t>
      </w:r>
      <w:r>
        <w:rPr>
          <w:color w:val="1F497D" w:themeColor="text2"/>
          <w:u w:val="single"/>
        </w:rPr>
        <w:t>,</w:t>
      </w:r>
      <w:r w:rsidR="00A129C9">
        <w:rPr>
          <w:color w:val="1F497D" w:themeColor="text2"/>
          <w:u w:val="single"/>
        </w:rPr>
        <w:t xml:space="preserve"> </w:t>
      </w:r>
      <w:r>
        <w:rPr>
          <w:color w:val="1F497D" w:themeColor="text2"/>
          <w:u w:val="single"/>
        </w:rPr>
        <w:t>for</w:t>
      </w:r>
      <w:r w:rsidR="00A129C9">
        <w:rPr>
          <w:color w:val="1F497D" w:themeColor="text2"/>
          <w:u w:val="single"/>
        </w:rPr>
        <w:t xml:space="preserve"> the </w:t>
      </w:r>
      <w:r>
        <w:rPr>
          <w:color w:val="1F497D" w:themeColor="text2"/>
          <w:u w:val="single"/>
        </w:rPr>
        <w:t xml:space="preserve">most recent 10 </w:t>
      </w:r>
      <w:r w:rsidR="00A129C9">
        <w:rPr>
          <w:color w:val="1F497D" w:themeColor="text2"/>
          <w:u w:val="single"/>
        </w:rPr>
        <w:t>year</w:t>
      </w:r>
      <w:r>
        <w:rPr>
          <w:color w:val="1F497D" w:themeColor="text2"/>
          <w:u w:val="single"/>
        </w:rPr>
        <w:t>s</w:t>
      </w:r>
      <w:r w:rsidR="00A129C9">
        <w:rPr>
          <w:color w:val="1F497D" w:themeColor="text2"/>
          <w:u w:val="single"/>
        </w:rPr>
        <w:t xml:space="preserve"> </w:t>
      </w:r>
      <w:r>
        <w:rPr>
          <w:color w:val="1F497D" w:themeColor="text2"/>
          <w:u w:val="single"/>
        </w:rPr>
        <w:t xml:space="preserve">of available data; </w:t>
      </w:r>
    </w:p>
    <w:p w:rsidR="000637DA" w:rsidRPr="00365151" w:rsidRDefault="000A2E89" w:rsidP="000637DA">
      <w:pPr>
        <w:pStyle w:val="Schnumberedtext"/>
        <w:numPr>
          <w:ilvl w:val="0"/>
          <w:numId w:val="0"/>
        </w:numPr>
        <w:tabs>
          <w:tab w:val="left" w:pos="1985"/>
        </w:tabs>
        <w:ind w:left="1985" w:hanging="1276"/>
        <w:rPr>
          <w:color w:val="1F497D" w:themeColor="text2"/>
          <w:u w:val="single"/>
        </w:rPr>
      </w:pPr>
      <w:proofErr w:type="spellStart"/>
      <w:r>
        <w:rPr>
          <w:i/>
          <w:color w:val="1F497D" w:themeColor="text2"/>
          <w:u w:val="single"/>
        </w:rPr>
        <w:t>Interruptions</w:t>
      </w:r>
      <w:r>
        <w:rPr>
          <w:i/>
          <w:color w:val="1F497D" w:themeColor="text2"/>
          <w:u w:val="single"/>
          <w:vertAlign w:val="subscript"/>
        </w:rPr>
        <w:t>added</w:t>
      </w:r>
      <w:proofErr w:type="spellEnd"/>
      <w:r w:rsidR="000637DA" w:rsidRPr="00365151">
        <w:rPr>
          <w:color w:val="1F497D" w:themeColor="text2"/>
          <w:u w:val="single"/>
        </w:rPr>
        <w:tab/>
      </w:r>
      <w:r w:rsidR="00A129C9" w:rsidRPr="00365151">
        <w:rPr>
          <w:color w:val="1F497D" w:themeColor="text2"/>
          <w:u w:val="single"/>
        </w:rPr>
        <w:t xml:space="preserve">is the </w:t>
      </w:r>
      <w:r>
        <w:rPr>
          <w:color w:val="1F497D" w:themeColor="text2"/>
          <w:u w:val="single"/>
        </w:rPr>
        <w:t>total number of interruptions for</w:t>
      </w:r>
      <w:r w:rsidR="00A129C9">
        <w:rPr>
          <w:color w:val="1F497D" w:themeColor="text2"/>
          <w:u w:val="single"/>
        </w:rPr>
        <w:t xml:space="preserve"> </w:t>
      </w:r>
      <w:r>
        <w:rPr>
          <w:color w:val="1F497D" w:themeColor="text2"/>
          <w:u w:val="single"/>
        </w:rPr>
        <w:t xml:space="preserve">the assets </w:t>
      </w:r>
      <w:r w:rsidR="00A129C9">
        <w:rPr>
          <w:color w:val="1F497D" w:themeColor="text2"/>
          <w:u w:val="single"/>
        </w:rPr>
        <w:t xml:space="preserve">transferred from Transpower, </w:t>
      </w:r>
      <w:r>
        <w:rPr>
          <w:color w:val="1F497D" w:themeColor="text2"/>
          <w:u w:val="single"/>
        </w:rPr>
        <w:t>for the most recent 10 years of available data</w:t>
      </w:r>
      <w:r w:rsidR="000637DA" w:rsidRPr="00365151">
        <w:rPr>
          <w:color w:val="1F497D" w:themeColor="text2"/>
          <w:u w:val="single"/>
        </w:rPr>
        <w:t>.</w:t>
      </w:r>
    </w:p>
    <w:p w:rsidR="00F70FBD" w:rsidRDefault="00C16294" w:rsidP="00B931B8">
      <w:pPr>
        <w:pStyle w:val="Schnumberedtext"/>
        <w:spacing w:before="240"/>
        <w:ind w:hanging="720"/>
      </w:pPr>
      <w:r>
        <w:t>For the purposes of paragraph</w:t>
      </w:r>
      <w:r w:rsidR="00A129C9" w:rsidRPr="00A129C9">
        <w:rPr>
          <w:color w:val="1F497D" w:themeColor="text2"/>
          <w:u w:val="single"/>
        </w:rPr>
        <w:t>s</w:t>
      </w:r>
      <w:r>
        <w:t xml:space="preserve"> </w:t>
      </w:r>
      <w:r w:rsidR="00113E4A">
        <w:fldChar w:fldCharType="begin"/>
      </w:r>
      <w:r w:rsidR="00113E4A">
        <w:instrText xml:space="preserve"> REF _Ref400100135 \r \h </w:instrText>
      </w:r>
      <w:r w:rsidR="00113E4A">
        <w:fldChar w:fldCharType="separate"/>
      </w:r>
      <w:r w:rsidR="00B56D36">
        <w:t>2</w:t>
      </w:r>
      <w:r w:rsidR="00113E4A">
        <w:fldChar w:fldCharType="end"/>
      </w:r>
      <w:r w:rsidR="00A129C9" w:rsidRPr="00A129C9">
        <w:rPr>
          <w:color w:val="1F497D" w:themeColor="text2"/>
          <w:u w:val="single"/>
        </w:rPr>
        <w:t xml:space="preserve"> and 4</w:t>
      </w:r>
      <w:r w:rsidR="00F70FBD">
        <w:t>–</w:t>
      </w:r>
    </w:p>
    <w:p w:rsidR="00C16294" w:rsidRDefault="00414395" w:rsidP="00B87C77">
      <w:pPr>
        <w:pStyle w:val="Subclause2"/>
        <w:numPr>
          <w:ilvl w:val="0"/>
          <w:numId w:val="75"/>
        </w:numPr>
        <w:ind w:left="1418" w:hanging="709"/>
      </w:pPr>
      <w:r>
        <w:t xml:space="preserve">the </w:t>
      </w:r>
      <w:r w:rsidRPr="00901E10">
        <w:rPr>
          <w:strike/>
          <w:color w:val="1F497D" w:themeColor="text2"/>
        </w:rPr>
        <w:t xml:space="preserve">SAIDI </w:t>
      </w:r>
      <w:r w:rsidR="007C1970" w:rsidRPr="00901E10">
        <w:rPr>
          <w:strike/>
          <w:color w:val="1F497D" w:themeColor="text2"/>
        </w:rPr>
        <w:t>Target</w:t>
      </w:r>
      <w:r w:rsidRPr="00901E10">
        <w:rPr>
          <w:strike/>
          <w:color w:val="1F497D" w:themeColor="text2"/>
        </w:rPr>
        <w:t xml:space="preserve"> of</w:t>
      </w:r>
      <w:r w:rsidRPr="00901E10">
        <w:rPr>
          <w:color w:val="1F497D" w:themeColor="text2"/>
        </w:rPr>
        <w:t xml:space="preserve"> </w:t>
      </w:r>
      <w:r w:rsidRPr="00237C0F">
        <w:rPr>
          <w:strike/>
          <w:color w:val="1F497D" w:themeColor="text2"/>
        </w:rPr>
        <w:t xml:space="preserve">an </w:t>
      </w:r>
      <w:r w:rsidR="00CD50E1" w:rsidRPr="00237C0F">
        <w:rPr>
          <w:strike/>
          <w:color w:val="1F497D" w:themeColor="text2"/>
        </w:rPr>
        <w:t xml:space="preserve">Exempt </w:t>
      </w:r>
      <w:r w:rsidRPr="00237C0F">
        <w:rPr>
          <w:strike/>
          <w:color w:val="1F497D" w:themeColor="text2"/>
        </w:rPr>
        <w:t>EDB</w:t>
      </w:r>
      <w:r w:rsidR="00824836" w:rsidRPr="00237C0F">
        <w:rPr>
          <w:strike/>
          <w:color w:val="1F497D" w:themeColor="text2"/>
        </w:rPr>
        <w:t xml:space="preserve"> or Transpower</w:t>
      </w:r>
      <w:r w:rsidRPr="00237C0F">
        <w:rPr>
          <w:color w:val="1F497D" w:themeColor="text2"/>
        </w:rPr>
        <w:t xml:space="preserve"> </w:t>
      </w:r>
      <w:r w:rsidR="00901E10" w:rsidRPr="00901E10">
        <w:rPr>
          <w:color w:val="1F497D" w:themeColor="text2"/>
          <w:u w:val="single"/>
        </w:rPr>
        <w:t>value of historic SAIDI</w:t>
      </w:r>
      <w:r w:rsidR="00901E10" w:rsidRPr="0064088B">
        <w:t xml:space="preserve"> </w:t>
      </w:r>
      <w:r>
        <w:t>is calculated in accordance with the formula–</w:t>
      </w:r>
      <w:bookmarkEnd w:id="34"/>
    </w:p>
    <w:p w:rsidR="00414395" w:rsidRPr="00564F0A" w:rsidRDefault="0067630A" w:rsidP="00414395">
      <w:pPr>
        <w:pStyle w:val="Schnumberedtext"/>
        <w:numPr>
          <w:ilvl w:val="0"/>
          <w:numId w:val="0"/>
        </w:numPr>
        <w:ind w:left="360"/>
      </w:pPr>
      <m:oMathPara>
        <m:oMath>
          <m:f>
            <m:fPr>
              <m:ctrlPr>
                <w:rPr>
                  <w:rFonts w:ascii="Cambria Math" w:hAnsi="Cambria Math"/>
                </w:rPr>
              </m:ctrlPr>
            </m:fPr>
            <m:num>
              <m:nary>
                <m:naryPr>
                  <m:chr m:val="∑"/>
                  <m:limLoc m:val="undOvr"/>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w:rPr>
                              <w:rFonts w:ascii="Cambria Math" w:hAnsi="Cambria Math"/>
                            </w:rPr>
                            <m:t>SAIDI</m:t>
                          </m:r>
                        </m:e>
                        <m:sub>
                          <m:r>
                            <w:rPr>
                              <w:rFonts w:ascii="Cambria Math" w:hAnsi="Cambria Math"/>
                            </w:rPr>
                            <m:t>planned</m:t>
                          </m:r>
                        </m:sub>
                      </m:sSub>
                      <m:r>
                        <m:rPr>
                          <m:sty m:val="p"/>
                        </m:rPr>
                        <w:rPr>
                          <w:rFonts w:ascii="Cambria Math" w:hAnsi="Cambria Math"/>
                        </w:rPr>
                        <m:t>*0.5</m:t>
                      </m:r>
                    </m:e>
                  </m:d>
                  <m:r>
                    <m:rPr>
                      <m:sty m:val="p"/>
                    </m:rPr>
                    <w:rPr>
                      <w:rFonts w:ascii="Cambria Math" w:hAnsi="Cambria Math"/>
                    </w:rPr>
                    <m:t>+</m:t>
                  </m:r>
                  <m:nary>
                    <m:naryPr>
                      <m:chr m:val="∑"/>
                      <m:limLoc m:val="undOvr"/>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w:rPr>
                                  <w:rFonts w:ascii="Cambria Math" w:hAnsi="Cambria Math"/>
                                </w:rPr>
                                <m:t>SAIDI</m:t>
                              </m:r>
                            </m:e>
                            <m:sub>
                              <m:r>
                                <w:rPr>
                                  <w:rFonts w:ascii="Cambria Math" w:hAnsi="Cambria Math"/>
                                </w:rPr>
                                <m:t>unplanned</m:t>
                              </m:r>
                            </m:sub>
                          </m:sSub>
                        </m:e>
                      </m:d>
                    </m:e>
                  </m:nary>
                </m:e>
              </m:nary>
            </m:num>
            <m:den>
              <m:r>
                <w:rPr>
                  <w:rFonts w:ascii="Cambria Math" w:hAnsi="Cambria Math"/>
                </w:rPr>
                <m:t>10</m:t>
              </m:r>
            </m:den>
          </m:f>
        </m:oMath>
      </m:oMathPara>
    </w:p>
    <w:p w:rsidR="00414395" w:rsidRDefault="00113E4A" w:rsidP="00F11DE1">
      <w:pPr>
        <w:pStyle w:val="Schnumberedtext"/>
        <w:numPr>
          <w:ilvl w:val="0"/>
          <w:numId w:val="0"/>
        </w:numPr>
        <w:tabs>
          <w:tab w:val="left" w:pos="1701"/>
        </w:tabs>
        <w:ind w:left="2410" w:hanging="992"/>
      </w:pPr>
      <w:proofErr w:type="gramStart"/>
      <w:r>
        <w:t>where-</w:t>
      </w:r>
      <w:proofErr w:type="gramEnd"/>
    </w:p>
    <w:p w:rsidR="00CD50E1" w:rsidRDefault="00414395" w:rsidP="00F11DE1">
      <w:pPr>
        <w:pStyle w:val="Schnumberedtext"/>
        <w:numPr>
          <w:ilvl w:val="0"/>
          <w:numId w:val="0"/>
        </w:numPr>
        <w:tabs>
          <w:tab w:val="left" w:pos="1985"/>
        </w:tabs>
        <w:ind w:left="2694" w:hanging="1276"/>
      </w:pPr>
      <w:proofErr w:type="spellStart"/>
      <w:r>
        <w:rPr>
          <w:i/>
        </w:rPr>
        <w:t>SAIDI</w:t>
      </w:r>
      <w:r>
        <w:rPr>
          <w:i/>
          <w:vertAlign w:val="subscript"/>
        </w:rPr>
        <w:t>planned</w:t>
      </w:r>
      <w:proofErr w:type="spellEnd"/>
      <w:r>
        <w:rPr>
          <w:i/>
        </w:rPr>
        <w:tab/>
      </w:r>
      <w:r>
        <w:t>is the historic SAIDI Values</w:t>
      </w:r>
      <w:r w:rsidR="00CD50E1">
        <w:t xml:space="preserve"> </w:t>
      </w:r>
      <w:r w:rsidR="00EC24B8">
        <w:t xml:space="preserve">for Planned Interruptions </w:t>
      </w:r>
      <w:r w:rsidR="00CD50E1" w:rsidRPr="00CD6667">
        <w:rPr>
          <w:strike/>
          <w:color w:val="1F497D" w:themeColor="text2"/>
        </w:rPr>
        <w:t>of the</w:t>
      </w:r>
      <w:r w:rsidR="00CD50E1" w:rsidRPr="00A129C9">
        <w:rPr>
          <w:strike/>
          <w:color w:val="1F497D" w:themeColor="text2"/>
        </w:rPr>
        <w:t xml:space="preserve"> Exempt EDB</w:t>
      </w:r>
      <w:r w:rsidR="00824836">
        <w:t xml:space="preserve"> </w:t>
      </w:r>
      <w:r w:rsidR="00901E10" w:rsidRPr="00901E10">
        <w:rPr>
          <w:color w:val="1F497D" w:themeColor="text2"/>
          <w:u w:val="single"/>
        </w:rPr>
        <w:t xml:space="preserve">for </w:t>
      </w:r>
      <w:r w:rsidR="00A129C9" w:rsidRPr="00901E10">
        <w:rPr>
          <w:color w:val="1F497D" w:themeColor="text2"/>
          <w:u w:val="single"/>
        </w:rPr>
        <w:t>the</w:t>
      </w:r>
      <w:r w:rsidR="00A129C9" w:rsidRPr="00A129C9">
        <w:rPr>
          <w:color w:val="1F497D" w:themeColor="text2"/>
          <w:u w:val="single"/>
        </w:rPr>
        <w:t xml:space="preserve"> ICPs </w:t>
      </w:r>
      <w:r w:rsidR="00C259CF">
        <w:rPr>
          <w:color w:val="1F497D" w:themeColor="text2"/>
          <w:u w:val="single"/>
        </w:rPr>
        <w:t>transferred</w:t>
      </w:r>
      <w:r w:rsidR="00A129C9">
        <w:t xml:space="preserve"> </w:t>
      </w:r>
      <w:r w:rsidR="00824836">
        <w:t xml:space="preserve">or </w:t>
      </w:r>
      <w:r w:rsidR="006B1165">
        <w:t xml:space="preserve">of </w:t>
      </w:r>
      <w:r w:rsidR="006B1165" w:rsidRPr="006B1165">
        <w:t xml:space="preserve">the assets transferred by </w:t>
      </w:r>
      <w:r w:rsidR="00824836">
        <w:t>Transpower</w:t>
      </w:r>
      <w:r w:rsidR="00CD50E1">
        <w:t xml:space="preserve"> for the most recent 10 years of available data</w:t>
      </w:r>
      <w:r w:rsidR="00113E4A">
        <w:t>; and</w:t>
      </w:r>
    </w:p>
    <w:p w:rsidR="00835835" w:rsidRDefault="00CD50E1" w:rsidP="00F11DE1">
      <w:pPr>
        <w:pStyle w:val="Schnumberedtext"/>
        <w:numPr>
          <w:ilvl w:val="0"/>
          <w:numId w:val="0"/>
        </w:numPr>
        <w:tabs>
          <w:tab w:val="left" w:pos="1985"/>
        </w:tabs>
        <w:ind w:left="2694" w:hanging="1276"/>
      </w:pPr>
      <w:proofErr w:type="spellStart"/>
      <w:r>
        <w:rPr>
          <w:i/>
        </w:rPr>
        <w:t>SAIDI</w:t>
      </w:r>
      <w:r w:rsidRPr="00CD50E1">
        <w:rPr>
          <w:i/>
          <w:vertAlign w:val="subscript"/>
        </w:rPr>
        <w:t>unplanned</w:t>
      </w:r>
      <w:proofErr w:type="spellEnd"/>
      <w:r>
        <w:rPr>
          <w:i/>
          <w:vertAlign w:val="subscript"/>
        </w:rPr>
        <w:tab/>
      </w:r>
      <w:r>
        <w:t xml:space="preserve">is </w:t>
      </w:r>
      <w:r w:rsidR="00835835">
        <w:t>–</w:t>
      </w:r>
    </w:p>
    <w:p w:rsidR="00835835" w:rsidRDefault="00F70FBD" w:rsidP="00F70FBD">
      <w:pPr>
        <w:pStyle w:val="Schnumberedtext"/>
        <w:numPr>
          <w:ilvl w:val="0"/>
          <w:numId w:val="0"/>
        </w:numPr>
        <w:tabs>
          <w:tab w:val="left" w:pos="2835"/>
        </w:tabs>
        <w:ind w:left="2835" w:hanging="850"/>
      </w:pPr>
      <w:r>
        <w:t>(</w:t>
      </w:r>
      <w:proofErr w:type="spellStart"/>
      <w:r>
        <w:t>i</w:t>
      </w:r>
      <w:proofErr w:type="spellEnd"/>
      <w:r>
        <w:t>)</w:t>
      </w:r>
      <w:r>
        <w:tab/>
      </w:r>
      <w:r w:rsidR="00751C52" w:rsidRPr="00751C52">
        <w:rPr>
          <w:color w:val="1F497D" w:themeColor="text2"/>
          <w:u w:val="single"/>
        </w:rPr>
        <w:t>for an EDB,</w:t>
      </w:r>
      <w:r w:rsidR="00751C52" w:rsidRPr="00751C52">
        <w:rPr>
          <w:color w:val="1F497D" w:themeColor="text2"/>
        </w:rPr>
        <w:t xml:space="preserve"> </w:t>
      </w:r>
      <w:r w:rsidR="00CD50E1">
        <w:t>the historic</w:t>
      </w:r>
      <w:r w:rsidR="00414395">
        <w:t xml:space="preserve"> SAIDI </w:t>
      </w:r>
      <w:r w:rsidR="00CD50E1">
        <w:t xml:space="preserve">Values </w:t>
      </w:r>
      <w:r w:rsidR="00EC24B8">
        <w:t xml:space="preserve">for Unplanned Interruptions </w:t>
      </w:r>
      <w:r w:rsidR="00CD50E1" w:rsidRPr="00901E10">
        <w:rPr>
          <w:strike/>
          <w:color w:val="1F497D" w:themeColor="text2"/>
        </w:rPr>
        <w:t>of</w:t>
      </w:r>
      <w:r w:rsidR="00A129C9" w:rsidRPr="00901E10">
        <w:rPr>
          <w:strike/>
          <w:color w:val="1F497D" w:themeColor="text2"/>
        </w:rPr>
        <w:t xml:space="preserve"> the </w:t>
      </w:r>
      <w:r w:rsidR="00A129C9" w:rsidRPr="00A129C9">
        <w:rPr>
          <w:strike/>
          <w:color w:val="1F497D" w:themeColor="text2"/>
        </w:rPr>
        <w:t>Exempt EDB</w:t>
      </w:r>
      <w:r w:rsidR="00A129C9">
        <w:t xml:space="preserve"> </w:t>
      </w:r>
      <w:r w:rsidR="00901E10" w:rsidRPr="00901E10">
        <w:rPr>
          <w:color w:val="1F497D" w:themeColor="text2"/>
          <w:u w:val="single"/>
        </w:rPr>
        <w:t xml:space="preserve">for </w:t>
      </w:r>
      <w:r w:rsidR="00A129C9" w:rsidRPr="00901E10">
        <w:rPr>
          <w:color w:val="1F497D" w:themeColor="text2"/>
          <w:u w:val="single"/>
        </w:rPr>
        <w:t xml:space="preserve">the </w:t>
      </w:r>
      <w:r w:rsidR="00A129C9" w:rsidRPr="00A129C9">
        <w:rPr>
          <w:color w:val="1F497D" w:themeColor="text2"/>
          <w:u w:val="single"/>
        </w:rPr>
        <w:t xml:space="preserve">ICPs </w:t>
      </w:r>
      <w:r w:rsidR="00C259CF">
        <w:rPr>
          <w:color w:val="1F497D" w:themeColor="text2"/>
          <w:u w:val="single"/>
        </w:rPr>
        <w:t>transferred</w:t>
      </w:r>
      <w:r w:rsidR="00CD50E1">
        <w:t xml:space="preserve"> for the most recent 10 years of available data, </w:t>
      </w:r>
      <w:r w:rsidR="00CD50E1" w:rsidRPr="002F54CC">
        <w:t>where any daily SAI</w:t>
      </w:r>
      <w:r w:rsidR="00CD50E1">
        <w:t>D</w:t>
      </w:r>
      <w:r w:rsidR="00CD50E1" w:rsidRPr="002F54CC">
        <w:t xml:space="preserve">I Value </w:t>
      </w:r>
      <w:r w:rsidR="00EC24B8">
        <w:t xml:space="preserve">for Unplanned Interruptions </w:t>
      </w:r>
      <w:r w:rsidR="00CD50E1" w:rsidRPr="002F54CC">
        <w:t xml:space="preserve">greater than the </w:t>
      </w:r>
      <w:r w:rsidR="00867D3D">
        <w:t>23</w:t>
      </w:r>
      <w:r w:rsidR="00867D3D" w:rsidRPr="00867D3D">
        <w:rPr>
          <w:vertAlign w:val="superscript"/>
        </w:rPr>
        <w:t>rd</w:t>
      </w:r>
      <w:r w:rsidR="00867D3D">
        <w:t xml:space="preserve"> highest </w:t>
      </w:r>
      <w:r w:rsidR="00EC24B8">
        <w:t xml:space="preserve">daily </w:t>
      </w:r>
      <w:r w:rsidR="00867D3D">
        <w:t>SAIDI Value</w:t>
      </w:r>
      <w:r w:rsidR="00CD50E1" w:rsidRPr="002F54CC">
        <w:t xml:space="preserve"> </w:t>
      </w:r>
      <w:r w:rsidR="00EC24B8">
        <w:t>for Unplanned Interruption</w:t>
      </w:r>
      <w:r w:rsidR="007867C6" w:rsidRPr="007867C6">
        <w:rPr>
          <w:color w:val="1F497D" w:themeColor="text2"/>
          <w:u w:val="single"/>
        </w:rPr>
        <w:t>s</w:t>
      </w:r>
      <w:r w:rsidR="00EC24B8">
        <w:t xml:space="preserve"> </w:t>
      </w:r>
      <w:r w:rsidR="00CD50E1">
        <w:t xml:space="preserve">of the </w:t>
      </w:r>
      <w:r w:rsidR="00867D3D" w:rsidRPr="00EF4EC2">
        <w:rPr>
          <w:strike/>
          <w:color w:val="1F497D" w:themeColor="text2"/>
        </w:rPr>
        <w:t>Exempt</w:t>
      </w:r>
      <w:r w:rsidR="00867D3D">
        <w:t xml:space="preserve"> </w:t>
      </w:r>
      <w:r w:rsidR="00CD50E1">
        <w:t>EDB</w:t>
      </w:r>
      <w:r w:rsidR="00824836" w:rsidRPr="002F54CC">
        <w:t xml:space="preserve"> </w:t>
      </w:r>
      <w:r w:rsidR="00CD50E1" w:rsidRPr="002F54CC">
        <w:t>equals th</w:t>
      </w:r>
      <w:r w:rsidR="00CD50E1">
        <w:t>at</w:t>
      </w:r>
      <w:r w:rsidR="00CD50E1" w:rsidRPr="002F54CC">
        <w:t xml:space="preserve"> </w:t>
      </w:r>
      <w:r w:rsidR="00835835">
        <w:t>value, or</w:t>
      </w:r>
    </w:p>
    <w:p w:rsidR="00414395" w:rsidRDefault="00F70FBD" w:rsidP="00F70FBD">
      <w:pPr>
        <w:pStyle w:val="Schnumberedtext"/>
        <w:numPr>
          <w:ilvl w:val="0"/>
          <w:numId w:val="0"/>
        </w:numPr>
        <w:tabs>
          <w:tab w:val="left" w:pos="2835"/>
        </w:tabs>
        <w:ind w:left="2835" w:hanging="850"/>
      </w:pPr>
      <w:r>
        <w:t>(ii)</w:t>
      </w:r>
      <w:r>
        <w:tab/>
      </w:r>
      <w:r w:rsidR="00751C52" w:rsidRPr="00751C52">
        <w:rPr>
          <w:color w:val="1F497D" w:themeColor="text2"/>
          <w:u w:val="single"/>
        </w:rPr>
        <w:t>for Transpower,</w:t>
      </w:r>
      <w:r w:rsidR="00751C52" w:rsidRPr="00751C52">
        <w:rPr>
          <w:color w:val="1F497D" w:themeColor="text2"/>
        </w:rPr>
        <w:t xml:space="preserve"> </w:t>
      </w:r>
      <w:r w:rsidR="00835835">
        <w:t xml:space="preserve">the historic SAIDI Values </w:t>
      </w:r>
      <w:r w:rsidR="00EC24B8">
        <w:t xml:space="preserve">for Unplanned Interruptions </w:t>
      </w:r>
      <w:r w:rsidR="00835835">
        <w:t xml:space="preserve">of the assets transferred by Transpower for the most recent 10 years of available data, </w:t>
      </w:r>
      <w:r w:rsidR="00835835" w:rsidRPr="002F54CC">
        <w:t>where any daily SAI</w:t>
      </w:r>
      <w:r w:rsidR="00835835">
        <w:t>D</w:t>
      </w:r>
      <w:r w:rsidR="00835835" w:rsidRPr="002F54CC">
        <w:t xml:space="preserve">I Value greater than the </w:t>
      </w:r>
      <w:r w:rsidR="00EC24B8">
        <w:t xml:space="preserve">Non-exempt EDB’s </w:t>
      </w:r>
      <w:r w:rsidR="00835835">
        <w:t xml:space="preserve">SAIDI </w:t>
      </w:r>
      <w:r w:rsidR="00EC24B8">
        <w:t xml:space="preserve">Unplanned Boundary </w:t>
      </w:r>
      <w:r w:rsidR="00835835">
        <w:t>Value</w:t>
      </w:r>
      <w:r w:rsidR="00835835" w:rsidRPr="002F54CC">
        <w:t xml:space="preserve"> equals th</w:t>
      </w:r>
      <w:r w:rsidR="00835835">
        <w:t>at</w:t>
      </w:r>
      <w:r w:rsidR="00835835" w:rsidRPr="002F54CC">
        <w:t xml:space="preserve"> </w:t>
      </w:r>
      <w:r w:rsidR="00835835">
        <w:t>v</w:t>
      </w:r>
      <w:r w:rsidR="00835835" w:rsidRPr="002F54CC">
        <w:t>alue</w:t>
      </w:r>
      <w:r w:rsidR="00113E4A">
        <w:t>.</w:t>
      </w:r>
    </w:p>
    <w:p w:rsidR="00F70FBD" w:rsidRDefault="00F70FBD" w:rsidP="00B87C77">
      <w:pPr>
        <w:pStyle w:val="Subclause2"/>
        <w:numPr>
          <w:ilvl w:val="0"/>
          <w:numId w:val="75"/>
        </w:numPr>
        <w:ind w:left="1418" w:hanging="709"/>
      </w:pPr>
      <w:r>
        <w:t>the SAIDI Unplanned Boundary Value of an Exempt EDB or Transpower is–</w:t>
      </w:r>
    </w:p>
    <w:p w:rsidR="00F70FBD" w:rsidRDefault="00F70FBD" w:rsidP="00F70FBD">
      <w:pPr>
        <w:pStyle w:val="Schnumberedtext"/>
        <w:numPr>
          <w:ilvl w:val="0"/>
          <w:numId w:val="0"/>
        </w:numPr>
        <w:ind w:left="2127" w:hanging="709"/>
      </w:pPr>
      <w:r>
        <w:lastRenderedPageBreak/>
        <w:t>(</w:t>
      </w:r>
      <w:proofErr w:type="spellStart"/>
      <w:r>
        <w:t>i</w:t>
      </w:r>
      <w:proofErr w:type="spellEnd"/>
      <w:r>
        <w:t>)</w:t>
      </w:r>
      <w:r>
        <w:tab/>
      </w:r>
      <w:proofErr w:type="gramStart"/>
      <w:r>
        <w:t>for</w:t>
      </w:r>
      <w:proofErr w:type="gramEnd"/>
      <w:r>
        <w:t xml:space="preserve"> an Exempt EDB, the 23</w:t>
      </w:r>
      <w:r w:rsidRPr="004F427A">
        <w:rPr>
          <w:vertAlign w:val="superscript"/>
        </w:rPr>
        <w:t>rd</w:t>
      </w:r>
      <w:r>
        <w:t xml:space="preserve"> highest SAI</w:t>
      </w:r>
      <w:r w:rsidR="006B1165">
        <w:t>D</w:t>
      </w:r>
      <w:r>
        <w:t>I Value</w:t>
      </w:r>
      <w:r w:rsidR="00EC24B8" w:rsidRPr="00EC24B8">
        <w:t xml:space="preserve"> </w:t>
      </w:r>
      <w:r w:rsidR="00EC24B8">
        <w:t>for Unplanned Interruptions</w:t>
      </w:r>
      <w:r>
        <w:t xml:space="preserve"> of the Exempt EDB; and</w:t>
      </w:r>
    </w:p>
    <w:p w:rsidR="00F70FBD" w:rsidRDefault="00F70FBD" w:rsidP="00F70FBD">
      <w:pPr>
        <w:pStyle w:val="Schnumberedtext"/>
        <w:numPr>
          <w:ilvl w:val="0"/>
          <w:numId w:val="0"/>
        </w:numPr>
        <w:ind w:left="2127" w:hanging="709"/>
      </w:pPr>
      <w:r>
        <w:t>(ii)</w:t>
      </w:r>
      <w:r>
        <w:tab/>
      </w:r>
      <w:proofErr w:type="gramStart"/>
      <w:r>
        <w:t>for</w:t>
      </w:r>
      <w:proofErr w:type="gramEnd"/>
      <w:r>
        <w:t xml:space="preserve"> Transpower, the SAIDI Unplanned Boundary Value of the Non-exempt EDB to which assets have been transferred.</w:t>
      </w:r>
    </w:p>
    <w:p w:rsidR="00867D3D" w:rsidRDefault="00B931B8" w:rsidP="00B931B8">
      <w:pPr>
        <w:pStyle w:val="Schnumberedtext"/>
        <w:spacing w:before="240"/>
        <w:ind w:hanging="720"/>
      </w:pPr>
      <w:bookmarkStart w:id="35" w:name="_Ref401156448"/>
      <w:r w:rsidRPr="002F54CC">
        <w:t xml:space="preserve">For the purposes of </w:t>
      </w:r>
      <w:r w:rsidRPr="00AF4817">
        <w:t xml:space="preserve">paragraph </w:t>
      </w:r>
      <w:r w:rsidR="00113E4A">
        <w:fldChar w:fldCharType="begin"/>
      </w:r>
      <w:r w:rsidR="00113E4A">
        <w:instrText xml:space="preserve"> REF _Ref400100158 \r \h </w:instrText>
      </w:r>
      <w:r w:rsidR="00113E4A">
        <w:fldChar w:fldCharType="separate"/>
      </w:r>
      <w:r w:rsidR="00B56D36">
        <w:t>1</w:t>
      </w:r>
      <w:r w:rsidR="00113E4A">
        <w:fldChar w:fldCharType="end"/>
      </w:r>
      <w:r w:rsidR="00867D3D">
        <w:t>:</w:t>
      </w:r>
      <w:bookmarkEnd w:id="35"/>
    </w:p>
    <w:p w:rsidR="00867D3D" w:rsidRDefault="00B931B8" w:rsidP="00B87C77">
      <w:pPr>
        <w:pStyle w:val="Subclause2"/>
        <w:numPr>
          <w:ilvl w:val="0"/>
          <w:numId w:val="74"/>
        </w:numPr>
        <w:ind w:left="1418" w:hanging="709"/>
      </w:pPr>
      <w:r w:rsidRPr="00AF4817">
        <w:t xml:space="preserve">the SAIDI Cap and SAIDI Collar must be adjusted by an amount equal to the percentage change in the SAIDI Target following recalculation in accordance with paragraph </w:t>
      </w:r>
      <w:r w:rsidR="00BE65E9">
        <w:t>2</w:t>
      </w:r>
      <w:r w:rsidR="00867D3D">
        <w:t>; and</w:t>
      </w:r>
    </w:p>
    <w:p w:rsidR="00B931B8" w:rsidRPr="00AF4817" w:rsidRDefault="00867D3D" w:rsidP="00B87C77">
      <w:pPr>
        <w:pStyle w:val="Subclause2"/>
        <w:numPr>
          <w:ilvl w:val="0"/>
          <w:numId w:val="74"/>
        </w:numPr>
        <w:ind w:left="1418" w:hanging="709"/>
      </w:pPr>
      <w:proofErr w:type="gramStart"/>
      <w:r>
        <w:t>the</w:t>
      </w:r>
      <w:proofErr w:type="gramEnd"/>
      <w:r>
        <w:t xml:space="preserve"> SAIDI Limit equals the SAIDI Cap determined in accordance with subparagraph (a)</w:t>
      </w:r>
      <w:r w:rsidR="00CE4F6E">
        <w:t>.</w:t>
      </w:r>
    </w:p>
    <w:p w:rsidR="00B931B8" w:rsidRDefault="00B931B8" w:rsidP="00B931B8">
      <w:pPr>
        <w:pStyle w:val="Schnumberedtext"/>
        <w:ind w:hanging="720"/>
      </w:pPr>
      <w:bookmarkStart w:id="36" w:name="_Ref400100197"/>
      <w:r w:rsidRPr="00AF4817">
        <w:t xml:space="preserve">For the purposes of paragraph </w:t>
      </w:r>
      <w:r w:rsidR="00113E4A">
        <w:fldChar w:fldCharType="begin"/>
      </w:r>
      <w:r w:rsidR="00113E4A">
        <w:instrText xml:space="preserve"> REF _Ref400100158 \r \h </w:instrText>
      </w:r>
      <w:r w:rsidR="00113E4A">
        <w:fldChar w:fldCharType="separate"/>
      </w:r>
      <w:r w:rsidR="00B56D36">
        <w:t>1</w:t>
      </w:r>
      <w:r w:rsidR="00113E4A">
        <w:fldChar w:fldCharType="end"/>
      </w:r>
      <w:r w:rsidRPr="00EF4EC2">
        <w:rPr>
          <w:color w:val="1F497D" w:themeColor="text2"/>
          <w:u w:val="single"/>
        </w:rPr>
        <w:t xml:space="preserve">, </w:t>
      </w:r>
      <w:r w:rsidR="00EF4EC2" w:rsidRPr="00EF4EC2">
        <w:rPr>
          <w:color w:val="1F497D" w:themeColor="text2"/>
          <w:u w:val="single"/>
        </w:rPr>
        <w:t>following a Major Transaction,</w:t>
      </w:r>
      <w:r w:rsidR="00EF4EC2" w:rsidRPr="00EF4EC2">
        <w:rPr>
          <w:color w:val="1F497D" w:themeColor="text2"/>
        </w:rPr>
        <w:t xml:space="preserve"> </w:t>
      </w:r>
      <w:r w:rsidRPr="00AF4817">
        <w:t>the SAIFI</w:t>
      </w:r>
      <w:r w:rsidRPr="002F54CC">
        <w:t xml:space="preserve"> Target </w:t>
      </w:r>
      <w:r w:rsidR="00EB4923" w:rsidRPr="00EB4923">
        <w:rPr>
          <w:color w:val="1F497D" w:themeColor="text2"/>
          <w:u w:val="single"/>
        </w:rPr>
        <w:t>and SAIFI Unplanned Boundary Value</w:t>
      </w:r>
      <w:r w:rsidR="00EB4923">
        <w:t xml:space="preserve"> </w:t>
      </w:r>
      <w:r w:rsidRPr="002F54CC">
        <w:t xml:space="preserve">for each Assessment </w:t>
      </w:r>
      <w:r>
        <w:t>P</w:t>
      </w:r>
      <w:r w:rsidRPr="002F54CC">
        <w:t>eriod must be calculated in accordance with the formula</w:t>
      </w:r>
      <w:r>
        <w:t xml:space="preserve"> –</w:t>
      </w:r>
      <w:bookmarkEnd w:id="36"/>
    </w:p>
    <w:p w:rsidR="00CD50E1" w:rsidRPr="00564F0A" w:rsidRDefault="0067630A" w:rsidP="00CD50E1">
      <w:pPr>
        <w:pStyle w:val="Schnumberedtext"/>
        <w:numPr>
          <w:ilvl w:val="0"/>
          <w:numId w:val="0"/>
        </w:numPr>
        <w:ind w:left="360"/>
      </w:pPr>
      <m:oMathPara>
        <m:oMath>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SAIFI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ICP</m:t>
                      </m:r>
                    </m:e>
                    <m:sub>
                      <m:r>
                        <m:rPr>
                          <m:sty m:val="p"/>
                        </m:rPr>
                        <w:rPr>
                          <w:rFonts w:ascii="Cambria Math" w:hAnsi="Cambria Math"/>
                        </w:rPr>
                        <m:t>t</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SAIFI</m:t>
                      </m:r>
                    </m:e>
                    <m:sub>
                      <m:r>
                        <w:rPr>
                          <w:rFonts w:ascii="Cambria Math" w:hAnsi="Cambria Math"/>
                          <w:strike/>
                          <w:color w:val="1F497D" w:themeColor="text2"/>
                        </w:rPr>
                        <m:t>other</m:t>
                      </m:r>
                      <m:r>
                        <w:rPr>
                          <w:rFonts w:ascii="Cambria Math" w:hAnsi="Cambria Math"/>
                          <w:color w:val="1F497D" w:themeColor="text2"/>
                        </w:rPr>
                        <m:t>added</m:t>
                      </m:r>
                      <m:r>
                        <w:rPr>
                          <w:rFonts w:ascii="Cambria Math" w:hAnsi="Cambria Math"/>
                        </w:rPr>
                        <m:t>, t</m:t>
                      </m:r>
                    </m:sub>
                  </m:sSub>
                  <m:r>
                    <m:rPr>
                      <m:sty m:val="p"/>
                    </m:rPr>
                    <w:rPr>
                      <w:rFonts w:ascii="Cambria Math" w:hAnsi="Cambria Math"/>
                    </w:rPr>
                    <m:t>*</m:t>
                  </m:r>
                  <m:sSub>
                    <m:sSubPr>
                      <m:ctrlPr>
                        <w:rPr>
                          <w:rFonts w:ascii="Cambria Math" w:hAnsi="Cambria Math"/>
                        </w:rPr>
                      </m:ctrlPr>
                    </m:sSubPr>
                    <m:e>
                      <m:r>
                        <w:rPr>
                          <w:rFonts w:ascii="Cambria Math" w:hAnsi="Cambria Math"/>
                        </w:rPr>
                        <m:t>ICP</m:t>
                      </m:r>
                    </m:e>
                    <m:sub>
                      <m:r>
                        <m:rPr>
                          <m:sty m:val="p"/>
                        </m:rPr>
                        <w:rPr>
                          <w:rFonts w:ascii="Cambria Math" w:hAnsi="Cambria Math"/>
                        </w:rPr>
                        <m:t>added, t</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SAIFI</m:t>
                      </m:r>
                    </m:e>
                    <m:sub>
                      <m:r>
                        <w:rPr>
                          <w:rFonts w:ascii="Cambria Math" w:hAnsi="Cambria Math"/>
                        </w:rPr>
                        <m:t xml:space="preserve"> </m:t>
                      </m:r>
                      <m:r>
                        <w:rPr>
                          <w:rFonts w:ascii="Cambria Math" w:hAnsi="Cambria Math"/>
                          <w:color w:val="1F497D" w:themeColor="text2"/>
                        </w:rPr>
                        <m:t>lost,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ICP</m:t>
                      </m:r>
                    </m:e>
                    <m:sub>
                      <m:r>
                        <m:rPr>
                          <m:sty m:val="p"/>
                        </m:rPr>
                        <w:rPr>
                          <w:rFonts w:ascii="Cambria Math" w:hAnsi="Cambria Math"/>
                        </w:rPr>
                        <m:t>lost, t</m:t>
                      </m:r>
                    </m:sub>
                  </m:sSub>
                </m:e>
              </m:d>
            </m:num>
            <m:den>
              <m:sSub>
                <m:sSubPr>
                  <m:ctrlPr>
                    <w:rPr>
                      <w:rFonts w:ascii="Cambria Math" w:hAnsi="Cambria Math"/>
                    </w:rPr>
                  </m:ctrlPr>
                </m:sSubPr>
                <m:e>
                  <m:r>
                    <w:rPr>
                      <w:rFonts w:ascii="Cambria Math" w:hAnsi="Cambria Math"/>
                    </w:rPr>
                    <m:t>ICP</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ICP</m:t>
                  </m:r>
                </m:e>
                <m:sub>
                  <m:r>
                    <m:rPr>
                      <m:sty m:val="p"/>
                    </m:rPr>
                    <w:rPr>
                      <w:rFonts w:ascii="Cambria Math" w:hAnsi="Cambria Math"/>
                    </w:rPr>
                    <m:t>added, t</m:t>
                  </m:r>
                </m:sub>
              </m:sSub>
              <m:r>
                <w:rPr>
                  <w:rFonts w:ascii="Cambria Math" w:hAnsi="Cambria Math"/>
                </w:rPr>
                <m:t xml:space="preserve">- </m:t>
              </m:r>
              <m:sSub>
                <m:sSubPr>
                  <m:ctrlPr>
                    <w:rPr>
                      <w:rFonts w:ascii="Cambria Math" w:hAnsi="Cambria Math"/>
                    </w:rPr>
                  </m:ctrlPr>
                </m:sSubPr>
                <m:e>
                  <m:r>
                    <w:rPr>
                      <w:rFonts w:ascii="Cambria Math" w:hAnsi="Cambria Math"/>
                    </w:rPr>
                    <m:t>ICP</m:t>
                  </m:r>
                </m:e>
                <m:sub>
                  <m:r>
                    <m:rPr>
                      <m:sty m:val="p"/>
                    </m:rPr>
                    <w:rPr>
                      <w:rFonts w:ascii="Cambria Math" w:hAnsi="Cambria Math"/>
                    </w:rPr>
                    <m:t>lost, t</m:t>
                  </m:r>
                </m:sub>
              </m:sSub>
            </m:den>
          </m:f>
        </m:oMath>
      </m:oMathPara>
    </w:p>
    <w:p w:rsidR="00CD50E1" w:rsidRDefault="00113E4A" w:rsidP="00CD50E1">
      <w:pPr>
        <w:pStyle w:val="Schnumberedtext"/>
        <w:numPr>
          <w:ilvl w:val="0"/>
          <w:numId w:val="0"/>
        </w:numPr>
        <w:tabs>
          <w:tab w:val="left" w:pos="1701"/>
        </w:tabs>
        <w:ind w:left="1701" w:hanging="992"/>
      </w:pPr>
      <w:proofErr w:type="gramStart"/>
      <w:r>
        <w:t>where-</w:t>
      </w:r>
      <w:proofErr w:type="gramEnd"/>
    </w:p>
    <w:p w:rsidR="00CD50E1" w:rsidRDefault="00CD50E1" w:rsidP="00CD50E1">
      <w:pPr>
        <w:pStyle w:val="Schnumberedtext"/>
        <w:numPr>
          <w:ilvl w:val="0"/>
          <w:numId w:val="0"/>
        </w:numPr>
        <w:tabs>
          <w:tab w:val="left" w:pos="1985"/>
        </w:tabs>
        <w:ind w:left="1985" w:hanging="1276"/>
      </w:pPr>
      <w:proofErr w:type="gramStart"/>
      <w:r>
        <w:rPr>
          <w:i/>
        </w:rPr>
        <w:t>t</w:t>
      </w:r>
      <w:proofErr w:type="gramEnd"/>
      <w:r>
        <w:tab/>
        <w:t xml:space="preserve">is the Assessment Period in which </w:t>
      </w:r>
      <w:r w:rsidR="007867C6" w:rsidRPr="00EB4923">
        <w:rPr>
          <w:strike/>
          <w:color w:val="1F497D" w:themeColor="text2"/>
        </w:rPr>
        <w:t>the assets are transferred to or from a Non-exempt EDB</w:t>
      </w:r>
      <w:r w:rsidR="007867C6">
        <w:t xml:space="preserve"> </w:t>
      </w:r>
      <w:r w:rsidR="007867C6" w:rsidRPr="00EB4923">
        <w:rPr>
          <w:color w:val="1F497D" w:themeColor="text2"/>
          <w:u w:val="single"/>
        </w:rPr>
        <w:t>the Major Transaction occurs</w:t>
      </w:r>
      <w:r w:rsidR="00113E4A">
        <w:t>;</w:t>
      </w:r>
    </w:p>
    <w:p w:rsidR="00824836" w:rsidRDefault="00CD50E1" w:rsidP="00824836">
      <w:pPr>
        <w:pStyle w:val="Schnumberedtext"/>
        <w:numPr>
          <w:ilvl w:val="0"/>
          <w:numId w:val="0"/>
        </w:numPr>
        <w:tabs>
          <w:tab w:val="left" w:pos="1985"/>
        </w:tabs>
        <w:ind w:left="1985" w:hanging="1276"/>
      </w:pPr>
      <w:r>
        <w:rPr>
          <w:i/>
        </w:rPr>
        <w:t>SAIFI</w:t>
      </w:r>
      <w:r w:rsidRPr="00321F81">
        <w:rPr>
          <w:i/>
          <w:vertAlign w:val="subscript"/>
        </w:rPr>
        <w:t>t-1</w:t>
      </w:r>
      <w:r>
        <w:rPr>
          <w:i/>
        </w:rPr>
        <w:tab/>
      </w:r>
      <w:r>
        <w:t>is</w:t>
      </w:r>
      <w:r w:rsidR="00824836">
        <w:t>, for the purposes of –</w:t>
      </w:r>
    </w:p>
    <w:p w:rsidR="00824836" w:rsidRDefault="00824836" w:rsidP="00245CB8">
      <w:pPr>
        <w:pStyle w:val="Schnumberedtext"/>
        <w:numPr>
          <w:ilvl w:val="0"/>
          <w:numId w:val="0"/>
        </w:numPr>
        <w:tabs>
          <w:tab w:val="left" w:pos="1985"/>
        </w:tabs>
        <w:ind w:left="2835" w:hanging="850"/>
      </w:pPr>
      <w:r w:rsidRPr="004D32F9">
        <w:t>(a)</w:t>
      </w:r>
      <w:r w:rsidRPr="004D32F9">
        <w:tab/>
      </w:r>
      <w:proofErr w:type="gramStart"/>
      <w:r w:rsidRPr="004D32F9">
        <w:t>calculating</w:t>
      </w:r>
      <w:proofErr w:type="gramEnd"/>
      <w:r w:rsidRPr="004D32F9">
        <w:t xml:space="preserve"> the SAI</w:t>
      </w:r>
      <w:r>
        <w:t>F</w:t>
      </w:r>
      <w:r w:rsidRPr="004D32F9">
        <w:t xml:space="preserve">I Target, </w:t>
      </w:r>
      <w:r>
        <w:t>the SAIFI Target, and</w:t>
      </w:r>
    </w:p>
    <w:p w:rsidR="00824836" w:rsidRDefault="00824836" w:rsidP="00245CB8">
      <w:pPr>
        <w:pStyle w:val="Schnumberedtext"/>
        <w:numPr>
          <w:ilvl w:val="0"/>
          <w:numId w:val="0"/>
        </w:numPr>
        <w:tabs>
          <w:tab w:val="left" w:pos="1985"/>
        </w:tabs>
        <w:ind w:left="2835" w:hanging="850"/>
      </w:pPr>
      <w:r>
        <w:t>(b)</w:t>
      </w:r>
      <w:r>
        <w:tab/>
      </w:r>
      <w:proofErr w:type="gramStart"/>
      <w:r>
        <w:t>calculating</w:t>
      </w:r>
      <w:proofErr w:type="gramEnd"/>
      <w:r>
        <w:t xml:space="preserve"> the SAIFI Unplanned Boundary Value, the SAIFI Unplanned Boundary Value</w:t>
      </w:r>
    </w:p>
    <w:p w:rsidR="00CD50E1" w:rsidRPr="00113E4A" w:rsidRDefault="00824836" w:rsidP="00CD50E1">
      <w:pPr>
        <w:pStyle w:val="Schnumberedtext"/>
        <w:numPr>
          <w:ilvl w:val="0"/>
          <w:numId w:val="0"/>
        </w:numPr>
        <w:tabs>
          <w:tab w:val="left" w:pos="1985"/>
        </w:tabs>
        <w:ind w:left="1985" w:hanging="1276"/>
      </w:pPr>
      <w:r>
        <w:tab/>
      </w:r>
      <w:proofErr w:type="gramStart"/>
      <w:r w:rsidR="00CD50E1">
        <w:t>of</w:t>
      </w:r>
      <w:proofErr w:type="gramEnd"/>
      <w:r w:rsidR="00CD50E1">
        <w:t xml:space="preserve"> the Non-exempt EDB</w:t>
      </w:r>
      <w:r w:rsidR="00504184">
        <w:t xml:space="preserve"> </w:t>
      </w:r>
      <w:r w:rsidR="0028737F" w:rsidRPr="0023230C">
        <w:rPr>
          <w:strike/>
          <w:color w:val="1F497D" w:themeColor="text2"/>
        </w:rPr>
        <w:t xml:space="preserve">in the Assessment Period prior to year </w:t>
      </w:r>
      <w:r w:rsidR="0028737F" w:rsidRPr="0023230C">
        <w:rPr>
          <w:i/>
          <w:strike/>
          <w:color w:val="1F497D" w:themeColor="text2"/>
        </w:rPr>
        <w:t>t</w:t>
      </w:r>
      <w:r w:rsidR="0028737F">
        <w:t xml:space="preserve"> </w:t>
      </w:r>
      <w:r w:rsidR="0028737F" w:rsidRPr="0023230C">
        <w:rPr>
          <w:color w:val="1F497D" w:themeColor="text2"/>
          <w:u w:val="single"/>
        </w:rPr>
        <w:t>as specified in Schedules 4A and 5B</w:t>
      </w:r>
      <w:r w:rsidR="00113E4A">
        <w:t>;</w:t>
      </w:r>
    </w:p>
    <w:p w:rsidR="00824836" w:rsidRDefault="00CD50E1" w:rsidP="00824836">
      <w:pPr>
        <w:pStyle w:val="Schnumberedtext"/>
        <w:numPr>
          <w:ilvl w:val="0"/>
          <w:numId w:val="0"/>
        </w:numPr>
        <w:tabs>
          <w:tab w:val="left" w:pos="1985"/>
        </w:tabs>
        <w:ind w:left="1985" w:hanging="1276"/>
      </w:pPr>
      <w:proofErr w:type="spellStart"/>
      <w:r>
        <w:rPr>
          <w:i/>
        </w:rPr>
        <w:t>SAIFI</w:t>
      </w:r>
      <w:r w:rsidR="00504184" w:rsidRPr="007D2EEE">
        <w:rPr>
          <w:i/>
          <w:strike/>
          <w:color w:val="1F497D" w:themeColor="text2"/>
          <w:vertAlign w:val="subscript"/>
        </w:rPr>
        <w:t>other</w:t>
      </w:r>
      <w:r w:rsidR="00504184" w:rsidRPr="007D2EEE">
        <w:rPr>
          <w:i/>
          <w:color w:val="1F497D" w:themeColor="text2"/>
          <w:u w:val="single"/>
          <w:vertAlign w:val="subscript"/>
        </w:rPr>
        <w:t>added</w:t>
      </w:r>
      <w:proofErr w:type="spellEnd"/>
      <w:r w:rsidR="00504184">
        <w:rPr>
          <w:i/>
          <w:vertAlign w:val="subscript"/>
        </w:rPr>
        <w:t>, t</w:t>
      </w:r>
      <w:r w:rsidR="00504184" w:rsidRPr="00EB4923">
        <w:rPr>
          <w:i/>
          <w:color w:val="1F497D" w:themeColor="text2"/>
          <w:u w:val="single"/>
          <w:vertAlign w:val="subscript"/>
        </w:rPr>
        <w:t>-1</w:t>
      </w:r>
      <w:r>
        <w:tab/>
        <w:t>is</w:t>
      </w:r>
      <w:r w:rsidR="00824836">
        <w:t>, for the purposes of –</w:t>
      </w:r>
    </w:p>
    <w:p w:rsidR="00824836" w:rsidRDefault="00824836" w:rsidP="00245CB8">
      <w:pPr>
        <w:pStyle w:val="Schnumberedtext"/>
        <w:numPr>
          <w:ilvl w:val="0"/>
          <w:numId w:val="0"/>
        </w:numPr>
        <w:tabs>
          <w:tab w:val="left" w:pos="1985"/>
        </w:tabs>
        <w:ind w:left="2835" w:hanging="850"/>
      </w:pPr>
      <w:r w:rsidRPr="004D32F9">
        <w:t>(a)</w:t>
      </w:r>
      <w:r w:rsidRPr="004D32F9">
        <w:tab/>
        <w:t>calculating the SAI</w:t>
      </w:r>
      <w:r>
        <w:t>F</w:t>
      </w:r>
      <w:r w:rsidRPr="004D32F9">
        <w:t xml:space="preserve">I Target, </w:t>
      </w:r>
      <w:r w:rsidRPr="00901E10">
        <w:rPr>
          <w:strike/>
          <w:color w:val="1F497D" w:themeColor="text2"/>
        </w:rPr>
        <w:t>the SAIFI Target</w:t>
      </w:r>
      <w:r w:rsidR="00BE65E9" w:rsidRPr="00901E10">
        <w:rPr>
          <w:strike/>
          <w:color w:val="1F497D" w:themeColor="text2"/>
        </w:rPr>
        <w:t>, subject to</w:t>
      </w:r>
      <w:r w:rsidR="00BE65E9" w:rsidRPr="00901E10">
        <w:rPr>
          <w:color w:val="1F497D" w:themeColor="text2"/>
        </w:rPr>
        <w:t xml:space="preserve"> </w:t>
      </w:r>
      <w:r w:rsidR="00901E10" w:rsidRPr="00901E10">
        <w:rPr>
          <w:color w:val="1F497D" w:themeColor="text2"/>
          <w:u w:val="single"/>
        </w:rPr>
        <w:t>the value of historic SAIFI calculated in accordance with</w:t>
      </w:r>
      <w:r w:rsidR="00901E10">
        <w:t xml:space="preserve"> </w:t>
      </w:r>
      <w:r w:rsidR="00BE65E9">
        <w:t xml:space="preserve">paragraph </w:t>
      </w:r>
      <w:r w:rsidR="00BE65E9" w:rsidRPr="00751C52">
        <w:rPr>
          <w:strike/>
          <w:color w:val="1F497D" w:themeColor="text2"/>
        </w:rPr>
        <w:t>6</w:t>
      </w:r>
      <w:r w:rsidR="00751C52" w:rsidRPr="00751C52">
        <w:rPr>
          <w:color w:val="1F497D" w:themeColor="text2"/>
          <w:u w:val="single"/>
        </w:rPr>
        <w:t>10</w:t>
      </w:r>
      <w:r>
        <w:t>, and</w:t>
      </w:r>
    </w:p>
    <w:p w:rsidR="00824836" w:rsidRDefault="00824836" w:rsidP="00245CB8">
      <w:pPr>
        <w:pStyle w:val="Schnumberedtext"/>
        <w:numPr>
          <w:ilvl w:val="0"/>
          <w:numId w:val="0"/>
        </w:numPr>
        <w:tabs>
          <w:tab w:val="left" w:pos="1985"/>
        </w:tabs>
        <w:ind w:left="2835" w:hanging="850"/>
      </w:pPr>
      <w:r>
        <w:t>(b)</w:t>
      </w:r>
      <w:r>
        <w:tab/>
      </w:r>
      <w:proofErr w:type="gramStart"/>
      <w:r>
        <w:t>calculating</w:t>
      </w:r>
      <w:proofErr w:type="gramEnd"/>
      <w:r>
        <w:t xml:space="preserve"> the SAIFI Unplanned Boundary Value, the SAIFI Unplanned Boundary Value</w:t>
      </w:r>
    </w:p>
    <w:p w:rsidR="00CD50E1" w:rsidRPr="0094773C" w:rsidRDefault="00824836" w:rsidP="00CD50E1">
      <w:pPr>
        <w:pStyle w:val="Schnumberedtext"/>
        <w:numPr>
          <w:ilvl w:val="0"/>
          <w:numId w:val="0"/>
        </w:numPr>
        <w:tabs>
          <w:tab w:val="left" w:pos="1985"/>
        </w:tabs>
        <w:ind w:left="1985" w:hanging="1276"/>
      </w:pPr>
      <w:r>
        <w:tab/>
      </w:r>
      <w:r w:rsidR="00CD50E1" w:rsidRPr="007F712B">
        <w:t xml:space="preserve">in the Assessment Period </w:t>
      </w:r>
      <w:r w:rsidR="00CD50E1" w:rsidRPr="007F712B">
        <w:rPr>
          <w:i/>
        </w:rPr>
        <w:t>t</w:t>
      </w:r>
      <w:r w:rsidR="00CD50E1" w:rsidRPr="007F712B">
        <w:t xml:space="preserve"> </w:t>
      </w:r>
      <w:r w:rsidR="00CD50E1" w:rsidRPr="007F712B">
        <w:rPr>
          <w:strike/>
          <w:color w:val="1F497D" w:themeColor="text2"/>
        </w:rPr>
        <w:t>of the EDB</w:t>
      </w:r>
      <w:r w:rsidR="00CD50E1" w:rsidRPr="007F712B">
        <w:rPr>
          <w:color w:val="1F497D" w:themeColor="text2"/>
        </w:rPr>
        <w:t xml:space="preserve"> </w:t>
      </w:r>
      <w:r w:rsidR="007867C6" w:rsidRPr="007F712B">
        <w:rPr>
          <w:strike/>
          <w:color w:val="1F497D" w:themeColor="text2"/>
        </w:rPr>
        <w:t>from which assets have been transferred to or from</w:t>
      </w:r>
      <w:r w:rsidR="007867C6" w:rsidRPr="007F712B">
        <w:t xml:space="preserve"> </w:t>
      </w:r>
      <w:r w:rsidR="00901E10" w:rsidRPr="007F712B">
        <w:rPr>
          <w:color w:val="1F497D" w:themeColor="text2"/>
          <w:u w:val="single"/>
        </w:rPr>
        <w:t xml:space="preserve">for the </w:t>
      </w:r>
      <w:r w:rsidR="007867C6" w:rsidRPr="007F712B">
        <w:rPr>
          <w:color w:val="1F497D" w:themeColor="text2"/>
          <w:u w:val="single"/>
        </w:rPr>
        <w:t xml:space="preserve">ICPs </w:t>
      </w:r>
      <w:r w:rsidR="00F55DE9" w:rsidRPr="007F712B">
        <w:rPr>
          <w:color w:val="1F497D" w:themeColor="text2"/>
          <w:u w:val="single"/>
        </w:rPr>
        <w:t>transferred to</w:t>
      </w:r>
      <w:r w:rsidR="00504184" w:rsidRPr="007F712B">
        <w:rPr>
          <w:color w:val="1F497D" w:themeColor="text2"/>
          <w:u w:val="single"/>
        </w:rPr>
        <w:t xml:space="preserve"> the Non-exempt EDB</w:t>
      </w:r>
      <w:r w:rsidR="00504184" w:rsidRPr="007F712B">
        <w:t xml:space="preserve"> </w:t>
      </w:r>
      <w:r w:rsidR="007867C6" w:rsidRPr="007F712B">
        <w:t xml:space="preserve">as part of the Major Transaction </w:t>
      </w:r>
      <w:r w:rsidR="007867C6" w:rsidRPr="007F712B">
        <w:rPr>
          <w:strike/>
          <w:color w:val="1F497D" w:themeColor="text2"/>
        </w:rPr>
        <w:t>or</w:t>
      </w:r>
      <w:r w:rsidR="007867C6" w:rsidRPr="007F712B">
        <w:rPr>
          <w:rFonts w:asciiTheme="minorHAnsi" w:hAnsiTheme="minorHAnsi"/>
          <w:strike/>
          <w:color w:val="1F497D" w:themeColor="text2"/>
        </w:rPr>
        <w:t xml:space="preserve"> transfer of transmission assets from Transpower</w:t>
      </w:r>
      <w:r w:rsidR="00113E4A" w:rsidRPr="007F712B">
        <w:rPr>
          <w:rFonts w:asciiTheme="minorHAnsi" w:hAnsiTheme="minorHAnsi"/>
        </w:rPr>
        <w:t>;</w:t>
      </w:r>
    </w:p>
    <w:p w:rsidR="00504184" w:rsidRPr="00504184" w:rsidRDefault="00504184" w:rsidP="00504184">
      <w:pPr>
        <w:pStyle w:val="Schnumberedtext"/>
        <w:numPr>
          <w:ilvl w:val="0"/>
          <w:numId w:val="0"/>
        </w:numPr>
        <w:tabs>
          <w:tab w:val="left" w:pos="1985"/>
        </w:tabs>
        <w:ind w:left="1985" w:hanging="1276"/>
        <w:rPr>
          <w:color w:val="1F497D" w:themeColor="text2"/>
          <w:u w:val="single"/>
        </w:rPr>
      </w:pPr>
      <w:proofErr w:type="spellStart"/>
      <w:r w:rsidRPr="00504184">
        <w:rPr>
          <w:i/>
          <w:color w:val="1F497D" w:themeColor="text2"/>
          <w:u w:val="single"/>
        </w:rPr>
        <w:lastRenderedPageBreak/>
        <w:t>SAI</w:t>
      </w:r>
      <w:r>
        <w:rPr>
          <w:i/>
          <w:color w:val="1F497D" w:themeColor="text2"/>
          <w:u w:val="single"/>
        </w:rPr>
        <w:t>F</w:t>
      </w:r>
      <w:r w:rsidRPr="00504184">
        <w:rPr>
          <w:i/>
          <w:color w:val="1F497D" w:themeColor="text2"/>
          <w:u w:val="single"/>
        </w:rPr>
        <w:t>I</w:t>
      </w:r>
      <w:r w:rsidRPr="00504184">
        <w:rPr>
          <w:i/>
          <w:color w:val="1F497D" w:themeColor="text2"/>
          <w:u w:val="single"/>
          <w:vertAlign w:val="subscript"/>
        </w:rPr>
        <w:t>lost</w:t>
      </w:r>
      <w:proofErr w:type="spellEnd"/>
      <w:r w:rsidRPr="00504184">
        <w:rPr>
          <w:i/>
          <w:color w:val="1F497D" w:themeColor="text2"/>
          <w:u w:val="single"/>
          <w:vertAlign w:val="subscript"/>
        </w:rPr>
        <w:t>, t</w:t>
      </w:r>
      <w:r w:rsidRPr="00504184">
        <w:rPr>
          <w:color w:val="1F497D" w:themeColor="text2"/>
          <w:u w:val="single"/>
        </w:rPr>
        <w:tab/>
        <w:t>is, for the purposes of –</w:t>
      </w:r>
    </w:p>
    <w:p w:rsidR="00504184" w:rsidRPr="00504184" w:rsidRDefault="00751C52" w:rsidP="00504184">
      <w:pPr>
        <w:pStyle w:val="Schnumberedtext"/>
        <w:numPr>
          <w:ilvl w:val="0"/>
          <w:numId w:val="0"/>
        </w:numPr>
        <w:tabs>
          <w:tab w:val="left" w:pos="1985"/>
        </w:tabs>
        <w:ind w:left="3261" w:hanging="1276"/>
        <w:rPr>
          <w:color w:val="1F497D" w:themeColor="text2"/>
          <w:u w:val="single"/>
        </w:rPr>
      </w:pPr>
      <w:r>
        <w:rPr>
          <w:color w:val="1F497D" w:themeColor="text2"/>
          <w:u w:val="single"/>
        </w:rPr>
        <w:t>(a)</w:t>
      </w:r>
      <w:r>
        <w:rPr>
          <w:color w:val="1F497D" w:themeColor="text2"/>
          <w:u w:val="single"/>
        </w:rPr>
        <w:tab/>
      </w:r>
      <w:proofErr w:type="gramStart"/>
      <w:r>
        <w:rPr>
          <w:color w:val="1F497D" w:themeColor="text2"/>
          <w:u w:val="single"/>
        </w:rPr>
        <w:t>calculating</w:t>
      </w:r>
      <w:proofErr w:type="gramEnd"/>
      <w:r>
        <w:rPr>
          <w:color w:val="1F497D" w:themeColor="text2"/>
          <w:u w:val="single"/>
        </w:rPr>
        <w:t xml:space="preserve"> the SAIF</w:t>
      </w:r>
      <w:r w:rsidR="00504184" w:rsidRPr="00504184">
        <w:rPr>
          <w:color w:val="1F497D" w:themeColor="text2"/>
          <w:u w:val="single"/>
        </w:rPr>
        <w:t xml:space="preserve">I Target, </w:t>
      </w:r>
      <w:r w:rsidR="00901E10" w:rsidRPr="00504184">
        <w:rPr>
          <w:color w:val="1F497D" w:themeColor="text2"/>
          <w:u w:val="single"/>
        </w:rPr>
        <w:t xml:space="preserve">the </w:t>
      </w:r>
      <w:r w:rsidR="00901E10">
        <w:rPr>
          <w:color w:val="1F497D" w:themeColor="text2"/>
          <w:u w:val="single"/>
        </w:rPr>
        <w:t xml:space="preserve">value of historic </w:t>
      </w:r>
      <w:r w:rsidR="00901E10" w:rsidRPr="00504184">
        <w:rPr>
          <w:color w:val="1F497D" w:themeColor="text2"/>
          <w:u w:val="single"/>
        </w:rPr>
        <w:t>SAI</w:t>
      </w:r>
      <w:r w:rsidR="00901E10">
        <w:rPr>
          <w:color w:val="1F497D" w:themeColor="text2"/>
          <w:u w:val="single"/>
        </w:rPr>
        <w:t>F</w:t>
      </w:r>
      <w:r w:rsidR="00901E10" w:rsidRPr="00504184">
        <w:rPr>
          <w:color w:val="1F497D" w:themeColor="text2"/>
          <w:u w:val="single"/>
        </w:rPr>
        <w:t xml:space="preserve">I </w:t>
      </w:r>
      <w:r w:rsidR="00901E10">
        <w:rPr>
          <w:color w:val="1F497D" w:themeColor="text2"/>
          <w:u w:val="single"/>
        </w:rPr>
        <w:t xml:space="preserve">calculated in accordance with </w:t>
      </w:r>
      <w:r w:rsidR="00901E10" w:rsidRPr="00504184">
        <w:rPr>
          <w:color w:val="1F497D" w:themeColor="text2"/>
          <w:u w:val="single"/>
        </w:rPr>
        <w:t>paragraph</w:t>
      </w:r>
      <w:r w:rsidR="00504184" w:rsidRPr="00504184">
        <w:rPr>
          <w:color w:val="1F497D" w:themeColor="text2"/>
          <w:u w:val="single"/>
        </w:rPr>
        <w:t xml:space="preserve"> </w:t>
      </w:r>
      <w:r w:rsidR="00504184" w:rsidRPr="00504184">
        <w:rPr>
          <w:strike/>
          <w:color w:val="1F497D" w:themeColor="text2"/>
          <w:u w:val="single"/>
        </w:rPr>
        <w:t>3</w:t>
      </w:r>
      <w:r w:rsidR="00504184" w:rsidRPr="00504184">
        <w:rPr>
          <w:color w:val="1F497D" w:themeColor="text2"/>
          <w:u w:val="single"/>
        </w:rPr>
        <w:t>5, and</w:t>
      </w:r>
    </w:p>
    <w:p w:rsidR="00504184" w:rsidRPr="00504184" w:rsidRDefault="00751C52" w:rsidP="00504184">
      <w:pPr>
        <w:pStyle w:val="Schnumberedtext"/>
        <w:numPr>
          <w:ilvl w:val="0"/>
          <w:numId w:val="0"/>
        </w:numPr>
        <w:tabs>
          <w:tab w:val="left" w:pos="1985"/>
        </w:tabs>
        <w:ind w:left="3261" w:hanging="1276"/>
        <w:rPr>
          <w:color w:val="1F497D" w:themeColor="text2"/>
          <w:u w:val="single"/>
        </w:rPr>
      </w:pPr>
      <w:r>
        <w:rPr>
          <w:color w:val="1F497D" w:themeColor="text2"/>
          <w:u w:val="single"/>
        </w:rPr>
        <w:t>(b)</w:t>
      </w:r>
      <w:r>
        <w:rPr>
          <w:color w:val="1F497D" w:themeColor="text2"/>
          <w:u w:val="single"/>
        </w:rPr>
        <w:tab/>
      </w:r>
      <w:proofErr w:type="gramStart"/>
      <w:r>
        <w:rPr>
          <w:color w:val="1F497D" w:themeColor="text2"/>
          <w:u w:val="single"/>
        </w:rPr>
        <w:t>calculating</w:t>
      </w:r>
      <w:proofErr w:type="gramEnd"/>
      <w:r>
        <w:rPr>
          <w:color w:val="1F497D" w:themeColor="text2"/>
          <w:u w:val="single"/>
        </w:rPr>
        <w:t xml:space="preserve"> the SAIF</w:t>
      </w:r>
      <w:r w:rsidR="00504184" w:rsidRPr="00504184">
        <w:rPr>
          <w:color w:val="1F497D" w:themeColor="text2"/>
          <w:u w:val="single"/>
        </w:rPr>
        <w:t>I Unplanned Boundary Value, the SAI</w:t>
      </w:r>
      <w:r>
        <w:rPr>
          <w:color w:val="1F497D" w:themeColor="text2"/>
          <w:u w:val="single"/>
        </w:rPr>
        <w:t>F</w:t>
      </w:r>
      <w:r w:rsidR="00504184" w:rsidRPr="00504184">
        <w:rPr>
          <w:color w:val="1F497D" w:themeColor="text2"/>
          <w:u w:val="single"/>
        </w:rPr>
        <w:t>I Unplanned Boundary Value</w:t>
      </w:r>
    </w:p>
    <w:p w:rsidR="00504184" w:rsidRPr="00504184" w:rsidRDefault="00504184" w:rsidP="00504184">
      <w:pPr>
        <w:pStyle w:val="Schnumberedtext"/>
        <w:numPr>
          <w:ilvl w:val="0"/>
          <w:numId w:val="0"/>
        </w:numPr>
        <w:tabs>
          <w:tab w:val="left" w:pos="1985"/>
        </w:tabs>
        <w:ind w:left="1985"/>
        <w:rPr>
          <w:color w:val="1F497D" w:themeColor="text2"/>
          <w:u w:val="single"/>
        </w:rPr>
      </w:pPr>
      <w:r w:rsidRPr="007F712B">
        <w:rPr>
          <w:color w:val="1F497D" w:themeColor="text2"/>
          <w:u w:val="single"/>
        </w:rPr>
        <w:t xml:space="preserve">in the Assessment Period </w:t>
      </w:r>
      <w:r w:rsidRPr="007F712B">
        <w:rPr>
          <w:i/>
          <w:color w:val="1F497D" w:themeColor="text2"/>
          <w:u w:val="single"/>
        </w:rPr>
        <w:t>t</w:t>
      </w:r>
      <w:r w:rsidRPr="007F712B">
        <w:rPr>
          <w:color w:val="1F497D" w:themeColor="text2"/>
          <w:u w:val="single"/>
        </w:rPr>
        <w:t xml:space="preserve"> </w:t>
      </w:r>
      <w:r w:rsidR="00901E10" w:rsidRPr="007F712B">
        <w:rPr>
          <w:color w:val="1F497D" w:themeColor="text2"/>
          <w:u w:val="single"/>
        </w:rPr>
        <w:t>for</w:t>
      </w:r>
      <w:r w:rsidRPr="007F712B">
        <w:rPr>
          <w:color w:val="1F497D" w:themeColor="text2"/>
          <w:u w:val="single"/>
        </w:rPr>
        <w:t xml:space="preserve"> the ICPs who will no longer be supplied by the Non-exempt EDB as part of the Major Transaction</w:t>
      </w:r>
      <w:r w:rsidRPr="007F712B">
        <w:rPr>
          <w:rFonts w:asciiTheme="minorHAnsi" w:hAnsiTheme="minorHAnsi"/>
          <w:color w:val="1F497D" w:themeColor="text2"/>
          <w:u w:val="single"/>
        </w:rPr>
        <w:t>;</w:t>
      </w:r>
    </w:p>
    <w:p w:rsidR="00CD50E1" w:rsidRPr="00113E4A" w:rsidRDefault="00CD50E1" w:rsidP="00CD50E1">
      <w:pPr>
        <w:pStyle w:val="Schnumberedtext"/>
        <w:numPr>
          <w:ilvl w:val="0"/>
          <w:numId w:val="0"/>
        </w:numPr>
        <w:tabs>
          <w:tab w:val="left" w:pos="1985"/>
        </w:tabs>
        <w:ind w:left="1985" w:hanging="1276"/>
      </w:pPr>
      <w:proofErr w:type="spellStart"/>
      <w:r w:rsidRPr="00321F81">
        <w:rPr>
          <w:i/>
        </w:rPr>
        <w:t>ICP</w:t>
      </w:r>
      <w:r w:rsidRPr="0094773C">
        <w:rPr>
          <w:i/>
          <w:vertAlign w:val="subscript"/>
        </w:rPr>
        <w:t>t</w:t>
      </w:r>
      <w:proofErr w:type="spellEnd"/>
      <w:r>
        <w:tab/>
        <w:t xml:space="preserve">is the number of ICPs on the Non-exempt EDB’s network </w:t>
      </w:r>
      <w:r w:rsidR="006A76D6">
        <w:t xml:space="preserve">immediately prior to the Major </w:t>
      </w:r>
      <w:r w:rsidR="006A76D6" w:rsidRPr="00F55DE9">
        <w:rPr>
          <w:color w:val="auto"/>
        </w:rPr>
        <w:t xml:space="preserve">Transaction </w:t>
      </w:r>
      <w:r w:rsidR="006A76D6" w:rsidRPr="008E7747">
        <w:rPr>
          <w:strike/>
          <w:color w:val="1F497D" w:themeColor="text2"/>
        </w:rPr>
        <w:t>or transfer of transmission assets from Transpower</w:t>
      </w:r>
      <w:r w:rsidR="00113E4A">
        <w:t>;</w:t>
      </w:r>
    </w:p>
    <w:p w:rsidR="00245CB8" w:rsidRPr="00751C52" w:rsidRDefault="00CD50E1" w:rsidP="00CD50E1">
      <w:pPr>
        <w:pStyle w:val="Schnumberedtext"/>
        <w:numPr>
          <w:ilvl w:val="0"/>
          <w:numId w:val="0"/>
        </w:numPr>
        <w:tabs>
          <w:tab w:val="left" w:pos="1985"/>
        </w:tabs>
        <w:ind w:left="1985" w:hanging="1276"/>
        <w:rPr>
          <w:strike/>
          <w:color w:val="1F497D" w:themeColor="text2"/>
        </w:rPr>
      </w:pPr>
      <w:proofErr w:type="spellStart"/>
      <w:r w:rsidRPr="00321F81">
        <w:rPr>
          <w:i/>
        </w:rPr>
        <w:t>ICP</w:t>
      </w:r>
      <w:r w:rsidRPr="0094773C">
        <w:rPr>
          <w:i/>
          <w:vertAlign w:val="subscript"/>
        </w:rPr>
        <w:t>a</w:t>
      </w:r>
      <w:r>
        <w:rPr>
          <w:i/>
          <w:vertAlign w:val="subscript"/>
        </w:rPr>
        <w:t>dded</w:t>
      </w:r>
      <w:proofErr w:type="spellEnd"/>
      <w:r w:rsidRPr="0094773C">
        <w:rPr>
          <w:i/>
          <w:vertAlign w:val="subscript"/>
        </w:rPr>
        <w:t>, t</w:t>
      </w:r>
      <w:r>
        <w:tab/>
        <w:t>is</w:t>
      </w:r>
      <w:r w:rsidR="00245CB8" w:rsidRPr="00751C52">
        <w:rPr>
          <w:strike/>
          <w:color w:val="1F497D" w:themeColor="text2"/>
        </w:rPr>
        <w:t>, for the purposes of–</w:t>
      </w:r>
    </w:p>
    <w:p w:rsidR="00245CB8" w:rsidRDefault="007867C6" w:rsidP="007867C6">
      <w:pPr>
        <w:pStyle w:val="Schnumberedtext"/>
        <w:numPr>
          <w:ilvl w:val="0"/>
          <w:numId w:val="0"/>
        </w:numPr>
        <w:tabs>
          <w:tab w:val="left" w:pos="1985"/>
        </w:tabs>
        <w:ind w:left="2835" w:hanging="850"/>
      </w:pPr>
      <w:r w:rsidRPr="00751C52">
        <w:rPr>
          <w:strike/>
          <w:color w:val="1F497D" w:themeColor="text2"/>
        </w:rPr>
        <w:t>(a)</w:t>
      </w:r>
      <w:r w:rsidRPr="00751C52">
        <w:rPr>
          <w:strike/>
          <w:color w:val="1F497D" w:themeColor="text2"/>
        </w:rPr>
        <w:tab/>
      </w:r>
      <w:proofErr w:type="gramStart"/>
      <w:r w:rsidR="00245CB8" w:rsidRPr="00751C52">
        <w:rPr>
          <w:strike/>
          <w:color w:val="1F497D" w:themeColor="text2"/>
        </w:rPr>
        <w:t>a</w:t>
      </w:r>
      <w:proofErr w:type="gramEnd"/>
      <w:r w:rsidR="00245CB8" w:rsidRPr="00751C52">
        <w:rPr>
          <w:strike/>
          <w:color w:val="1F497D" w:themeColor="text2"/>
        </w:rPr>
        <w:t xml:space="preserve"> Major Transaction,</w:t>
      </w:r>
      <w:r w:rsidR="00245CB8">
        <w:t xml:space="preserve"> </w:t>
      </w:r>
      <w:r w:rsidR="00CD50E1">
        <w:t xml:space="preserve">the number of ICPs transferred to the Non-exempt EDB in the Assessment Period </w:t>
      </w:r>
      <w:r w:rsidR="00CD50E1">
        <w:rPr>
          <w:i/>
        </w:rPr>
        <w:t>t</w:t>
      </w:r>
      <w:r w:rsidR="00CD50E1" w:rsidRPr="0094773C">
        <w:t xml:space="preserve"> </w:t>
      </w:r>
      <w:r w:rsidR="00CD50E1">
        <w:t>as part of the Major Transaction</w:t>
      </w:r>
      <w:r w:rsidR="00245CB8">
        <w:t>,</w:t>
      </w:r>
      <w:r w:rsidR="00CD50E1">
        <w:t xml:space="preserve"> </w:t>
      </w:r>
    </w:p>
    <w:p w:rsidR="00CD50E1" w:rsidRPr="0094773C" w:rsidRDefault="00245CB8" w:rsidP="00245CB8">
      <w:pPr>
        <w:pStyle w:val="Schnumberedtext"/>
        <w:numPr>
          <w:ilvl w:val="0"/>
          <w:numId w:val="0"/>
        </w:numPr>
        <w:tabs>
          <w:tab w:val="left" w:pos="1985"/>
        </w:tabs>
        <w:ind w:left="2835" w:hanging="850"/>
      </w:pPr>
      <w:r w:rsidRPr="00751C52">
        <w:rPr>
          <w:strike/>
          <w:color w:val="1F497D" w:themeColor="text2"/>
        </w:rPr>
        <w:t>(</w:t>
      </w:r>
      <w:r w:rsidR="00751C52" w:rsidRPr="00751C52">
        <w:rPr>
          <w:strike/>
          <w:color w:val="1F497D" w:themeColor="text2"/>
        </w:rPr>
        <w:t>b</w:t>
      </w:r>
      <w:r w:rsidRPr="00751C52">
        <w:rPr>
          <w:strike/>
          <w:color w:val="1F497D" w:themeColor="text2"/>
        </w:rPr>
        <w:t>)</w:t>
      </w:r>
      <w:r w:rsidRPr="00751C52">
        <w:rPr>
          <w:strike/>
          <w:color w:val="1F497D" w:themeColor="text2"/>
        </w:rPr>
        <w:tab/>
      </w:r>
      <w:proofErr w:type="gramStart"/>
      <w:r w:rsidRPr="00751C52">
        <w:rPr>
          <w:strike/>
          <w:color w:val="1F497D" w:themeColor="text2"/>
        </w:rPr>
        <w:t>a</w:t>
      </w:r>
      <w:proofErr w:type="gramEnd"/>
      <w:r w:rsidR="00CD50E1" w:rsidRPr="00751C52">
        <w:rPr>
          <w:rFonts w:asciiTheme="minorHAnsi" w:hAnsiTheme="minorHAnsi"/>
          <w:strike/>
          <w:color w:val="1F497D" w:themeColor="text2"/>
        </w:rPr>
        <w:t xml:space="preserve"> transfer of transmission assets from Transpower</w:t>
      </w:r>
      <w:r w:rsidRPr="00751C52">
        <w:rPr>
          <w:rFonts w:asciiTheme="minorHAnsi" w:hAnsiTheme="minorHAnsi"/>
          <w:strike/>
          <w:color w:val="1F497D" w:themeColor="text2"/>
        </w:rPr>
        <w:t xml:space="preserve">, equal to </w:t>
      </w:r>
      <w:proofErr w:type="spellStart"/>
      <w:r w:rsidRPr="00751C52">
        <w:rPr>
          <w:rFonts w:asciiTheme="minorHAnsi" w:hAnsiTheme="minorHAnsi"/>
          <w:i/>
          <w:strike/>
          <w:color w:val="1F497D" w:themeColor="text2"/>
        </w:rPr>
        <w:t>ICP</w:t>
      </w:r>
      <w:r w:rsidRPr="00751C52">
        <w:rPr>
          <w:rFonts w:asciiTheme="minorHAnsi" w:hAnsiTheme="minorHAnsi"/>
          <w:i/>
          <w:strike/>
          <w:color w:val="1F497D" w:themeColor="text2"/>
          <w:vertAlign w:val="subscript"/>
        </w:rPr>
        <w:t>t</w:t>
      </w:r>
      <w:proofErr w:type="spellEnd"/>
      <w:r w:rsidR="00113E4A" w:rsidRPr="00751C52">
        <w:rPr>
          <w:rFonts w:asciiTheme="minorHAnsi" w:hAnsiTheme="minorHAnsi"/>
          <w:strike/>
          <w:color w:val="1F497D" w:themeColor="text2"/>
        </w:rPr>
        <w:t>;</w:t>
      </w:r>
      <w:r w:rsidR="00113E4A" w:rsidRPr="00751C52">
        <w:rPr>
          <w:rFonts w:asciiTheme="minorHAnsi" w:hAnsiTheme="minorHAnsi"/>
          <w:color w:val="1F497D" w:themeColor="text2"/>
        </w:rPr>
        <w:t xml:space="preserve"> </w:t>
      </w:r>
      <w:r w:rsidR="00113E4A" w:rsidRPr="00BA0E3E">
        <w:rPr>
          <w:rFonts w:asciiTheme="minorHAnsi" w:hAnsiTheme="minorHAnsi"/>
        </w:rPr>
        <w:t>and</w:t>
      </w:r>
    </w:p>
    <w:p w:rsidR="00245CB8" w:rsidRPr="00751C52" w:rsidRDefault="00CD50E1" w:rsidP="00245CB8">
      <w:pPr>
        <w:pStyle w:val="Schnumberedtext"/>
        <w:numPr>
          <w:ilvl w:val="0"/>
          <w:numId w:val="0"/>
        </w:numPr>
        <w:tabs>
          <w:tab w:val="left" w:pos="1985"/>
        </w:tabs>
        <w:ind w:left="1985" w:hanging="1276"/>
        <w:rPr>
          <w:strike/>
          <w:color w:val="1F497D" w:themeColor="text2"/>
        </w:rPr>
      </w:pPr>
      <w:proofErr w:type="spellStart"/>
      <w:r w:rsidRPr="00321F81">
        <w:rPr>
          <w:i/>
        </w:rPr>
        <w:t>ICP</w:t>
      </w:r>
      <w:r>
        <w:rPr>
          <w:i/>
          <w:vertAlign w:val="subscript"/>
        </w:rPr>
        <w:t>lo</w:t>
      </w:r>
      <w:r w:rsidRPr="0094773C">
        <w:rPr>
          <w:i/>
          <w:vertAlign w:val="subscript"/>
        </w:rPr>
        <w:t>s</w:t>
      </w:r>
      <w:r>
        <w:rPr>
          <w:i/>
          <w:vertAlign w:val="subscript"/>
        </w:rPr>
        <w:t>t</w:t>
      </w:r>
      <w:proofErr w:type="spellEnd"/>
      <w:r w:rsidR="006A76D6">
        <w:rPr>
          <w:i/>
          <w:vertAlign w:val="subscript"/>
        </w:rPr>
        <w:t>, t</w:t>
      </w:r>
      <w:r>
        <w:tab/>
        <w:t>is</w:t>
      </w:r>
      <w:r w:rsidR="00245CB8" w:rsidRPr="00751C52">
        <w:rPr>
          <w:strike/>
          <w:color w:val="1F497D" w:themeColor="text2"/>
        </w:rPr>
        <w:t>, for the purposes of–</w:t>
      </w:r>
    </w:p>
    <w:p w:rsidR="005C75CF" w:rsidRDefault="00245CB8" w:rsidP="00245CB8">
      <w:pPr>
        <w:pStyle w:val="Schnumberedtext"/>
        <w:numPr>
          <w:ilvl w:val="0"/>
          <w:numId w:val="0"/>
        </w:numPr>
        <w:tabs>
          <w:tab w:val="left" w:pos="1985"/>
        </w:tabs>
        <w:ind w:left="2835" w:hanging="850"/>
      </w:pPr>
      <w:r w:rsidRPr="00751C52">
        <w:rPr>
          <w:strike/>
          <w:color w:val="1F497D" w:themeColor="text2"/>
        </w:rPr>
        <w:t>(a)</w:t>
      </w:r>
      <w:r w:rsidRPr="00751C52">
        <w:rPr>
          <w:strike/>
          <w:color w:val="1F497D" w:themeColor="text2"/>
        </w:rPr>
        <w:tab/>
      </w:r>
      <w:proofErr w:type="gramStart"/>
      <w:r w:rsidRPr="00751C52">
        <w:rPr>
          <w:strike/>
          <w:color w:val="1F497D" w:themeColor="text2"/>
        </w:rPr>
        <w:t>a</w:t>
      </w:r>
      <w:proofErr w:type="gramEnd"/>
      <w:r w:rsidRPr="00751C52">
        <w:rPr>
          <w:strike/>
          <w:color w:val="1F497D" w:themeColor="text2"/>
        </w:rPr>
        <w:t xml:space="preserve"> Major Transaction,</w:t>
      </w:r>
      <w:r w:rsidR="00CD50E1" w:rsidRPr="00751C52">
        <w:rPr>
          <w:color w:val="1F497D" w:themeColor="text2"/>
        </w:rPr>
        <w:t xml:space="preserve"> </w:t>
      </w:r>
      <w:r w:rsidR="00CD50E1">
        <w:t xml:space="preserve">the </w:t>
      </w:r>
      <w:r w:rsidR="00CD50E1" w:rsidRPr="008312A9">
        <w:rPr>
          <w:rFonts w:asciiTheme="minorHAnsi" w:hAnsiTheme="minorHAnsi"/>
        </w:rPr>
        <w:t>number</w:t>
      </w:r>
      <w:r w:rsidR="00CD50E1">
        <w:t xml:space="preserve"> of ICPs transferred from the Non-exempt EDB in the Assessment Period </w:t>
      </w:r>
      <w:r w:rsidR="00CD50E1">
        <w:rPr>
          <w:i/>
        </w:rPr>
        <w:t>t</w:t>
      </w:r>
      <w:r w:rsidR="00CD50E1" w:rsidRPr="0094773C">
        <w:t xml:space="preserve"> </w:t>
      </w:r>
      <w:r w:rsidR="00CD50E1">
        <w:t>as part of the Major Transaction</w:t>
      </w:r>
      <w:r w:rsidR="005C75CF" w:rsidRPr="00901E10">
        <w:rPr>
          <w:strike/>
          <w:color w:val="1F497D" w:themeColor="text2"/>
        </w:rPr>
        <w:t>,</w:t>
      </w:r>
      <w:r w:rsidR="00901E10" w:rsidRPr="00901E10">
        <w:rPr>
          <w:color w:val="1F497D" w:themeColor="text2"/>
          <w:u w:val="single"/>
        </w:rPr>
        <w:t>.</w:t>
      </w:r>
    </w:p>
    <w:p w:rsidR="00CD50E1" w:rsidRPr="00751C52" w:rsidRDefault="005C75CF" w:rsidP="00245CB8">
      <w:pPr>
        <w:pStyle w:val="Schnumberedtext"/>
        <w:numPr>
          <w:ilvl w:val="0"/>
          <w:numId w:val="0"/>
        </w:numPr>
        <w:tabs>
          <w:tab w:val="left" w:pos="1985"/>
        </w:tabs>
        <w:ind w:left="2835" w:hanging="850"/>
        <w:rPr>
          <w:strike/>
          <w:color w:val="1F497D" w:themeColor="text2"/>
        </w:rPr>
      </w:pPr>
      <w:r w:rsidRPr="00751C52">
        <w:rPr>
          <w:rFonts w:asciiTheme="minorHAnsi" w:hAnsiTheme="minorHAnsi"/>
          <w:strike/>
          <w:color w:val="1F497D" w:themeColor="text2"/>
        </w:rPr>
        <w:t>(b)</w:t>
      </w:r>
      <w:r w:rsidRPr="00751C52">
        <w:rPr>
          <w:rFonts w:asciiTheme="minorHAnsi" w:hAnsiTheme="minorHAnsi"/>
          <w:strike/>
          <w:color w:val="1F497D" w:themeColor="text2"/>
        </w:rPr>
        <w:tab/>
      </w:r>
      <w:proofErr w:type="gramStart"/>
      <w:r w:rsidRPr="00751C52">
        <w:rPr>
          <w:rFonts w:asciiTheme="minorHAnsi" w:hAnsiTheme="minorHAnsi"/>
          <w:strike/>
          <w:color w:val="1F497D" w:themeColor="text2"/>
        </w:rPr>
        <w:t>a</w:t>
      </w:r>
      <w:proofErr w:type="gramEnd"/>
      <w:r w:rsidR="00CD50E1" w:rsidRPr="00751C52">
        <w:rPr>
          <w:rFonts w:asciiTheme="minorHAnsi" w:hAnsiTheme="minorHAnsi"/>
          <w:strike/>
          <w:color w:val="1F497D" w:themeColor="text2"/>
        </w:rPr>
        <w:t xml:space="preserve"> transfer of transmission assets from Transpower</w:t>
      </w:r>
      <w:r w:rsidRPr="00751C52">
        <w:rPr>
          <w:rFonts w:asciiTheme="minorHAnsi" w:hAnsiTheme="minorHAnsi"/>
          <w:strike/>
          <w:color w:val="1F497D" w:themeColor="text2"/>
        </w:rPr>
        <w:t>, nil</w:t>
      </w:r>
      <w:r w:rsidR="00113E4A" w:rsidRPr="00751C52">
        <w:rPr>
          <w:rFonts w:asciiTheme="minorHAnsi" w:hAnsiTheme="minorHAnsi"/>
          <w:strike/>
          <w:color w:val="1F497D" w:themeColor="text2"/>
        </w:rPr>
        <w:t>.</w:t>
      </w:r>
    </w:p>
    <w:p w:rsidR="00751C52" w:rsidRPr="00365151" w:rsidRDefault="00751C52" w:rsidP="00751C52">
      <w:pPr>
        <w:pStyle w:val="Schnumberedtext"/>
        <w:spacing w:before="240"/>
        <w:ind w:hanging="720"/>
        <w:rPr>
          <w:color w:val="1F497D" w:themeColor="text2"/>
          <w:u w:val="single"/>
        </w:rPr>
      </w:pPr>
      <w:bookmarkStart w:id="37" w:name="_Ref400382098"/>
      <w:r w:rsidRPr="00365151">
        <w:rPr>
          <w:color w:val="1F497D" w:themeColor="text2"/>
          <w:u w:val="single"/>
        </w:rPr>
        <w:t xml:space="preserve">For the purposes of paragraph </w:t>
      </w:r>
      <w:r>
        <w:rPr>
          <w:color w:val="1F497D" w:themeColor="text2"/>
          <w:u w:val="single"/>
        </w:rPr>
        <w:t>7</w:t>
      </w:r>
      <w:r w:rsidRPr="00365151">
        <w:rPr>
          <w:color w:val="1F497D" w:themeColor="text2"/>
          <w:u w:val="single"/>
        </w:rPr>
        <w:t>, following an Amalgamation or Merger, the SAI</w:t>
      </w:r>
      <w:r>
        <w:rPr>
          <w:color w:val="1F497D" w:themeColor="text2"/>
          <w:u w:val="single"/>
        </w:rPr>
        <w:t>F</w:t>
      </w:r>
      <w:r w:rsidRPr="00365151">
        <w:rPr>
          <w:color w:val="1F497D" w:themeColor="text2"/>
          <w:u w:val="single"/>
        </w:rPr>
        <w:t>I Target and SAI</w:t>
      </w:r>
      <w:r>
        <w:rPr>
          <w:color w:val="1F497D" w:themeColor="text2"/>
          <w:u w:val="single"/>
        </w:rPr>
        <w:t>F</w:t>
      </w:r>
      <w:r w:rsidRPr="00365151">
        <w:rPr>
          <w:color w:val="1F497D" w:themeColor="text2"/>
          <w:u w:val="single"/>
        </w:rPr>
        <w:t xml:space="preserve">I Unplanned Boundary Values for each Assessment Period must be calculated in accordance with the formula– </w:t>
      </w:r>
    </w:p>
    <w:p w:rsidR="00751C52" w:rsidRPr="00365151" w:rsidRDefault="0067630A" w:rsidP="00751C52">
      <w:pPr>
        <w:pStyle w:val="Schnumberedtext"/>
        <w:numPr>
          <w:ilvl w:val="0"/>
          <w:numId w:val="0"/>
        </w:numPr>
        <w:ind w:left="360"/>
        <w:rPr>
          <w:color w:val="1F497D" w:themeColor="text2"/>
        </w:rPr>
      </w:pPr>
      <m:oMathPara>
        <m:oMath>
          <m:f>
            <m:fPr>
              <m:ctrlPr>
                <w:rPr>
                  <w:rFonts w:ascii="Cambria Math" w:hAnsi="Cambria Math"/>
                  <w:color w:val="1F497D" w:themeColor="text2"/>
                </w:rPr>
              </m:ctrlPr>
            </m:fPr>
            <m:num>
              <m:d>
                <m:dPr>
                  <m:ctrlPr>
                    <w:rPr>
                      <w:rFonts w:ascii="Cambria Math" w:hAnsi="Cambria Math"/>
                      <w:i/>
                      <w:color w:val="1F497D" w:themeColor="text2"/>
                    </w:rPr>
                  </m:ctrlPr>
                </m:dPr>
                <m:e>
                  <m:sSubSup>
                    <m:sSubSupPr>
                      <m:ctrlPr>
                        <w:rPr>
                          <w:rFonts w:ascii="Cambria Math" w:hAnsi="Cambria Math"/>
                          <w:i/>
                          <w:color w:val="1F497D" w:themeColor="text2"/>
                        </w:rPr>
                      </m:ctrlPr>
                    </m:sSubSupPr>
                    <m:e>
                      <m:r>
                        <w:rPr>
                          <w:rFonts w:ascii="Cambria Math" w:hAnsi="Cambria Math"/>
                          <w:color w:val="1F497D" w:themeColor="text2"/>
                        </w:rPr>
                        <m:t>SAIFI</m:t>
                      </m:r>
                    </m:e>
                    <m:sub>
                      <m:r>
                        <w:rPr>
                          <w:rFonts w:ascii="Cambria Math" w:hAnsi="Cambria Math"/>
                          <w:color w:val="1F497D" w:themeColor="text2"/>
                        </w:rPr>
                        <m:t>t-1</m:t>
                      </m:r>
                    </m:sub>
                    <m:sup>
                      <m:r>
                        <w:rPr>
                          <w:rFonts w:ascii="Cambria Math" w:hAnsi="Cambria Math"/>
                          <w:color w:val="1F497D" w:themeColor="text2"/>
                        </w:rPr>
                        <m:t>A</m:t>
                      </m:r>
                    </m:sup>
                  </m:sSubSup>
                  <m:r>
                    <w:rPr>
                      <w:rFonts w:ascii="Cambria Math" w:hAnsi="Cambria Math"/>
                      <w:color w:val="1F497D" w:themeColor="text2"/>
                    </w:rPr>
                    <m:t>*</m:t>
                  </m:r>
                  <m:sSubSup>
                    <m:sSubSupPr>
                      <m:ctrlPr>
                        <w:rPr>
                          <w:rFonts w:ascii="Cambria Math" w:hAnsi="Cambria Math"/>
                          <w:i/>
                          <w:color w:val="1F497D" w:themeColor="text2"/>
                        </w:rPr>
                      </m:ctrlPr>
                    </m:sSubSupPr>
                    <m:e>
                      <m:r>
                        <w:rPr>
                          <w:rFonts w:ascii="Cambria Math" w:hAnsi="Cambria Math"/>
                          <w:color w:val="1F497D" w:themeColor="text2"/>
                        </w:rPr>
                        <m:t>ICP</m:t>
                      </m:r>
                    </m:e>
                    <m:sub>
                      <m:r>
                        <w:rPr>
                          <w:rFonts w:ascii="Cambria Math" w:hAnsi="Cambria Math"/>
                          <w:color w:val="1F497D" w:themeColor="text2"/>
                        </w:rPr>
                        <m:t>t</m:t>
                      </m:r>
                    </m:sub>
                    <m:sup>
                      <m:r>
                        <w:rPr>
                          <w:rFonts w:ascii="Cambria Math" w:hAnsi="Cambria Math"/>
                          <w:color w:val="1F497D" w:themeColor="text2"/>
                        </w:rPr>
                        <m:t>A</m:t>
                      </m:r>
                    </m:sup>
                  </m:sSubSup>
                </m:e>
              </m:d>
              <m:r>
                <w:rPr>
                  <w:rFonts w:ascii="Cambria Math" w:hAnsi="Cambria Math"/>
                  <w:color w:val="1F497D" w:themeColor="text2"/>
                </w:rPr>
                <m:t>+</m:t>
              </m:r>
              <m:d>
                <m:dPr>
                  <m:ctrlPr>
                    <w:rPr>
                      <w:rFonts w:ascii="Cambria Math" w:hAnsi="Cambria Math"/>
                      <w:i/>
                      <w:color w:val="1F497D" w:themeColor="text2"/>
                    </w:rPr>
                  </m:ctrlPr>
                </m:dPr>
                <m:e>
                  <m:sSubSup>
                    <m:sSubSupPr>
                      <m:ctrlPr>
                        <w:rPr>
                          <w:rFonts w:ascii="Cambria Math" w:hAnsi="Cambria Math"/>
                          <w:i/>
                          <w:color w:val="1F497D" w:themeColor="text2"/>
                        </w:rPr>
                      </m:ctrlPr>
                    </m:sSubSupPr>
                    <m:e>
                      <m:r>
                        <w:rPr>
                          <w:rFonts w:ascii="Cambria Math" w:hAnsi="Cambria Math"/>
                          <w:color w:val="1F497D" w:themeColor="text2"/>
                        </w:rPr>
                        <m:t>SAIFI</m:t>
                      </m:r>
                    </m:e>
                    <m:sub>
                      <m:r>
                        <w:rPr>
                          <w:rFonts w:ascii="Cambria Math" w:hAnsi="Cambria Math"/>
                          <w:color w:val="1F497D" w:themeColor="text2"/>
                        </w:rPr>
                        <m:t>t-1</m:t>
                      </m:r>
                    </m:sub>
                    <m:sup>
                      <m:r>
                        <w:rPr>
                          <w:rFonts w:ascii="Cambria Math" w:hAnsi="Cambria Math"/>
                          <w:color w:val="1F497D" w:themeColor="text2"/>
                        </w:rPr>
                        <m:t>B</m:t>
                      </m:r>
                    </m:sup>
                  </m:sSubSup>
                  <m:r>
                    <w:rPr>
                      <w:rFonts w:ascii="Cambria Math" w:hAnsi="Cambria Math"/>
                      <w:color w:val="1F497D" w:themeColor="text2"/>
                    </w:rPr>
                    <m:t>*</m:t>
                  </m:r>
                  <m:sSubSup>
                    <m:sSubSupPr>
                      <m:ctrlPr>
                        <w:rPr>
                          <w:rFonts w:ascii="Cambria Math" w:hAnsi="Cambria Math"/>
                          <w:i/>
                          <w:color w:val="1F497D" w:themeColor="text2"/>
                        </w:rPr>
                      </m:ctrlPr>
                    </m:sSubSupPr>
                    <m:e>
                      <m:r>
                        <w:rPr>
                          <w:rFonts w:ascii="Cambria Math" w:hAnsi="Cambria Math"/>
                          <w:color w:val="1F497D" w:themeColor="text2"/>
                        </w:rPr>
                        <m:t>ICP</m:t>
                      </m:r>
                    </m:e>
                    <m:sub>
                      <m:r>
                        <w:rPr>
                          <w:rFonts w:ascii="Cambria Math" w:hAnsi="Cambria Math"/>
                          <w:color w:val="1F497D" w:themeColor="text2"/>
                        </w:rPr>
                        <m:t>t</m:t>
                      </m:r>
                    </m:sub>
                    <m:sup>
                      <m:r>
                        <w:rPr>
                          <w:rFonts w:ascii="Cambria Math" w:hAnsi="Cambria Math"/>
                          <w:color w:val="1F497D" w:themeColor="text2"/>
                        </w:rPr>
                        <m:t>B</m:t>
                      </m:r>
                    </m:sup>
                  </m:sSubSup>
                </m:e>
              </m:d>
            </m:num>
            <m:den>
              <m:sSubSup>
                <m:sSubSupPr>
                  <m:ctrlPr>
                    <w:rPr>
                      <w:rFonts w:ascii="Cambria Math" w:hAnsi="Cambria Math"/>
                      <w:i/>
                      <w:color w:val="1F497D" w:themeColor="text2"/>
                    </w:rPr>
                  </m:ctrlPr>
                </m:sSubSupPr>
                <m:e>
                  <m:r>
                    <w:rPr>
                      <w:rFonts w:ascii="Cambria Math" w:hAnsi="Cambria Math"/>
                      <w:color w:val="1F497D" w:themeColor="text2"/>
                    </w:rPr>
                    <m:t>ICP</m:t>
                  </m:r>
                </m:e>
                <m:sub>
                  <m:r>
                    <w:rPr>
                      <w:rFonts w:ascii="Cambria Math" w:hAnsi="Cambria Math"/>
                      <w:color w:val="1F497D" w:themeColor="text2"/>
                    </w:rPr>
                    <m:t>t</m:t>
                  </m:r>
                </m:sub>
                <m:sup>
                  <m:r>
                    <w:rPr>
                      <w:rFonts w:ascii="Cambria Math" w:hAnsi="Cambria Math"/>
                      <w:color w:val="1F497D" w:themeColor="text2"/>
                    </w:rPr>
                    <m:t>A</m:t>
                  </m:r>
                </m:sup>
              </m:sSubSup>
              <m:r>
                <w:rPr>
                  <w:rFonts w:ascii="Cambria Math" w:hAnsi="Cambria Math"/>
                  <w:color w:val="1F497D" w:themeColor="text2"/>
                </w:rPr>
                <m:t>+</m:t>
              </m:r>
              <m:sSubSup>
                <m:sSubSupPr>
                  <m:ctrlPr>
                    <w:rPr>
                      <w:rFonts w:ascii="Cambria Math" w:hAnsi="Cambria Math"/>
                      <w:i/>
                      <w:color w:val="1F497D" w:themeColor="text2"/>
                    </w:rPr>
                  </m:ctrlPr>
                </m:sSubSupPr>
                <m:e>
                  <m:r>
                    <w:rPr>
                      <w:rFonts w:ascii="Cambria Math" w:hAnsi="Cambria Math"/>
                      <w:color w:val="1F497D" w:themeColor="text2"/>
                    </w:rPr>
                    <m:t>ICP</m:t>
                  </m:r>
                </m:e>
                <m:sub>
                  <m:r>
                    <w:rPr>
                      <w:rFonts w:ascii="Cambria Math" w:hAnsi="Cambria Math"/>
                      <w:color w:val="1F497D" w:themeColor="text2"/>
                    </w:rPr>
                    <m:t>t</m:t>
                  </m:r>
                </m:sub>
                <m:sup>
                  <m:r>
                    <w:rPr>
                      <w:rFonts w:ascii="Cambria Math" w:hAnsi="Cambria Math"/>
                      <w:color w:val="1F497D" w:themeColor="text2"/>
                    </w:rPr>
                    <m:t>B</m:t>
                  </m:r>
                </m:sup>
              </m:sSubSup>
            </m:den>
          </m:f>
        </m:oMath>
      </m:oMathPara>
    </w:p>
    <w:p w:rsidR="00751C52" w:rsidRPr="00365151" w:rsidRDefault="00751C52" w:rsidP="00751C52">
      <w:pPr>
        <w:pStyle w:val="Schnumberedtext"/>
        <w:numPr>
          <w:ilvl w:val="0"/>
          <w:numId w:val="0"/>
        </w:numPr>
        <w:tabs>
          <w:tab w:val="left" w:pos="1701"/>
        </w:tabs>
        <w:ind w:left="1701" w:hanging="992"/>
        <w:rPr>
          <w:color w:val="1F497D" w:themeColor="text2"/>
          <w:u w:val="single"/>
        </w:rPr>
      </w:pPr>
      <w:proofErr w:type="gramStart"/>
      <w:r w:rsidRPr="00365151">
        <w:rPr>
          <w:color w:val="1F497D" w:themeColor="text2"/>
          <w:u w:val="single"/>
        </w:rPr>
        <w:t>where-</w:t>
      </w:r>
      <w:proofErr w:type="gramEnd"/>
    </w:p>
    <w:p w:rsidR="00751C52" w:rsidRPr="00365151" w:rsidRDefault="00751C52" w:rsidP="00751C52">
      <w:pPr>
        <w:pStyle w:val="Schnumberedtext"/>
        <w:numPr>
          <w:ilvl w:val="0"/>
          <w:numId w:val="0"/>
        </w:numPr>
        <w:tabs>
          <w:tab w:val="left" w:pos="1985"/>
        </w:tabs>
        <w:ind w:left="1985" w:hanging="1276"/>
        <w:rPr>
          <w:color w:val="1F497D" w:themeColor="text2"/>
          <w:u w:val="single"/>
        </w:rPr>
      </w:pPr>
      <w:proofErr w:type="gramStart"/>
      <w:r w:rsidRPr="00365151">
        <w:rPr>
          <w:i/>
          <w:color w:val="1F497D" w:themeColor="text2"/>
          <w:u w:val="single"/>
        </w:rPr>
        <w:t>t</w:t>
      </w:r>
      <w:proofErr w:type="gramEnd"/>
      <w:r w:rsidRPr="00365151">
        <w:rPr>
          <w:color w:val="1F497D" w:themeColor="text2"/>
          <w:u w:val="single"/>
        </w:rPr>
        <w:tab/>
        <w:t>is the Assessment Period in which the Amalgamation of Merger occurs;</w:t>
      </w:r>
    </w:p>
    <w:p w:rsidR="00751C52" w:rsidRPr="00365151" w:rsidRDefault="00751C52" w:rsidP="00751C52">
      <w:pPr>
        <w:pStyle w:val="Schnumberedtext"/>
        <w:numPr>
          <w:ilvl w:val="0"/>
          <w:numId w:val="0"/>
        </w:numPr>
        <w:tabs>
          <w:tab w:val="left" w:pos="1985"/>
        </w:tabs>
        <w:ind w:left="1985" w:hanging="1276"/>
        <w:rPr>
          <w:color w:val="1F497D" w:themeColor="text2"/>
          <w:u w:val="single"/>
        </w:rPr>
      </w:pPr>
      <w:r w:rsidRPr="00365151">
        <w:rPr>
          <w:i/>
          <w:color w:val="1F497D" w:themeColor="text2"/>
          <w:u w:val="single"/>
        </w:rPr>
        <w:t>SAI</w:t>
      </w:r>
      <w:r>
        <w:rPr>
          <w:i/>
          <w:color w:val="1F497D" w:themeColor="text2"/>
          <w:u w:val="single"/>
        </w:rPr>
        <w:t>F</w:t>
      </w:r>
      <w:r w:rsidRPr="00365151">
        <w:rPr>
          <w:i/>
          <w:color w:val="1F497D" w:themeColor="text2"/>
          <w:u w:val="single"/>
        </w:rPr>
        <w:t>I</w:t>
      </w:r>
      <w:r w:rsidRPr="00365151">
        <w:rPr>
          <w:i/>
          <w:color w:val="1F497D" w:themeColor="text2"/>
          <w:u w:val="single"/>
          <w:vertAlign w:val="subscript"/>
        </w:rPr>
        <w:t>t-1</w:t>
      </w:r>
      <w:r w:rsidRPr="00365151">
        <w:rPr>
          <w:i/>
          <w:color w:val="1F497D" w:themeColor="text2"/>
          <w:u w:val="single"/>
          <w:vertAlign w:val="superscript"/>
        </w:rPr>
        <w:t>A</w:t>
      </w:r>
      <w:r w:rsidRPr="00365151">
        <w:rPr>
          <w:i/>
          <w:color w:val="1F497D" w:themeColor="text2"/>
          <w:u w:val="single"/>
        </w:rPr>
        <w:tab/>
      </w:r>
      <w:r w:rsidRPr="00365151">
        <w:rPr>
          <w:color w:val="1F497D" w:themeColor="text2"/>
          <w:u w:val="single"/>
        </w:rPr>
        <w:t>is, for the purposes of –</w:t>
      </w:r>
    </w:p>
    <w:p w:rsidR="00751C52" w:rsidRPr="00365151" w:rsidRDefault="00751C52" w:rsidP="00751C52">
      <w:pPr>
        <w:pStyle w:val="Schnumberedtext"/>
        <w:numPr>
          <w:ilvl w:val="0"/>
          <w:numId w:val="0"/>
        </w:numPr>
        <w:tabs>
          <w:tab w:val="left" w:pos="1985"/>
        </w:tabs>
        <w:ind w:left="3261" w:hanging="1276"/>
        <w:rPr>
          <w:color w:val="1F497D" w:themeColor="text2"/>
          <w:u w:val="single"/>
        </w:rPr>
      </w:pPr>
      <w:r w:rsidRPr="00365151">
        <w:rPr>
          <w:color w:val="1F497D" w:themeColor="text2"/>
          <w:u w:val="single"/>
        </w:rPr>
        <w:t>(a)</w:t>
      </w:r>
      <w:r w:rsidRPr="00365151">
        <w:rPr>
          <w:color w:val="1F497D" w:themeColor="text2"/>
          <w:u w:val="single"/>
        </w:rPr>
        <w:tab/>
      </w:r>
      <w:proofErr w:type="gramStart"/>
      <w:r w:rsidRPr="00365151">
        <w:rPr>
          <w:color w:val="1F497D" w:themeColor="text2"/>
          <w:u w:val="single"/>
        </w:rPr>
        <w:t>calculating</w:t>
      </w:r>
      <w:proofErr w:type="gramEnd"/>
      <w:r w:rsidRPr="00365151">
        <w:rPr>
          <w:color w:val="1F497D" w:themeColor="text2"/>
          <w:u w:val="single"/>
        </w:rPr>
        <w:t xml:space="preserve"> the SAI</w:t>
      </w:r>
      <w:r>
        <w:rPr>
          <w:color w:val="1F497D" w:themeColor="text2"/>
          <w:u w:val="single"/>
        </w:rPr>
        <w:t>F</w:t>
      </w:r>
      <w:r w:rsidRPr="00365151">
        <w:rPr>
          <w:color w:val="1F497D" w:themeColor="text2"/>
          <w:u w:val="single"/>
        </w:rPr>
        <w:t>I Target, the S</w:t>
      </w:r>
      <w:r>
        <w:rPr>
          <w:color w:val="1F497D" w:themeColor="text2"/>
          <w:u w:val="single"/>
        </w:rPr>
        <w:t>AIF</w:t>
      </w:r>
      <w:r w:rsidRPr="00365151">
        <w:rPr>
          <w:color w:val="1F497D" w:themeColor="text2"/>
          <w:u w:val="single"/>
        </w:rPr>
        <w:t>I Target, and</w:t>
      </w:r>
    </w:p>
    <w:p w:rsidR="00751C52" w:rsidRPr="00365151" w:rsidRDefault="00751C52" w:rsidP="00751C52">
      <w:pPr>
        <w:pStyle w:val="Schnumberedtext"/>
        <w:numPr>
          <w:ilvl w:val="0"/>
          <w:numId w:val="0"/>
        </w:numPr>
        <w:tabs>
          <w:tab w:val="left" w:pos="1985"/>
        </w:tabs>
        <w:ind w:left="3261" w:hanging="1276"/>
        <w:rPr>
          <w:color w:val="1F497D" w:themeColor="text2"/>
          <w:u w:val="single"/>
        </w:rPr>
      </w:pPr>
      <w:r w:rsidRPr="00365151">
        <w:rPr>
          <w:color w:val="1F497D" w:themeColor="text2"/>
          <w:u w:val="single"/>
        </w:rPr>
        <w:t>(b)</w:t>
      </w:r>
      <w:r w:rsidRPr="00365151">
        <w:rPr>
          <w:color w:val="1F497D" w:themeColor="text2"/>
          <w:u w:val="single"/>
        </w:rPr>
        <w:tab/>
      </w:r>
      <w:proofErr w:type="gramStart"/>
      <w:r w:rsidRPr="00365151">
        <w:rPr>
          <w:color w:val="1F497D" w:themeColor="text2"/>
          <w:u w:val="single"/>
        </w:rPr>
        <w:t>calculating</w:t>
      </w:r>
      <w:proofErr w:type="gramEnd"/>
      <w:r w:rsidRPr="00365151">
        <w:rPr>
          <w:color w:val="1F497D" w:themeColor="text2"/>
          <w:u w:val="single"/>
        </w:rPr>
        <w:t xml:space="preserve"> the SAI</w:t>
      </w:r>
      <w:r>
        <w:rPr>
          <w:color w:val="1F497D" w:themeColor="text2"/>
          <w:u w:val="single"/>
        </w:rPr>
        <w:t>F</w:t>
      </w:r>
      <w:r w:rsidRPr="00365151">
        <w:rPr>
          <w:color w:val="1F497D" w:themeColor="text2"/>
          <w:u w:val="single"/>
        </w:rPr>
        <w:t>I Unplanned Boundary Value</w:t>
      </w:r>
      <w:r>
        <w:rPr>
          <w:color w:val="1F497D" w:themeColor="text2"/>
          <w:u w:val="single"/>
        </w:rPr>
        <w:t>, the SAIF</w:t>
      </w:r>
      <w:r w:rsidRPr="00365151">
        <w:rPr>
          <w:color w:val="1F497D" w:themeColor="text2"/>
          <w:u w:val="single"/>
        </w:rPr>
        <w:t>I Unplanned Boundary Value</w:t>
      </w:r>
    </w:p>
    <w:p w:rsidR="00751C52" w:rsidRPr="00365151" w:rsidRDefault="00751C52" w:rsidP="00751C52">
      <w:pPr>
        <w:pStyle w:val="Schnumberedtext"/>
        <w:numPr>
          <w:ilvl w:val="0"/>
          <w:numId w:val="0"/>
        </w:numPr>
        <w:tabs>
          <w:tab w:val="left" w:pos="1985"/>
        </w:tabs>
        <w:ind w:left="1985"/>
        <w:rPr>
          <w:color w:val="1F497D" w:themeColor="text2"/>
          <w:u w:val="single"/>
        </w:rPr>
      </w:pPr>
      <w:proofErr w:type="gramStart"/>
      <w:r w:rsidRPr="00365151">
        <w:rPr>
          <w:color w:val="1F497D" w:themeColor="text2"/>
          <w:u w:val="single"/>
        </w:rPr>
        <w:lastRenderedPageBreak/>
        <w:t>of</w:t>
      </w:r>
      <w:proofErr w:type="gramEnd"/>
      <w:r w:rsidRPr="00365151">
        <w:rPr>
          <w:color w:val="1F497D" w:themeColor="text2"/>
          <w:u w:val="single"/>
        </w:rPr>
        <w:t xml:space="preserve"> one of the Non-exempt EDBs </w:t>
      </w:r>
      <w:r w:rsidR="00F55DE9">
        <w:rPr>
          <w:color w:val="1F497D" w:themeColor="text2"/>
          <w:u w:val="single"/>
        </w:rPr>
        <w:t>subject to the Amalgamation or Merger as specified in Schedules 4A and 5B</w:t>
      </w:r>
      <w:r w:rsidRPr="00365151">
        <w:rPr>
          <w:color w:val="1F497D" w:themeColor="text2"/>
          <w:u w:val="single"/>
        </w:rPr>
        <w:t>;</w:t>
      </w:r>
    </w:p>
    <w:p w:rsidR="00751C52" w:rsidRPr="00365151" w:rsidRDefault="00751C52" w:rsidP="00751C52">
      <w:pPr>
        <w:pStyle w:val="Schnumberedtext"/>
        <w:numPr>
          <w:ilvl w:val="0"/>
          <w:numId w:val="0"/>
        </w:numPr>
        <w:tabs>
          <w:tab w:val="left" w:pos="1985"/>
        </w:tabs>
        <w:ind w:left="1985" w:hanging="1276"/>
        <w:rPr>
          <w:color w:val="1F497D" w:themeColor="text2"/>
          <w:u w:val="single"/>
        </w:rPr>
      </w:pPr>
      <w:r w:rsidRPr="00365151">
        <w:rPr>
          <w:i/>
          <w:color w:val="1F497D" w:themeColor="text2"/>
          <w:u w:val="single"/>
        </w:rPr>
        <w:t>SAI</w:t>
      </w:r>
      <w:r>
        <w:rPr>
          <w:i/>
          <w:color w:val="1F497D" w:themeColor="text2"/>
          <w:u w:val="single"/>
        </w:rPr>
        <w:t>F</w:t>
      </w:r>
      <w:r w:rsidRPr="00365151">
        <w:rPr>
          <w:i/>
          <w:color w:val="1F497D" w:themeColor="text2"/>
          <w:u w:val="single"/>
        </w:rPr>
        <w:t>I</w:t>
      </w:r>
      <w:r w:rsidRPr="00365151">
        <w:rPr>
          <w:i/>
          <w:color w:val="1F497D" w:themeColor="text2"/>
          <w:u w:val="single"/>
          <w:vertAlign w:val="subscript"/>
        </w:rPr>
        <w:t>t-1</w:t>
      </w:r>
      <w:r w:rsidRPr="00365151">
        <w:rPr>
          <w:i/>
          <w:color w:val="1F497D" w:themeColor="text2"/>
          <w:u w:val="single"/>
          <w:vertAlign w:val="superscript"/>
        </w:rPr>
        <w:t>B</w:t>
      </w:r>
      <w:r w:rsidRPr="00365151">
        <w:rPr>
          <w:i/>
          <w:color w:val="1F497D" w:themeColor="text2"/>
          <w:u w:val="single"/>
        </w:rPr>
        <w:tab/>
      </w:r>
      <w:r w:rsidRPr="00365151">
        <w:rPr>
          <w:color w:val="1F497D" w:themeColor="text2"/>
          <w:u w:val="single"/>
        </w:rPr>
        <w:t>is, for the purposes of –</w:t>
      </w:r>
    </w:p>
    <w:p w:rsidR="00751C52" w:rsidRPr="00365151" w:rsidRDefault="00751C52" w:rsidP="00751C52">
      <w:pPr>
        <w:pStyle w:val="Schnumberedtext"/>
        <w:numPr>
          <w:ilvl w:val="0"/>
          <w:numId w:val="0"/>
        </w:numPr>
        <w:tabs>
          <w:tab w:val="left" w:pos="1985"/>
        </w:tabs>
        <w:ind w:left="3261" w:hanging="1276"/>
        <w:rPr>
          <w:color w:val="1F497D" w:themeColor="text2"/>
          <w:u w:val="single"/>
        </w:rPr>
      </w:pPr>
      <w:r w:rsidRPr="00365151">
        <w:rPr>
          <w:color w:val="1F497D" w:themeColor="text2"/>
          <w:u w:val="single"/>
        </w:rPr>
        <w:t>(a)</w:t>
      </w:r>
      <w:r w:rsidRPr="00365151">
        <w:rPr>
          <w:color w:val="1F497D" w:themeColor="text2"/>
          <w:u w:val="single"/>
        </w:rPr>
        <w:tab/>
      </w:r>
      <w:proofErr w:type="gramStart"/>
      <w:r w:rsidRPr="00365151">
        <w:rPr>
          <w:color w:val="1F497D" w:themeColor="text2"/>
          <w:u w:val="single"/>
        </w:rPr>
        <w:t>calculating</w:t>
      </w:r>
      <w:proofErr w:type="gramEnd"/>
      <w:r w:rsidRPr="00365151">
        <w:rPr>
          <w:color w:val="1F497D" w:themeColor="text2"/>
          <w:u w:val="single"/>
        </w:rPr>
        <w:t xml:space="preserve"> the SAI</w:t>
      </w:r>
      <w:r>
        <w:rPr>
          <w:color w:val="1F497D" w:themeColor="text2"/>
          <w:u w:val="single"/>
        </w:rPr>
        <w:t>F</w:t>
      </w:r>
      <w:r w:rsidRPr="00365151">
        <w:rPr>
          <w:color w:val="1F497D" w:themeColor="text2"/>
          <w:u w:val="single"/>
        </w:rPr>
        <w:t>I Target, the SAI</w:t>
      </w:r>
      <w:r>
        <w:rPr>
          <w:color w:val="1F497D" w:themeColor="text2"/>
          <w:u w:val="single"/>
        </w:rPr>
        <w:t>F</w:t>
      </w:r>
      <w:r w:rsidRPr="00365151">
        <w:rPr>
          <w:color w:val="1F497D" w:themeColor="text2"/>
          <w:u w:val="single"/>
        </w:rPr>
        <w:t>I Target, and</w:t>
      </w:r>
    </w:p>
    <w:p w:rsidR="00751C52" w:rsidRPr="00365151" w:rsidRDefault="00751C52" w:rsidP="00751C52">
      <w:pPr>
        <w:pStyle w:val="Schnumberedtext"/>
        <w:numPr>
          <w:ilvl w:val="0"/>
          <w:numId w:val="0"/>
        </w:numPr>
        <w:tabs>
          <w:tab w:val="left" w:pos="1985"/>
        </w:tabs>
        <w:ind w:left="3261" w:hanging="1276"/>
        <w:rPr>
          <w:color w:val="1F497D" w:themeColor="text2"/>
          <w:u w:val="single"/>
        </w:rPr>
      </w:pPr>
      <w:r w:rsidRPr="00365151">
        <w:rPr>
          <w:color w:val="1F497D" w:themeColor="text2"/>
          <w:u w:val="single"/>
        </w:rPr>
        <w:t>(b)</w:t>
      </w:r>
      <w:r w:rsidRPr="00365151">
        <w:rPr>
          <w:color w:val="1F497D" w:themeColor="text2"/>
          <w:u w:val="single"/>
        </w:rPr>
        <w:tab/>
      </w:r>
      <w:proofErr w:type="gramStart"/>
      <w:r w:rsidRPr="00365151">
        <w:rPr>
          <w:color w:val="1F497D" w:themeColor="text2"/>
          <w:u w:val="single"/>
        </w:rPr>
        <w:t>calculating</w:t>
      </w:r>
      <w:proofErr w:type="gramEnd"/>
      <w:r w:rsidRPr="00365151">
        <w:rPr>
          <w:color w:val="1F497D" w:themeColor="text2"/>
          <w:u w:val="single"/>
        </w:rPr>
        <w:t xml:space="preserve"> the </w:t>
      </w:r>
      <w:r>
        <w:rPr>
          <w:color w:val="1F497D" w:themeColor="text2"/>
          <w:u w:val="single"/>
        </w:rPr>
        <w:t>SAIF</w:t>
      </w:r>
      <w:r w:rsidRPr="00365151">
        <w:rPr>
          <w:color w:val="1F497D" w:themeColor="text2"/>
          <w:u w:val="single"/>
        </w:rPr>
        <w:t>I Unplanned Boundary Value</w:t>
      </w:r>
      <w:r>
        <w:rPr>
          <w:color w:val="1F497D" w:themeColor="text2"/>
          <w:u w:val="single"/>
        </w:rPr>
        <w:t>, the SAIF</w:t>
      </w:r>
      <w:r w:rsidRPr="00365151">
        <w:rPr>
          <w:color w:val="1F497D" w:themeColor="text2"/>
          <w:u w:val="single"/>
        </w:rPr>
        <w:t>I Unplanned Boundary Value</w:t>
      </w:r>
    </w:p>
    <w:p w:rsidR="00F55DE9" w:rsidRPr="00113E4A" w:rsidRDefault="00F55DE9" w:rsidP="00F55DE9">
      <w:pPr>
        <w:pStyle w:val="Schnumberedtext"/>
        <w:numPr>
          <w:ilvl w:val="0"/>
          <w:numId w:val="0"/>
        </w:numPr>
        <w:tabs>
          <w:tab w:val="left" w:pos="1985"/>
        </w:tabs>
        <w:ind w:left="1985"/>
      </w:pPr>
      <w:r w:rsidRPr="00365151">
        <w:rPr>
          <w:color w:val="1F497D" w:themeColor="text2"/>
          <w:u w:val="single"/>
        </w:rPr>
        <w:t>of the other Non-exempt EDB</w:t>
      </w:r>
      <w:r>
        <w:rPr>
          <w:color w:val="1F497D" w:themeColor="text2"/>
          <w:u w:val="single"/>
        </w:rPr>
        <w:t xml:space="preserve"> subject to the Amalgamation or Merger</w:t>
      </w:r>
      <w:r w:rsidRPr="00365151">
        <w:rPr>
          <w:color w:val="1F497D" w:themeColor="text2"/>
          <w:u w:val="single"/>
        </w:rPr>
        <w:t xml:space="preserve"> </w:t>
      </w:r>
      <w:r>
        <w:rPr>
          <w:color w:val="1F497D" w:themeColor="text2"/>
          <w:u w:val="single"/>
        </w:rPr>
        <w:t>as specified in Schedules 4A and 5B</w:t>
      </w:r>
      <w:r w:rsidRPr="00365151">
        <w:rPr>
          <w:color w:val="1F497D" w:themeColor="text2"/>
          <w:u w:val="single"/>
        </w:rPr>
        <w:t>;</w:t>
      </w:r>
    </w:p>
    <w:p w:rsidR="00751C52" w:rsidRPr="00365151" w:rsidRDefault="00751C52" w:rsidP="00751C52">
      <w:pPr>
        <w:pStyle w:val="Schnumberedtext"/>
        <w:numPr>
          <w:ilvl w:val="0"/>
          <w:numId w:val="0"/>
        </w:numPr>
        <w:tabs>
          <w:tab w:val="left" w:pos="1985"/>
        </w:tabs>
        <w:ind w:left="1985" w:hanging="1276"/>
        <w:rPr>
          <w:color w:val="1F497D" w:themeColor="text2"/>
          <w:u w:val="single"/>
        </w:rPr>
      </w:pPr>
      <w:proofErr w:type="spellStart"/>
      <w:r w:rsidRPr="00365151">
        <w:rPr>
          <w:i/>
          <w:color w:val="1F497D" w:themeColor="text2"/>
          <w:u w:val="single"/>
        </w:rPr>
        <w:t>ICP</w:t>
      </w:r>
      <w:r w:rsidRPr="00365151">
        <w:rPr>
          <w:i/>
          <w:color w:val="1F497D" w:themeColor="text2"/>
          <w:u w:val="single"/>
          <w:vertAlign w:val="subscript"/>
        </w:rPr>
        <w:t>t</w:t>
      </w:r>
      <w:r w:rsidRPr="00365151">
        <w:rPr>
          <w:i/>
          <w:color w:val="1F497D" w:themeColor="text2"/>
          <w:u w:val="single"/>
          <w:vertAlign w:val="superscript"/>
        </w:rPr>
        <w:t>A</w:t>
      </w:r>
      <w:proofErr w:type="spellEnd"/>
      <w:r w:rsidRPr="00365151">
        <w:rPr>
          <w:color w:val="1F497D" w:themeColor="text2"/>
          <w:u w:val="single"/>
        </w:rPr>
        <w:tab/>
      </w:r>
      <w:r w:rsidR="00901E10" w:rsidRPr="00365151">
        <w:rPr>
          <w:color w:val="1F497D" w:themeColor="text2"/>
          <w:u w:val="single"/>
        </w:rPr>
        <w:t>is the number of ICPs</w:t>
      </w:r>
      <w:r w:rsidR="00901E10">
        <w:rPr>
          <w:color w:val="1F497D" w:themeColor="text2"/>
          <w:u w:val="single"/>
        </w:rPr>
        <w:t>,</w:t>
      </w:r>
      <w:r w:rsidR="00901E10" w:rsidRPr="00365151">
        <w:rPr>
          <w:color w:val="1F497D" w:themeColor="text2"/>
          <w:u w:val="single"/>
        </w:rPr>
        <w:t xml:space="preserve"> </w:t>
      </w:r>
      <w:r w:rsidR="00F55DE9">
        <w:rPr>
          <w:color w:val="1F497D" w:themeColor="text2"/>
          <w:u w:val="single"/>
        </w:rPr>
        <w:t xml:space="preserve">supplied by </w:t>
      </w:r>
      <w:r w:rsidR="00901E10">
        <w:rPr>
          <w:color w:val="1F497D" w:themeColor="text2"/>
          <w:u w:val="single"/>
        </w:rPr>
        <w:t xml:space="preserve">the Non-exempt EDB for which </w:t>
      </w:r>
      <w:r w:rsidR="00901E10" w:rsidRPr="00365151">
        <w:rPr>
          <w:i/>
          <w:color w:val="1F497D" w:themeColor="text2"/>
          <w:u w:val="single"/>
        </w:rPr>
        <w:t>SAI</w:t>
      </w:r>
      <w:r w:rsidR="00901E10">
        <w:rPr>
          <w:i/>
          <w:color w:val="1F497D" w:themeColor="text2"/>
          <w:u w:val="single"/>
        </w:rPr>
        <w:t>F</w:t>
      </w:r>
      <w:r w:rsidR="00901E10" w:rsidRPr="00365151">
        <w:rPr>
          <w:i/>
          <w:color w:val="1F497D" w:themeColor="text2"/>
          <w:u w:val="single"/>
        </w:rPr>
        <w:t>I</w:t>
      </w:r>
      <w:r w:rsidR="00901E10" w:rsidRPr="00365151">
        <w:rPr>
          <w:i/>
          <w:color w:val="1F497D" w:themeColor="text2"/>
          <w:u w:val="single"/>
          <w:vertAlign w:val="subscript"/>
        </w:rPr>
        <w:t>t-1</w:t>
      </w:r>
      <w:r w:rsidR="00901E10" w:rsidRPr="00365151">
        <w:rPr>
          <w:i/>
          <w:color w:val="1F497D" w:themeColor="text2"/>
          <w:u w:val="single"/>
          <w:vertAlign w:val="superscript"/>
        </w:rPr>
        <w:t>A</w:t>
      </w:r>
      <w:r w:rsidR="00901E10" w:rsidRPr="00365151">
        <w:rPr>
          <w:color w:val="1F497D" w:themeColor="text2"/>
          <w:u w:val="single"/>
        </w:rPr>
        <w:t xml:space="preserve"> </w:t>
      </w:r>
      <w:r w:rsidR="00901E10">
        <w:rPr>
          <w:color w:val="1F497D" w:themeColor="text2"/>
          <w:u w:val="single"/>
        </w:rPr>
        <w:t xml:space="preserve">is calculated, </w:t>
      </w:r>
      <w:r w:rsidR="00901E10" w:rsidRPr="00365151">
        <w:rPr>
          <w:color w:val="1F497D" w:themeColor="text2"/>
          <w:u w:val="single"/>
        </w:rPr>
        <w:t>immediately prior to the Amalgamation or Merger;</w:t>
      </w:r>
    </w:p>
    <w:p w:rsidR="00751C52" w:rsidRPr="00365151" w:rsidRDefault="00751C52" w:rsidP="00751C52">
      <w:pPr>
        <w:pStyle w:val="Schnumberedtext"/>
        <w:numPr>
          <w:ilvl w:val="0"/>
          <w:numId w:val="0"/>
        </w:numPr>
        <w:tabs>
          <w:tab w:val="left" w:pos="1985"/>
        </w:tabs>
        <w:ind w:left="1985" w:hanging="1276"/>
        <w:rPr>
          <w:color w:val="1F497D" w:themeColor="text2"/>
          <w:u w:val="single"/>
        </w:rPr>
      </w:pPr>
      <w:proofErr w:type="spellStart"/>
      <w:r w:rsidRPr="00365151">
        <w:rPr>
          <w:i/>
          <w:color w:val="1F497D" w:themeColor="text2"/>
          <w:u w:val="single"/>
        </w:rPr>
        <w:t>ICP</w:t>
      </w:r>
      <w:r w:rsidRPr="00365151">
        <w:rPr>
          <w:i/>
          <w:color w:val="1F497D" w:themeColor="text2"/>
          <w:u w:val="single"/>
          <w:vertAlign w:val="subscript"/>
        </w:rPr>
        <w:t>t</w:t>
      </w:r>
      <w:r w:rsidRPr="00365151">
        <w:rPr>
          <w:i/>
          <w:color w:val="1F497D" w:themeColor="text2"/>
          <w:u w:val="single"/>
          <w:vertAlign w:val="superscript"/>
        </w:rPr>
        <w:t>B</w:t>
      </w:r>
      <w:proofErr w:type="spellEnd"/>
      <w:r w:rsidRPr="00365151">
        <w:rPr>
          <w:color w:val="1F497D" w:themeColor="text2"/>
          <w:u w:val="single"/>
        </w:rPr>
        <w:tab/>
      </w:r>
      <w:r w:rsidR="00901E10" w:rsidRPr="00365151">
        <w:rPr>
          <w:color w:val="1F497D" w:themeColor="text2"/>
          <w:u w:val="single"/>
        </w:rPr>
        <w:t>is the number of ICPs</w:t>
      </w:r>
      <w:r w:rsidR="00901E10">
        <w:rPr>
          <w:color w:val="1F497D" w:themeColor="text2"/>
          <w:u w:val="single"/>
        </w:rPr>
        <w:t>,</w:t>
      </w:r>
      <w:r w:rsidR="00901E10" w:rsidRPr="00365151">
        <w:rPr>
          <w:color w:val="1F497D" w:themeColor="text2"/>
          <w:u w:val="single"/>
        </w:rPr>
        <w:t xml:space="preserve"> </w:t>
      </w:r>
      <w:r w:rsidR="00F55DE9">
        <w:rPr>
          <w:color w:val="1F497D" w:themeColor="text2"/>
          <w:u w:val="single"/>
        </w:rPr>
        <w:t xml:space="preserve">supplied by </w:t>
      </w:r>
      <w:r w:rsidR="00901E10">
        <w:rPr>
          <w:color w:val="1F497D" w:themeColor="text2"/>
          <w:u w:val="single"/>
        </w:rPr>
        <w:t xml:space="preserve">the Non-exempt EDB for which </w:t>
      </w:r>
      <w:r w:rsidR="00901E10" w:rsidRPr="00365151">
        <w:rPr>
          <w:i/>
          <w:color w:val="1F497D" w:themeColor="text2"/>
          <w:u w:val="single"/>
        </w:rPr>
        <w:t>SAI</w:t>
      </w:r>
      <w:r w:rsidR="00901E10">
        <w:rPr>
          <w:i/>
          <w:color w:val="1F497D" w:themeColor="text2"/>
          <w:u w:val="single"/>
        </w:rPr>
        <w:t>F</w:t>
      </w:r>
      <w:r w:rsidR="00901E10" w:rsidRPr="00365151">
        <w:rPr>
          <w:i/>
          <w:color w:val="1F497D" w:themeColor="text2"/>
          <w:u w:val="single"/>
        </w:rPr>
        <w:t>I</w:t>
      </w:r>
      <w:r w:rsidR="00901E10" w:rsidRPr="00365151">
        <w:rPr>
          <w:i/>
          <w:color w:val="1F497D" w:themeColor="text2"/>
          <w:u w:val="single"/>
          <w:vertAlign w:val="subscript"/>
        </w:rPr>
        <w:t>t-1</w:t>
      </w:r>
      <w:r w:rsidR="00901E10">
        <w:rPr>
          <w:i/>
          <w:color w:val="1F497D" w:themeColor="text2"/>
          <w:u w:val="single"/>
          <w:vertAlign w:val="superscript"/>
        </w:rPr>
        <w:t>B</w:t>
      </w:r>
      <w:r w:rsidR="00901E10" w:rsidRPr="00365151">
        <w:rPr>
          <w:color w:val="1F497D" w:themeColor="text2"/>
          <w:u w:val="single"/>
        </w:rPr>
        <w:t xml:space="preserve"> </w:t>
      </w:r>
      <w:r w:rsidR="00901E10">
        <w:rPr>
          <w:color w:val="1F497D" w:themeColor="text2"/>
          <w:u w:val="single"/>
        </w:rPr>
        <w:t xml:space="preserve">is calculated, </w:t>
      </w:r>
      <w:r w:rsidR="00901E10" w:rsidRPr="00365151">
        <w:rPr>
          <w:color w:val="1F497D" w:themeColor="text2"/>
          <w:u w:val="single"/>
        </w:rPr>
        <w:t>immediately prior to the Amalgamation or Merger.</w:t>
      </w:r>
    </w:p>
    <w:p w:rsidR="00751C52" w:rsidRPr="00365151" w:rsidRDefault="00751C52" w:rsidP="00751C52">
      <w:pPr>
        <w:pStyle w:val="Schnumberedtext"/>
        <w:spacing w:before="240"/>
        <w:ind w:hanging="720"/>
        <w:rPr>
          <w:color w:val="1F497D" w:themeColor="text2"/>
          <w:u w:val="single"/>
        </w:rPr>
      </w:pPr>
      <w:r w:rsidRPr="00365151">
        <w:rPr>
          <w:color w:val="1F497D" w:themeColor="text2"/>
          <w:u w:val="single"/>
        </w:rPr>
        <w:t xml:space="preserve">For the purposes of paragraph </w:t>
      </w:r>
      <w:r w:rsidRPr="00365151">
        <w:rPr>
          <w:color w:val="1F497D" w:themeColor="text2"/>
          <w:u w:val="single"/>
        </w:rPr>
        <w:fldChar w:fldCharType="begin"/>
      </w:r>
      <w:r w:rsidRPr="00365151">
        <w:rPr>
          <w:color w:val="1F497D" w:themeColor="text2"/>
          <w:u w:val="single"/>
        </w:rPr>
        <w:instrText xml:space="preserve"> REF _Ref400100158 \r \h  \* MERGEFORMAT </w:instrText>
      </w:r>
      <w:r w:rsidRPr="00365151">
        <w:rPr>
          <w:color w:val="1F497D" w:themeColor="text2"/>
          <w:u w:val="single"/>
        </w:rPr>
      </w:r>
      <w:r w:rsidRPr="00365151">
        <w:rPr>
          <w:color w:val="1F497D" w:themeColor="text2"/>
          <w:u w:val="single"/>
        </w:rPr>
        <w:fldChar w:fldCharType="separate"/>
      </w:r>
      <w:r w:rsidRPr="00365151">
        <w:rPr>
          <w:color w:val="1F497D" w:themeColor="text2"/>
          <w:u w:val="single"/>
        </w:rPr>
        <w:t>1</w:t>
      </w:r>
      <w:r w:rsidRPr="00365151">
        <w:rPr>
          <w:color w:val="1F497D" w:themeColor="text2"/>
          <w:u w:val="single"/>
        </w:rPr>
        <w:fldChar w:fldCharType="end"/>
      </w:r>
      <w:r w:rsidRPr="00365151">
        <w:rPr>
          <w:color w:val="1F497D" w:themeColor="text2"/>
          <w:u w:val="single"/>
        </w:rPr>
        <w:t xml:space="preserve">, following </w:t>
      </w:r>
      <w:r>
        <w:rPr>
          <w:color w:val="1F497D" w:themeColor="text2"/>
          <w:u w:val="single"/>
        </w:rPr>
        <w:t>the transfer of assets from Transpower to a Non-exempt EDB</w:t>
      </w:r>
      <w:r w:rsidRPr="00365151">
        <w:rPr>
          <w:color w:val="1F497D" w:themeColor="text2"/>
          <w:u w:val="single"/>
        </w:rPr>
        <w:t>, the</w:t>
      </w:r>
      <w:r>
        <w:rPr>
          <w:color w:val="1F497D" w:themeColor="text2"/>
          <w:u w:val="single"/>
        </w:rPr>
        <w:t xml:space="preserve"> SAIF</w:t>
      </w:r>
      <w:r w:rsidRPr="00365151">
        <w:rPr>
          <w:color w:val="1F497D" w:themeColor="text2"/>
          <w:u w:val="single"/>
        </w:rPr>
        <w:t>I Target and SAI</w:t>
      </w:r>
      <w:r>
        <w:rPr>
          <w:color w:val="1F497D" w:themeColor="text2"/>
          <w:u w:val="single"/>
        </w:rPr>
        <w:t>F</w:t>
      </w:r>
      <w:r w:rsidRPr="00365151">
        <w:rPr>
          <w:color w:val="1F497D" w:themeColor="text2"/>
          <w:u w:val="single"/>
        </w:rPr>
        <w:t xml:space="preserve">I Unplanned Boundary Values for each Assessment Period must be calculated in accordance with the formula– </w:t>
      </w:r>
    </w:p>
    <w:p w:rsidR="00751C52" w:rsidRPr="00365151" w:rsidRDefault="0067630A" w:rsidP="00751C52">
      <w:pPr>
        <w:pStyle w:val="Schnumberedtext"/>
        <w:numPr>
          <w:ilvl w:val="0"/>
          <w:numId w:val="0"/>
        </w:numPr>
        <w:ind w:left="360"/>
        <w:rPr>
          <w:color w:val="1F497D" w:themeColor="text2"/>
        </w:rPr>
      </w:pPr>
      <m:oMathPara>
        <m:oMath>
          <m:f>
            <m:fPr>
              <m:ctrlPr>
                <w:rPr>
                  <w:rFonts w:ascii="Cambria Math" w:hAnsi="Cambria Math"/>
                  <w:color w:val="1F497D" w:themeColor="text2"/>
                </w:rPr>
              </m:ctrlPr>
            </m:fPr>
            <m:num>
              <m:d>
                <m:dPr>
                  <m:ctrlPr>
                    <w:rPr>
                      <w:rFonts w:ascii="Cambria Math" w:hAnsi="Cambria Math"/>
                      <w:i/>
                      <w:color w:val="1F497D" w:themeColor="text2"/>
                    </w:rPr>
                  </m:ctrlPr>
                </m:dPr>
                <m:e>
                  <m:sSub>
                    <m:sSubPr>
                      <m:ctrlPr>
                        <w:rPr>
                          <w:rFonts w:ascii="Cambria Math" w:hAnsi="Cambria Math"/>
                          <w:color w:val="1F497D" w:themeColor="text2"/>
                        </w:rPr>
                      </m:ctrlPr>
                    </m:sSubPr>
                    <m:e>
                      <m:r>
                        <w:rPr>
                          <w:rFonts w:ascii="Cambria Math" w:hAnsi="Cambria Math"/>
                          <w:color w:val="1F497D" w:themeColor="text2"/>
                        </w:rPr>
                        <m:t>SAIFI</m:t>
                      </m:r>
                    </m:e>
                    <m:sub>
                      <m:r>
                        <w:rPr>
                          <w:rFonts w:ascii="Cambria Math" w:hAnsi="Cambria Math"/>
                          <w:color w:val="1F497D" w:themeColor="text2"/>
                        </w:rPr>
                        <m:t>t-</m:t>
                      </m:r>
                      <m:r>
                        <m:rPr>
                          <m:sty m:val="p"/>
                        </m:rPr>
                        <w:rPr>
                          <w:rFonts w:ascii="Cambria Math" w:hAnsi="Cambria Math"/>
                          <w:color w:val="1F497D" w:themeColor="text2"/>
                        </w:rPr>
                        <m:t>1</m:t>
                      </m:r>
                    </m:sub>
                  </m:sSub>
                  <m:r>
                    <w:rPr>
                      <w:rFonts w:ascii="Cambria Math" w:hAnsi="Cambria Math"/>
                      <w:color w:val="1F497D" w:themeColor="text2"/>
                    </w:rPr>
                    <m:t>*Interruptions</m:t>
                  </m:r>
                </m:e>
              </m:d>
              <m:r>
                <w:rPr>
                  <w:rFonts w:ascii="Cambria Math" w:hAnsi="Cambria Math"/>
                  <w:color w:val="1F497D" w:themeColor="text2"/>
                </w:rPr>
                <m:t>+</m:t>
              </m:r>
              <m:d>
                <m:dPr>
                  <m:ctrlPr>
                    <w:rPr>
                      <w:rFonts w:ascii="Cambria Math" w:hAnsi="Cambria Math"/>
                      <w:i/>
                      <w:color w:val="1F497D" w:themeColor="text2"/>
                    </w:rPr>
                  </m:ctrlPr>
                </m:dPr>
                <m:e>
                  <m:sSub>
                    <m:sSubPr>
                      <m:ctrlPr>
                        <w:rPr>
                          <w:rFonts w:ascii="Cambria Math" w:hAnsi="Cambria Math"/>
                          <w:color w:val="1F497D" w:themeColor="text2"/>
                        </w:rPr>
                      </m:ctrlPr>
                    </m:sSubPr>
                    <m:e>
                      <m:r>
                        <w:rPr>
                          <w:rFonts w:ascii="Cambria Math" w:hAnsi="Cambria Math"/>
                          <w:color w:val="1F497D" w:themeColor="text2"/>
                        </w:rPr>
                        <m:t>SAIFI</m:t>
                      </m:r>
                    </m:e>
                    <m:sub>
                      <m:r>
                        <w:rPr>
                          <w:rFonts w:ascii="Cambria Math" w:hAnsi="Cambria Math"/>
                          <w:color w:val="1F497D" w:themeColor="text2"/>
                        </w:rPr>
                        <m:t>added, t-1</m:t>
                      </m:r>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Interruptions</m:t>
                      </m:r>
                    </m:e>
                    <m:sub>
                      <m:r>
                        <w:rPr>
                          <w:rFonts w:ascii="Cambria Math" w:hAnsi="Cambria Math"/>
                          <w:color w:val="1F497D" w:themeColor="text2"/>
                        </w:rPr>
                        <m:t>added</m:t>
                      </m:r>
                    </m:sub>
                  </m:sSub>
                </m:e>
              </m:d>
            </m:num>
            <m:den>
              <m:r>
                <w:rPr>
                  <w:rFonts w:ascii="Cambria Math" w:hAnsi="Cambria Math"/>
                  <w:color w:val="1F497D" w:themeColor="text2"/>
                </w:rPr>
                <m:t>Interruptions+</m:t>
              </m:r>
              <m:sSub>
                <m:sSubPr>
                  <m:ctrlPr>
                    <w:rPr>
                      <w:rFonts w:ascii="Cambria Math" w:hAnsi="Cambria Math"/>
                      <w:i/>
                      <w:color w:val="1F497D" w:themeColor="text2"/>
                    </w:rPr>
                  </m:ctrlPr>
                </m:sSubPr>
                <m:e>
                  <m:r>
                    <w:rPr>
                      <w:rFonts w:ascii="Cambria Math" w:hAnsi="Cambria Math"/>
                      <w:color w:val="1F497D" w:themeColor="text2"/>
                    </w:rPr>
                    <m:t>In</m:t>
                  </m:r>
                  <m:r>
                    <w:rPr>
                      <w:rFonts w:ascii="Cambria Math" w:hAnsi="Cambria Math"/>
                      <w:color w:val="1F497D" w:themeColor="text2"/>
                    </w:rPr>
                    <m:t>terruptions</m:t>
                  </m:r>
                </m:e>
                <m:sub>
                  <m:r>
                    <w:rPr>
                      <w:rFonts w:ascii="Cambria Math" w:hAnsi="Cambria Math"/>
                      <w:color w:val="1F497D" w:themeColor="text2"/>
                    </w:rPr>
                    <m:t>added</m:t>
                  </m:r>
                </m:sub>
              </m:sSub>
            </m:den>
          </m:f>
        </m:oMath>
      </m:oMathPara>
    </w:p>
    <w:p w:rsidR="00751C52" w:rsidRPr="00365151" w:rsidRDefault="00751C52" w:rsidP="00751C52">
      <w:pPr>
        <w:pStyle w:val="Schnumberedtext"/>
        <w:numPr>
          <w:ilvl w:val="0"/>
          <w:numId w:val="0"/>
        </w:numPr>
        <w:tabs>
          <w:tab w:val="left" w:pos="1701"/>
        </w:tabs>
        <w:ind w:left="1701" w:hanging="992"/>
        <w:rPr>
          <w:color w:val="1F497D" w:themeColor="text2"/>
          <w:u w:val="single"/>
        </w:rPr>
      </w:pPr>
      <w:proofErr w:type="gramStart"/>
      <w:r w:rsidRPr="00365151">
        <w:rPr>
          <w:color w:val="1F497D" w:themeColor="text2"/>
          <w:u w:val="single"/>
        </w:rPr>
        <w:t>where-</w:t>
      </w:r>
      <w:proofErr w:type="gramEnd"/>
    </w:p>
    <w:p w:rsidR="00751C52" w:rsidRPr="00365151" w:rsidRDefault="00751C52" w:rsidP="00751C52">
      <w:pPr>
        <w:pStyle w:val="Schnumberedtext"/>
        <w:numPr>
          <w:ilvl w:val="0"/>
          <w:numId w:val="0"/>
        </w:numPr>
        <w:tabs>
          <w:tab w:val="left" w:pos="1985"/>
        </w:tabs>
        <w:ind w:left="1985" w:hanging="1276"/>
        <w:rPr>
          <w:color w:val="1F497D" w:themeColor="text2"/>
          <w:u w:val="single"/>
        </w:rPr>
      </w:pPr>
      <w:proofErr w:type="gramStart"/>
      <w:r w:rsidRPr="00365151">
        <w:rPr>
          <w:i/>
          <w:color w:val="1F497D" w:themeColor="text2"/>
          <w:u w:val="single"/>
        </w:rPr>
        <w:t>t</w:t>
      </w:r>
      <w:proofErr w:type="gramEnd"/>
      <w:r w:rsidRPr="00365151">
        <w:rPr>
          <w:color w:val="1F497D" w:themeColor="text2"/>
          <w:u w:val="single"/>
        </w:rPr>
        <w:tab/>
        <w:t xml:space="preserve">is the Assessment Period in which the </w:t>
      </w:r>
      <w:r>
        <w:rPr>
          <w:color w:val="1F497D" w:themeColor="text2"/>
          <w:u w:val="single"/>
        </w:rPr>
        <w:t>assets are transferred from Transpower</w:t>
      </w:r>
      <w:r w:rsidRPr="00365151">
        <w:rPr>
          <w:color w:val="1F497D" w:themeColor="text2"/>
          <w:u w:val="single"/>
        </w:rPr>
        <w:t>;</w:t>
      </w:r>
    </w:p>
    <w:p w:rsidR="00751C52" w:rsidRPr="00237C0F" w:rsidRDefault="00751C52" w:rsidP="00751C52">
      <w:pPr>
        <w:pStyle w:val="Schnumberedtext"/>
        <w:numPr>
          <w:ilvl w:val="0"/>
          <w:numId w:val="0"/>
        </w:numPr>
        <w:tabs>
          <w:tab w:val="left" w:pos="1985"/>
        </w:tabs>
        <w:ind w:left="1985" w:hanging="1276"/>
        <w:rPr>
          <w:color w:val="1F497D" w:themeColor="text2"/>
          <w:u w:val="single"/>
        </w:rPr>
      </w:pPr>
      <w:r>
        <w:rPr>
          <w:i/>
          <w:color w:val="1F497D" w:themeColor="text2"/>
          <w:u w:val="single"/>
        </w:rPr>
        <w:t>SAIF</w:t>
      </w:r>
      <w:r w:rsidRPr="00237C0F">
        <w:rPr>
          <w:i/>
          <w:color w:val="1F497D" w:themeColor="text2"/>
          <w:u w:val="single"/>
        </w:rPr>
        <w:t>I</w:t>
      </w:r>
      <w:r w:rsidRPr="00237C0F">
        <w:rPr>
          <w:i/>
          <w:color w:val="1F497D" w:themeColor="text2"/>
          <w:u w:val="single"/>
          <w:vertAlign w:val="subscript"/>
        </w:rPr>
        <w:t>t-1</w:t>
      </w:r>
      <w:r w:rsidRPr="00237C0F">
        <w:rPr>
          <w:i/>
          <w:color w:val="1F497D" w:themeColor="text2"/>
          <w:u w:val="single"/>
        </w:rPr>
        <w:tab/>
      </w:r>
      <w:r w:rsidRPr="00237C0F">
        <w:rPr>
          <w:color w:val="1F497D" w:themeColor="text2"/>
          <w:u w:val="single"/>
        </w:rPr>
        <w:t>is, for the purposes of –</w:t>
      </w:r>
    </w:p>
    <w:p w:rsidR="00751C52" w:rsidRPr="00237C0F" w:rsidRDefault="00751C52" w:rsidP="00751C52">
      <w:pPr>
        <w:pStyle w:val="Schnumberedtext"/>
        <w:numPr>
          <w:ilvl w:val="0"/>
          <w:numId w:val="0"/>
        </w:numPr>
        <w:tabs>
          <w:tab w:val="left" w:pos="1985"/>
        </w:tabs>
        <w:ind w:left="3261" w:hanging="1276"/>
        <w:rPr>
          <w:color w:val="1F497D" w:themeColor="text2"/>
          <w:u w:val="single"/>
        </w:rPr>
      </w:pPr>
      <w:r w:rsidRPr="00237C0F">
        <w:rPr>
          <w:color w:val="1F497D" w:themeColor="text2"/>
          <w:u w:val="single"/>
        </w:rPr>
        <w:t>(a)</w:t>
      </w:r>
      <w:r w:rsidRPr="00237C0F">
        <w:rPr>
          <w:color w:val="1F497D" w:themeColor="text2"/>
          <w:u w:val="single"/>
        </w:rPr>
        <w:tab/>
      </w:r>
      <w:proofErr w:type="gramStart"/>
      <w:r w:rsidRPr="00237C0F">
        <w:rPr>
          <w:color w:val="1F497D" w:themeColor="text2"/>
          <w:u w:val="single"/>
        </w:rPr>
        <w:t>calculating</w:t>
      </w:r>
      <w:proofErr w:type="gramEnd"/>
      <w:r w:rsidRPr="00237C0F">
        <w:rPr>
          <w:color w:val="1F497D" w:themeColor="text2"/>
          <w:u w:val="single"/>
        </w:rPr>
        <w:t xml:space="preserve"> the SAIDI Target, the SAIDI Target, and</w:t>
      </w:r>
    </w:p>
    <w:p w:rsidR="00751C52" w:rsidRPr="00237C0F" w:rsidRDefault="00751C52" w:rsidP="00751C52">
      <w:pPr>
        <w:pStyle w:val="Schnumberedtext"/>
        <w:numPr>
          <w:ilvl w:val="0"/>
          <w:numId w:val="0"/>
        </w:numPr>
        <w:tabs>
          <w:tab w:val="left" w:pos="1985"/>
        </w:tabs>
        <w:ind w:left="3261" w:hanging="1276"/>
        <w:rPr>
          <w:color w:val="1F497D" w:themeColor="text2"/>
          <w:u w:val="single"/>
        </w:rPr>
      </w:pPr>
      <w:r w:rsidRPr="00237C0F">
        <w:rPr>
          <w:color w:val="1F497D" w:themeColor="text2"/>
          <w:u w:val="single"/>
        </w:rPr>
        <w:t>(b)</w:t>
      </w:r>
      <w:r w:rsidRPr="00237C0F">
        <w:rPr>
          <w:color w:val="1F497D" w:themeColor="text2"/>
          <w:u w:val="single"/>
        </w:rPr>
        <w:tab/>
      </w:r>
      <w:proofErr w:type="gramStart"/>
      <w:r w:rsidRPr="00237C0F">
        <w:rPr>
          <w:color w:val="1F497D" w:themeColor="text2"/>
          <w:u w:val="single"/>
        </w:rPr>
        <w:t>calculating</w:t>
      </w:r>
      <w:proofErr w:type="gramEnd"/>
      <w:r w:rsidRPr="00237C0F">
        <w:rPr>
          <w:color w:val="1F497D" w:themeColor="text2"/>
          <w:u w:val="single"/>
        </w:rPr>
        <w:t xml:space="preserve"> the SAIDI Unplanned Boundary Value, the SAIDI Unplanned Boundary Value</w:t>
      </w:r>
    </w:p>
    <w:p w:rsidR="00751C52" w:rsidRPr="00237C0F" w:rsidRDefault="00751C52" w:rsidP="00751C52">
      <w:pPr>
        <w:pStyle w:val="Schnumberedtext"/>
        <w:numPr>
          <w:ilvl w:val="0"/>
          <w:numId w:val="0"/>
        </w:numPr>
        <w:tabs>
          <w:tab w:val="left" w:pos="1985"/>
        </w:tabs>
        <w:ind w:left="1985"/>
        <w:rPr>
          <w:color w:val="1F497D" w:themeColor="text2"/>
          <w:u w:val="single"/>
        </w:rPr>
      </w:pPr>
      <w:proofErr w:type="gramStart"/>
      <w:r w:rsidRPr="00237C0F">
        <w:rPr>
          <w:color w:val="1F497D" w:themeColor="text2"/>
          <w:u w:val="single"/>
        </w:rPr>
        <w:t>of</w:t>
      </w:r>
      <w:proofErr w:type="gramEnd"/>
      <w:r w:rsidRPr="00237C0F">
        <w:rPr>
          <w:color w:val="1F497D" w:themeColor="text2"/>
          <w:u w:val="single"/>
        </w:rPr>
        <w:t xml:space="preserve"> the Non-exempt EDB </w:t>
      </w:r>
      <w:r w:rsidR="00F55DE9">
        <w:rPr>
          <w:color w:val="1F497D" w:themeColor="text2"/>
          <w:u w:val="single"/>
        </w:rPr>
        <w:t>as specified in Schedules 4A and 5B</w:t>
      </w:r>
      <w:r w:rsidRPr="00237C0F">
        <w:rPr>
          <w:color w:val="1F497D" w:themeColor="text2"/>
          <w:u w:val="single"/>
        </w:rPr>
        <w:t>;</w:t>
      </w:r>
    </w:p>
    <w:p w:rsidR="00751C52" w:rsidRPr="00237C0F" w:rsidRDefault="00751C52" w:rsidP="00751C52">
      <w:pPr>
        <w:pStyle w:val="Schnumberedtext"/>
        <w:numPr>
          <w:ilvl w:val="0"/>
          <w:numId w:val="0"/>
        </w:numPr>
        <w:tabs>
          <w:tab w:val="left" w:pos="1985"/>
        </w:tabs>
        <w:ind w:left="1985" w:hanging="1276"/>
        <w:rPr>
          <w:color w:val="1F497D" w:themeColor="text2"/>
          <w:u w:val="single"/>
        </w:rPr>
      </w:pPr>
      <w:proofErr w:type="spellStart"/>
      <w:r>
        <w:rPr>
          <w:i/>
          <w:color w:val="1F497D" w:themeColor="text2"/>
          <w:u w:val="single"/>
        </w:rPr>
        <w:t>SAIF</w:t>
      </w:r>
      <w:r w:rsidRPr="00237C0F">
        <w:rPr>
          <w:i/>
          <w:color w:val="1F497D" w:themeColor="text2"/>
          <w:u w:val="single"/>
        </w:rPr>
        <w:t>I</w:t>
      </w:r>
      <w:r w:rsidR="007F712B">
        <w:rPr>
          <w:i/>
          <w:color w:val="1F497D" w:themeColor="text2"/>
          <w:u w:val="single"/>
          <w:vertAlign w:val="subscript"/>
        </w:rPr>
        <w:t>added</w:t>
      </w:r>
      <w:proofErr w:type="spellEnd"/>
      <w:r w:rsidR="007F712B">
        <w:rPr>
          <w:i/>
          <w:color w:val="1F497D" w:themeColor="text2"/>
          <w:u w:val="single"/>
          <w:vertAlign w:val="subscript"/>
        </w:rPr>
        <w:t>, t</w:t>
      </w:r>
      <w:r w:rsidRPr="00237C0F">
        <w:rPr>
          <w:color w:val="1F497D" w:themeColor="text2"/>
          <w:u w:val="single"/>
        </w:rPr>
        <w:tab/>
        <w:t>is, for the purposes of –</w:t>
      </w:r>
    </w:p>
    <w:p w:rsidR="00751C52" w:rsidRPr="00237C0F" w:rsidRDefault="00751C52" w:rsidP="00751C52">
      <w:pPr>
        <w:pStyle w:val="Schnumberedtext"/>
        <w:numPr>
          <w:ilvl w:val="0"/>
          <w:numId w:val="0"/>
        </w:numPr>
        <w:tabs>
          <w:tab w:val="left" w:pos="1985"/>
        </w:tabs>
        <w:ind w:left="3261" w:hanging="1276"/>
        <w:rPr>
          <w:color w:val="1F497D" w:themeColor="text2"/>
          <w:u w:val="single"/>
        </w:rPr>
      </w:pPr>
      <w:r w:rsidRPr="00237C0F">
        <w:rPr>
          <w:color w:val="1F497D" w:themeColor="text2"/>
          <w:u w:val="single"/>
        </w:rPr>
        <w:t>(a)</w:t>
      </w:r>
      <w:r w:rsidRPr="00237C0F">
        <w:rPr>
          <w:color w:val="1F497D" w:themeColor="text2"/>
          <w:u w:val="single"/>
        </w:rPr>
        <w:tab/>
      </w:r>
      <w:proofErr w:type="gramStart"/>
      <w:r w:rsidRPr="00237C0F">
        <w:rPr>
          <w:color w:val="1F497D" w:themeColor="text2"/>
          <w:u w:val="single"/>
        </w:rPr>
        <w:t>calculating</w:t>
      </w:r>
      <w:proofErr w:type="gramEnd"/>
      <w:r w:rsidRPr="00237C0F">
        <w:rPr>
          <w:color w:val="1F497D" w:themeColor="text2"/>
          <w:u w:val="single"/>
        </w:rPr>
        <w:t xml:space="preserve"> the SAIDI Target, </w:t>
      </w:r>
      <w:r w:rsidR="00901E10">
        <w:rPr>
          <w:color w:val="1F497D" w:themeColor="text2"/>
          <w:u w:val="single"/>
        </w:rPr>
        <w:t xml:space="preserve">the value of historical SAIFI calculated in accordance with </w:t>
      </w:r>
      <w:r w:rsidRPr="00237C0F">
        <w:rPr>
          <w:color w:val="1F497D" w:themeColor="text2"/>
          <w:u w:val="single"/>
        </w:rPr>
        <w:t xml:space="preserve">paragraph </w:t>
      </w:r>
      <w:r>
        <w:rPr>
          <w:color w:val="1F497D" w:themeColor="text2"/>
          <w:u w:val="single"/>
        </w:rPr>
        <w:t>10</w:t>
      </w:r>
      <w:r w:rsidRPr="00237C0F">
        <w:rPr>
          <w:color w:val="1F497D" w:themeColor="text2"/>
          <w:u w:val="single"/>
        </w:rPr>
        <w:t>, and</w:t>
      </w:r>
    </w:p>
    <w:p w:rsidR="00751C52" w:rsidRPr="00237C0F" w:rsidRDefault="00751C52" w:rsidP="00751C52">
      <w:pPr>
        <w:pStyle w:val="Schnumberedtext"/>
        <w:numPr>
          <w:ilvl w:val="0"/>
          <w:numId w:val="0"/>
        </w:numPr>
        <w:tabs>
          <w:tab w:val="left" w:pos="1985"/>
        </w:tabs>
        <w:ind w:left="3261" w:hanging="1276"/>
        <w:rPr>
          <w:color w:val="1F497D" w:themeColor="text2"/>
          <w:u w:val="single"/>
        </w:rPr>
      </w:pPr>
      <w:r w:rsidRPr="00237C0F">
        <w:rPr>
          <w:color w:val="1F497D" w:themeColor="text2"/>
          <w:u w:val="single"/>
        </w:rPr>
        <w:t>(b)</w:t>
      </w:r>
      <w:r w:rsidRPr="00237C0F">
        <w:rPr>
          <w:color w:val="1F497D" w:themeColor="text2"/>
          <w:u w:val="single"/>
        </w:rPr>
        <w:tab/>
      </w:r>
      <w:proofErr w:type="gramStart"/>
      <w:r w:rsidRPr="00237C0F">
        <w:rPr>
          <w:color w:val="1F497D" w:themeColor="text2"/>
          <w:u w:val="single"/>
        </w:rPr>
        <w:t>calculating</w:t>
      </w:r>
      <w:proofErr w:type="gramEnd"/>
      <w:r w:rsidRPr="00237C0F">
        <w:rPr>
          <w:color w:val="1F497D" w:themeColor="text2"/>
          <w:u w:val="single"/>
        </w:rPr>
        <w:t xml:space="preserve"> the SAIDI Unplanned Boundary Value, the SAIDI Unplanned Boundary Value</w:t>
      </w:r>
    </w:p>
    <w:p w:rsidR="00751C52" w:rsidRPr="00237C0F" w:rsidRDefault="00751C52" w:rsidP="00751C52">
      <w:pPr>
        <w:pStyle w:val="Schnumberedtext"/>
        <w:numPr>
          <w:ilvl w:val="0"/>
          <w:numId w:val="0"/>
        </w:numPr>
        <w:tabs>
          <w:tab w:val="left" w:pos="1985"/>
        </w:tabs>
        <w:ind w:left="1985" w:hanging="1276"/>
        <w:rPr>
          <w:color w:val="1F497D" w:themeColor="text2"/>
          <w:u w:val="single"/>
        </w:rPr>
      </w:pPr>
      <w:r w:rsidRPr="00237C0F">
        <w:rPr>
          <w:color w:val="1F497D" w:themeColor="text2"/>
          <w:u w:val="single"/>
        </w:rPr>
        <w:tab/>
      </w:r>
      <w:bookmarkStart w:id="38" w:name="_GoBack"/>
      <w:bookmarkEnd w:id="38"/>
      <w:proofErr w:type="gramStart"/>
      <w:r w:rsidRPr="007F712B">
        <w:rPr>
          <w:color w:val="1F497D" w:themeColor="text2"/>
          <w:u w:val="single"/>
        </w:rPr>
        <w:t>in</w:t>
      </w:r>
      <w:proofErr w:type="gramEnd"/>
      <w:r w:rsidRPr="007F712B">
        <w:rPr>
          <w:color w:val="1F497D" w:themeColor="text2"/>
          <w:u w:val="single"/>
        </w:rPr>
        <w:t xml:space="preserve"> the Assessment Period </w:t>
      </w:r>
      <w:r w:rsidRPr="007F712B">
        <w:rPr>
          <w:i/>
          <w:color w:val="1F497D" w:themeColor="text2"/>
          <w:u w:val="single"/>
        </w:rPr>
        <w:t>t</w:t>
      </w:r>
      <w:r w:rsidRPr="007F712B">
        <w:rPr>
          <w:color w:val="1F497D" w:themeColor="text2"/>
          <w:u w:val="single"/>
        </w:rPr>
        <w:t xml:space="preserve"> </w:t>
      </w:r>
      <w:r w:rsidR="00901E10" w:rsidRPr="007F712B">
        <w:rPr>
          <w:color w:val="1F497D" w:themeColor="text2"/>
          <w:u w:val="single"/>
        </w:rPr>
        <w:t>for</w:t>
      </w:r>
      <w:r w:rsidRPr="007F712B">
        <w:rPr>
          <w:color w:val="1F497D" w:themeColor="text2"/>
          <w:u w:val="single"/>
        </w:rPr>
        <w:t xml:space="preserve"> the transmission assets w transferred to the Non-exempt EDB from Transpower</w:t>
      </w:r>
      <w:r w:rsidRPr="007F712B">
        <w:rPr>
          <w:rFonts w:asciiTheme="minorHAnsi" w:hAnsiTheme="minorHAnsi"/>
          <w:color w:val="1F497D" w:themeColor="text2"/>
          <w:u w:val="single"/>
        </w:rPr>
        <w:t>;</w:t>
      </w:r>
    </w:p>
    <w:p w:rsidR="000A2E89" w:rsidRPr="00365151" w:rsidRDefault="000A2E89" w:rsidP="000A2E89">
      <w:pPr>
        <w:pStyle w:val="Schnumberedtext"/>
        <w:numPr>
          <w:ilvl w:val="0"/>
          <w:numId w:val="0"/>
        </w:numPr>
        <w:tabs>
          <w:tab w:val="left" w:pos="1985"/>
        </w:tabs>
        <w:ind w:left="1985" w:hanging="1276"/>
        <w:rPr>
          <w:color w:val="1F497D" w:themeColor="text2"/>
          <w:u w:val="single"/>
        </w:rPr>
      </w:pPr>
      <w:proofErr w:type="gramStart"/>
      <w:r w:rsidRPr="000A2E89">
        <w:rPr>
          <w:i/>
          <w:color w:val="1F497D" w:themeColor="text2"/>
          <w:u w:val="single"/>
        </w:rPr>
        <w:lastRenderedPageBreak/>
        <w:t>Interruptions</w:t>
      </w:r>
      <w:r w:rsidRPr="00365151">
        <w:rPr>
          <w:color w:val="1F497D" w:themeColor="text2"/>
          <w:u w:val="single"/>
        </w:rPr>
        <w:tab/>
      </w:r>
      <w:r>
        <w:rPr>
          <w:color w:val="1F497D" w:themeColor="text2"/>
          <w:u w:val="single"/>
        </w:rPr>
        <w:tab/>
      </w:r>
      <w:r>
        <w:rPr>
          <w:color w:val="1F497D" w:themeColor="text2"/>
          <w:u w:val="single"/>
        </w:rPr>
        <w:tab/>
      </w:r>
      <w:r w:rsidRPr="00365151">
        <w:rPr>
          <w:color w:val="1F497D" w:themeColor="text2"/>
          <w:u w:val="single"/>
        </w:rPr>
        <w:t>is</w:t>
      </w:r>
      <w:proofErr w:type="gramEnd"/>
      <w:r w:rsidRPr="00365151">
        <w:rPr>
          <w:color w:val="1F497D" w:themeColor="text2"/>
          <w:u w:val="single"/>
        </w:rPr>
        <w:t xml:space="preserve"> the </w:t>
      </w:r>
      <w:r>
        <w:rPr>
          <w:color w:val="1F497D" w:themeColor="text2"/>
          <w:u w:val="single"/>
        </w:rPr>
        <w:t xml:space="preserve">total number of interruptions for the non-Exempt EDB, for the most recent 10 years of available data; </w:t>
      </w:r>
    </w:p>
    <w:p w:rsidR="00751C52" w:rsidRPr="00365151" w:rsidRDefault="000A2E89" w:rsidP="00751C52">
      <w:pPr>
        <w:pStyle w:val="Schnumberedtext"/>
        <w:numPr>
          <w:ilvl w:val="0"/>
          <w:numId w:val="0"/>
        </w:numPr>
        <w:tabs>
          <w:tab w:val="left" w:pos="1985"/>
        </w:tabs>
        <w:ind w:left="1985" w:hanging="1276"/>
        <w:rPr>
          <w:color w:val="1F497D" w:themeColor="text2"/>
          <w:u w:val="single"/>
        </w:rPr>
      </w:pPr>
      <w:proofErr w:type="spellStart"/>
      <w:r>
        <w:rPr>
          <w:i/>
          <w:color w:val="1F497D" w:themeColor="text2"/>
          <w:u w:val="single"/>
        </w:rPr>
        <w:t>Interruptions</w:t>
      </w:r>
      <w:r>
        <w:rPr>
          <w:i/>
          <w:color w:val="1F497D" w:themeColor="text2"/>
          <w:u w:val="single"/>
          <w:vertAlign w:val="subscript"/>
        </w:rPr>
        <w:t>added</w:t>
      </w:r>
      <w:proofErr w:type="spellEnd"/>
      <w:r w:rsidRPr="00365151">
        <w:rPr>
          <w:color w:val="1F497D" w:themeColor="text2"/>
          <w:u w:val="single"/>
        </w:rPr>
        <w:tab/>
        <w:t xml:space="preserve">is the </w:t>
      </w:r>
      <w:r>
        <w:rPr>
          <w:color w:val="1F497D" w:themeColor="text2"/>
          <w:u w:val="single"/>
        </w:rPr>
        <w:t>total number of interruptions for the assets transferred from Transpower, for the most recent 10 years of available data</w:t>
      </w:r>
      <w:r w:rsidRPr="00365151">
        <w:rPr>
          <w:color w:val="1F497D" w:themeColor="text2"/>
          <w:u w:val="single"/>
        </w:rPr>
        <w:t>.</w:t>
      </w:r>
    </w:p>
    <w:p w:rsidR="004F427A" w:rsidRDefault="00CD50E1" w:rsidP="00CD50E1">
      <w:pPr>
        <w:pStyle w:val="Schnumberedtext"/>
        <w:spacing w:before="240"/>
        <w:ind w:hanging="720"/>
      </w:pPr>
      <w:r>
        <w:t xml:space="preserve">For the purposes of paragraph </w:t>
      </w:r>
      <w:r w:rsidR="004F427A" w:rsidRPr="00751C52">
        <w:rPr>
          <w:strike/>
          <w:color w:val="1F497D" w:themeColor="text2"/>
        </w:rPr>
        <w:fldChar w:fldCharType="begin"/>
      </w:r>
      <w:r w:rsidR="004F427A" w:rsidRPr="00751C52">
        <w:rPr>
          <w:strike/>
          <w:color w:val="1F497D" w:themeColor="text2"/>
        </w:rPr>
        <w:instrText xml:space="preserve"> REF _Ref400100197 \r \h </w:instrText>
      </w:r>
      <w:r w:rsidR="00751C52" w:rsidRPr="00751C52">
        <w:rPr>
          <w:strike/>
          <w:color w:val="1F497D" w:themeColor="text2"/>
        </w:rPr>
        <w:instrText xml:space="preserve"> \* MERGEFORMAT </w:instrText>
      </w:r>
      <w:r w:rsidR="004F427A" w:rsidRPr="00751C52">
        <w:rPr>
          <w:strike/>
          <w:color w:val="1F497D" w:themeColor="text2"/>
        </w:rPr>
      </w:r>
      <w:r w:rsidR="004F427A" w:rsidRPr="00751C52">
        <w:rPr>
          <w:strike/>
          <w:color w:val="1F497D" w:themeColor="text2"/>
        </w:rPr>
        <w:fldChar w:fldCharType="separate"/>
      </w:r>
      <w:r w:rsidR="00B56D36" w:rsidRPr="00751C52">
        <w:rPr>
          <w:strike/>
          <w:color w:val="1F497D" w:themeColor="text2"/>
        </w:rPr>
        <w:t>5</w:t>
      </w:r>
      <w:r w:rsidR="004F427A" w:rsidRPr="00751C52">
        <w:rPr>
          <w:strike/>
          <w:color w:val="1F497D" w:themeColor="text2"/>
        </w:rPr>
        <w:fldChar w:fldCharType="end"/>
      </w:r>
      <w:r w:rsidR="00751C52" w:rsidRPr="00751C52">
        <w:rPr>
          <w:color w:val="1F497D" w:themeColor="text2"/>
          <w:u w:val="single"/>
        </w:rPr>
        <w:t>7 and 9</w:t>
      </w:r>
      <w:r w:rsidR="004F427A">
        <w:t>–</w:t>
      </w:r>
    </w:p>
    <w:p w:rsidR="00CD50E1" w:rsidRDefault="00CD50E1" w:rsidP="00B87C77">
      <w:pPr>
        <w:pStyle w:val="Subclause2"/>
        <w:numPr>
          <w:ilvl w:val="0"/>
          <w:numId w:val="78"/>
        </w:numPr>
        <w:ind w:left="1418" w:hanging="709"/>
      </w:pPr>
      <w:r>
        <w:t xml:space="preserve">the </w:t>
      </w:r>
      <w:r w:rsidRPr="00901E10">
        <w:rPr>
          <w:strike/>
          <w:color w:val="1F497D" w:themeColor="text2"/>
        </w:rPr>
        <w:t xml:space="preserve">SAIFI </w:t>
      </w:r>
      <w:r w:rsidR="00CE4F6E" w:rsidRPr="00901E10">
        <w:rPr>
          <w:strike/>
          <w:color w:val="1F497D" w:themeColor="text2"/>
        </w:rPr>
        <w:t>Target</w:t>
      </w:r>
      <w:r w:rsidRPr="00901E10">
        <w:rPr>
          <w:strike/>
          <w:color w:val="1F497D" w:themeColor="text2"/>
        </w:rPr>
        <w:t xml:space="preserve"> of </w:t>
      </w:r>
      <w:r w:rsidR="00751C52" w:rsidRPr="00901E10">
        <w:rPr>
          <w:strike/>
          <w:color w:val="1F497D" w:themeColor="text2"/>
        </w:rPr>
        <w:t xml:space="preserve">an </w:t>
      </w:r>
      <w:r w:rsidR="00751C52" w:rsidRPr="00237C0F">
        <w:rPr>
          <w:strike/>
          <w:color w:val="1F497D" w:themeColor="text2"/>
        </w:rPr>
        <w:t>Exempt EDB or Transpower</w:t>
      </w:r>
      <w:r w:rsidR="00751C52" w:rsidRPr="00237C0F">
        <w:rPr>
          <w:color w:val="1F497D" w:themeColor="text2"/>
        </w:rPr>
        <w:t xml:space="preserve"> </w:t>
      </w:r>
      <w:r w:rsidR="00901E10" w:rsidRPr="00901E10">
        <w:rPr>
          <w:color w:val="1F497D" w:themeColor="text2"/>
          <w:u w:val="single"/>
        </w:rPr>
        <w:t>value of historic SAIFI</w:t>
      </w:r>
      <w:r w:rsidR="00901E10" w:rsidRPr="00F55DE9">
        <w:rPr>
          <w:color w:val="1F497D" w:themeColor="text2"/>
        </w:rPr>
        <w:t xml:space="preserve"> </w:t>
      </w:r>
      <w:r>
        <w:t>is calculated in accordance with the formula–</w:t>
      </w:r>
      <w:bookmarkEnd w:id="37"/>
    </w:p>
    <w:p w:rsidR="00CD50E1" w:rsidRPr="00564F0A" w:rsidRDefault="0067630A" w:rsidP="00CD50E1">
      <w:pPr>
        <w:pStyle w:val="Schnumberedtext"/>
        <w:numPr>
          <w:ilvl w:val="0"/>
          <w:numId w:val="0"/>
        </w:numPr>
        <w:ind w:left="360"/>
      </w:pPr>
      <m:oMathPara>
        <m:oMath>
          <m:f>
            <m:fPr>
              <m:ctrlPr>
                <w:rPr>
                  <w:rFonts w:ascii="Cambria Math" w:hAnsi="Cambria Math"/>
                </w:rPr>
              </m:ctrlPr>
            </m:fPr>
            <m:num>
              <m:nary>
                <m:naryPr>
                  <m:chr m:val="∑"/>
                  <m:limLoc m:val="undOvr"/>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w:rPr>
                              <w:rFonts w:ascii="Cambria Math" w:hAnsi="Cambria Math"/>
                            </w:rPr>
                            <m:t>SAIFI</m:t>
                          </m:r>
                        </m:e>
                        <m:sub>
                          <m:r>
                            <w:rPr>
                              <w:rFonts w:ascii="Cambria Math" w:hAnsi="Cambria Math"/>
                            </w:rPr>
                            <m:t>planned</m:t>
                          </m:r>
                        </m:sub>
                      </m:sSub>
                      <m:r>
                        <m:rPr>
                          <m:sty m:val="p"/>
                        </m:rPr>
                        <w:rPr>
                          <w:rFonts w:ascii="Cambria Math" w:hAnsi="Cambria Math"/>
                        </w:rPr>
                        <m:t>*0.5</m:t>
                      </m:r>
                    </m:e>
                  </m:d>
                  <m:r>
                    <m:rPr>
                      <m:sty m:val="p"/>
                    </m:rPr>
                    <w:rPr>
                      <w:rFonts w:ascii="Cambria Math" w:hAnsi="Cambria Math"/>
                    </w:rPr>
                    <m:t>+</m:t>
                  </m:r>
                  <m:nary>
                    <m:naryPr>
                      <m:chr m:val="∑"/>
                      <m:limLoc m:val="undOvr"/>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w:rPr>
                                  <w:rFonts w:ascii="Cambria Math" w:hAnsi="Cambria Math"/>
                                </w:rPr>
                                <m:t>SAIFI</m:t>
                              </m:r>
                            </m:e>
                            <m:sub>
                              <m:r>
                                <w:rPr>
                                  <w:rFonts w:ascii="Cambria Math" w:hAnsi="Cambria Math"/>
                                </w:rPr>
                                <m:t>unplanned</m:t>
                              </m:r>
                            </m:sub>
                          </m:sSub>
                        </m:e>
                      </m:d>
                    </m:e>
                  </m:nary>
                </m:e>
              </m:nary>
            </m:num>
            <m:den>
              <m:r>
                <w:rPr>
                  <w:rFonts w:ascii="Cambria Math" w:hAnsi="Cambria Math"/>
                </w:rPr>
                <m:t>Years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data</m:t>
              </m:r>
            </m:den>
          </m:f>
        </m:oMath>
      </m:oMathPara>
    </w:p>
    <w:p w:rsidR="00CD50E1" w:rsidRDefault="00113E4A" w:rsidP="00CD50E1">
      <w:pPr>
        <w:pStyle w:val="Schnumberedtext"/>
        <w:numPr>
          <w:ilvl w:val="0"/>
          <w:numId w:val="0"/>
        </w:numPr>
        <w:tabs>
          <w:tab w:val="left" w:pos="1701"/>
        </w:tabs>
        <w:ind w:left="1701" w:hanging="992"/>
      </w:pPr>
      <w:proofErr w:type="gramStart"/>
      <w:r>
        <w:t>where-</w:t>
      </w:r>
      <w:proofErr w:type="gramEnd"/>
    </w:p>
    <w:p w:rsidR="00CD50E1" w:rsidRDefault="00CD50E1" w:rsidP="00CD50E1">
      <w:pPr>
        <w:pStyle w:val="Schnumberedtext"/>
        <w:numPr>
          <w:ilvl w:val="0"/>
          <w:numId w:val="0"/>
        </w:numPr>
        <w:tabs>
          <w:tab w:val="left" w:pos="1985"/>
        </w:tabs>
        <w:ind w:left="1985" w:hanging="1276"/>
      </w:pPr>
      <w:proofErr w:type="spellStart"/>
      <w:r>
        <w:rPr>
          <w:i/>
        </w:rPr>
        <w:t>SAIFI</w:t>
      </w:r>
      <w:r>
        <w:rPr>
          <w:i/>
          <w:vertAlign w:val="subscript"/>
        </w:rPr>
        <w:t>planned</w:t>
      </w:r>
      <w:proofErr w:type="spellEnd"/>
      <w:r>
        <w:rPr>
          <w:i/>
        </w:rPr>
        <w:tab/>
      </w:r>
      <w:r>
        <w:t xml:space="preserve">is the historic SAIFI Values </w:t>
      </w:r>
      <w:r w:rsidR="00EC24B8">
        <w:t xml:space="preserve">for Planned Interruptions </w:t>
      </w:r>
      <w:r w:rsidRPr="00CD6667">
        <w:rPr>
          <w:strike/>
          <w:color w:val="1F497D" w:themeColor="text2"/>
        </w:rPr>
        <w:t xml:space="preserve">of </w:t>
      </w:r>
      <w:r w:rsidR="00751C52" w:rsidRPr="00CD6667">
        <w:rPr>
          <w:strike/>
          <w:color w:val="1F497D" w:themeColor="text2"/>
        </w:rPr>
        <w:t xml:space="preserve">the </w:t>
      </w:r>
      <w:r w:rsidR="00751C52" w:rsidRPr="00A129C9">
        <w:rPr>
          <w:strike/>
          <w:color w:val="1F497D" w:themeColor="text2"/>
        </w:rPr>
        <w:t>Exempt EDB</w:t>
      </w:r>
      <w:r w:rsidR="00751C52">
        <w:t xml:space="preserve"> </w:t>
      </w:r>
      <w:r w:rsidR="00CD6667" w:rsidRPr="00CD6667">
        <w:rPr>
          <w:color w:val="1F497D" w:themeColor="text2"/>
          <w:u w:val="single"/>
        </w:rPr>
        <w:t xml:space="preserve">for </w:t>
      </w:r>
      <w:r w:rsidR="00751C52" w:rsidRPr="00CD6667">
        <w:rPr>
          <w:color w:val="1F497D" w:themeColor="text2"/>
          <w:u w:val="single"/>
        </w:rPr>
        <w:t xml:space="preserve">the ICPs </w:t>
      </w:r>
      <w:r w:rsidR="00F55DE9">
        <w:rPr>
          <w:color w:val="1F497D" w:themeColor="text2"/>
          <w:u w:val="single"/>
        </w:rPr>
        <w:t>transferred</w:t>
      </w:r>
      <w:r w:rsidR="00751C52">
        <w:t xml:space="preserve"> </w:t>
      </w:r>
      <w:r w:rsidR="00824836">
        <w:t xml:space="preserve">or </w:t>
      </w:r>
      <w:r w:rsidR="006B1165">
        <w:t xml:space="preserve">of </w:t>
      </w:r>
      <w:r w:rsidR="006B1165" w:rsidRPr="006B1165">
        <w:t xml:space="preserve">the assets transferred by </w:t>
      </w:r>
      <w:r w:rsidR="006B1165">
        <w:t xml:space="preserve">Transpower </w:t>
      </w:r>
      <w:r>
        <w:t>for the most recent 10 years of available data</w:t>
      </w:r>
      <w:r w:rsidR="00113E4A">
        <w:t>; and</w:t>
      </w:r>
    </w:p>
    <w:p w:rsidR="00462DDA" w:rsidRDefault="00CD50E1" w:rsidP="00CD50E1">
      <w:pPr>
        <w:pStyle w:val="Schnumberedtext"/>
        <w:numPr>
          <w:ilvl w:val="0"/>
          <w:numId w:val="0"/>
        </w:numPr>
        <w:tabs>
          <w:tab w:val="left" w:pos="1985"/>
        </w:tabs>
        <w:ind w:left="1985" w:hanging="1276"/>
      </w:pPr>
      <w:proofErr w:type="spellStart"/>
      <w:r>
        <w:rPr>
          <w:i/>
        </w:rPr>
        <w:t>SAIFI</w:t>
      </w:r>
      <w:r w:rsidRPr="00CD50E1">
        <w:rPr>
          <w:i/>
          <w:vertAlign w:val="subscript"/>
        </w:rPr>
        <w:t>unplanned</w:t>
      </w:r>
      <w:proofErr w:type="spellEnd"/>
      <w:r>
        <w:rPr>
          <w:i/>
          <w:vertAlign w:val="subscript"/>
        </w:rPr>
        <w:tab/>
      </w:r>
      <w:r w:rsidR="00CE4F6E">
        <w:t>is</w:t>
      </w:r>
      <w:r w:rsidR="00462DDA">
        <w:t>–</w:t>
      </w:r>
    </w:p>
    <w:p w:rsidR="00462DDA" w:rsidRDefault="004F427A" w:rsidP="004F427A">
      <w:pPr>
        <w:pStyle w:val="Schnumberedtext"/>
        <w:numPr>
          <w:ilvl w:val="0"/>
          <w:numId w:val="0"/>
        </w:numPr>
        <w:tabs>
          <w:tab w:val="left" w:pos="1985"/>
        </w:tabs>
        <w:ind w:left="2835" w:hanging="709"/>
      </w:pPr>
      <w:r>
        <w:t>(</w:t>
      </w:r>
      <w:proofErr w:type="spellStart"/>
      <w:r>
        <w:t>i</w:t>
      </w:r>
      <w:proofErr w:type="spellEnd"/>
      <w:r>
        <w:t>)</w:t>
      </w:r>
      <w:r>
        <w:tab/>
        <w:t xml:space="preserve">for an </w:t>
      </w:r>
      <w:r w:rsidRPr="00751C52">
        <w:rPr>
          <w:strike/>
          <w:color w:val="1F497D" w:themeColor="text2"/>
        </w:rPr>
        <w:t>Exempt</w:t>
      </w:r>
      <w:r w:rsidRPr="00751C52">
        <w:rPr>
          <w:color w:val="1F497D" w:themeColor="text2"/>
        </w:rPr>
        <w:t xml:space="preserve"> </w:t>
      </w:r>
      <w:r>
        <w:t xml:space="preserve">EDB, </w:t>
      </w:r>
      <w:r w:rsidR="00CE4F6E">
        <w:t xml:space="preserve">the historic SAIFI Values </w:t>
      </w:r>
      <w:r w:rsidR="00EC24B8">
        <w:t xml:space="preserve">for Unplanned Interruptions </w:t>
      </w:r>
      <w:r w:rsidR="00751C52" w:rsidRPr="00A129C9">
        <w:rPr>
          <w:strike/>
          <w:color w:val="1F497D" w:themeColor="text2"/>
        </w:rPr>
        <w:t>the Exempt EDB</w:t>
      </w:r>
      <w:r w:rsidR="00751C52">
        <w:t xml:space="preserve"> </w:t>
      </w:r>
      <w:r w:rsidR="00CD6667" w:rsidRPr="00CD6667">
        <w:rPr>
          <w:color w:val="1F497D" w:themeColor="text2"/>
          <w:u w:val="single"/>
        </w:rPr>
        <w:t xml:space="preserve">for </w:t>
      </w:r>
      <w:r w:rsidR="00751C52" w:rsidRPr="00CD6667">
        <w:rPr>
          <w:color w:val="1F497D" w:themeColor="text2"/>
          <w:u w:val="single"/>
        </w:rPr>
        <w:t xml:space="preserve">the </w:t>
      </w:r>
      <w:r w:rsidR="00751C52" w:rsidRPr="00A129C9">
        <w:rPr>
          <w:color w:val="1F497D" w:themeColor="text2"/>
          <w:u w:val="single"/>
        </w:rPr>
        <w:t xml:space="preserve">ICPs </w:t>
      </w:r>
      <w:r w:rsidR="00F55DE9">
        <w:rPr>
          <w:color w:val="1F497D" w:themeColor="text2"/>
          <w:u w:val="single"/>
        </w:rPr>
        <w:t>transferred</w:t>
      </w:r>
      <w:r w:rsidR="00751C52">
        <w:t xml:space="preserve"> </w:t>
      </w:r>
      <w:r w:rsidR="00CE4F6E">
        <w:t xml:space="preserve">for the most recent 10 years of available data, </w:t>
      </w:r>
      <w:r w:rsidR="00CE4F6E" w:rsidRPr="002F54CC">
        <w:t>where any daily SAI</w:t>
      </w:r>
      <w:r w:rsidR="00CE4F6E">
        <w:t>F</w:t>
      </w:r>
      <w:r w:rsidR="00CE4F6E" w:rsidRPr="002F54CC">
        <w:t xml:space="preserve">I Value </w:t>
      </w:r>
      <w:r w:rsidR="00EC24B8">
        <w:t xml:space="preserve">for Unplanned Interruptions </w:t>
      </w:r>
      <w:r w:rsidR="00CE4F6E" w:rsidRPr="002F54CC">
        <w:t xml:space="preserve">greater than the </w:t>
      </w:r>
      <w:r w:rsidR="00CE4F6E">
        <w:t>23</w:t>
      </w:r>
      <w:r w:rsidR="00CE4F6E" w:rsidRPr="00867D3D">
        <w:rPr>
          <w:vertAlign w:val="superscript"/>
        </w:rPr>
        <w:t>rd</w:t>
      </w:r>
      <w:r w:rsidR="00CE4F6E">
        <w:t xml:space="preserve"> highest </w:t>
      </w:r>
      <w:r w:rsidR="00EC24B8">
        <w:t xml:space="preserve">daily </w:t>
      </w:r>
      <w:r w:rsidR="00CE4F6E">
        <w:t>SAIFI Value</w:t>
      </w:r>
      <w:r w:rsidR="00CE4F6E" w:rsidRPr="002F54CC">
        <w:t xml:space="preserve"> </w:t>
      </w:r>
      <w:r w:rsidR="00EC24B8">
        <w:t xml:space="preserve">for Unplanned Interruptions </w:t>
      </w:r>
      <w:r w:rsidR="00CE4F6E">
        <w:t xml:space="preserve">of the </w:t>
      </w:r>
      <w:r w:rsidR="00CE4F6E" w:rsidRPr="00CD6667">
        <w:rPr>
          <w:strike/>
          <w:color w:val="1F497D" w:themeColor="text2"/>
        </w:rPr>
        <w:t>Exempt</w:t>
      </w:r>
      <w:r w:rsidR="00CE4F6E" w:rsidRPr="00CD6667">
        <w:rPr>
          <w:color w:val="1F497D" w:themeColor="text2"/>
        </w:rPr>
        <w:t xml:space="preserve"> </w:t>
      </w:r>
      <w:r w:rsidR="00CE4F6E">
        <w:t>EDB</w:t>
      </w:r>
      <w:r w:rsidR="00824836">
        <w:t xml:space="preserve"> </w:t>
      </w:r>
      <w:r w:rsidR="00CE4F6E" w:rsidRPr="002F54CC">
        <w:t>equals th</w:t>
      </w:r>
      <w:r w:rsidR="00CE4F6E">
        <w:t>at</w:t>
      </w:r>
      <w:r w:rsidR="00CE4F6E" w:rsidRPr="002F54CC">
        <w:t xml:space="preserve"> </w:t>
      </w:r>
      <w:r w:rsidR="00462DDA">
        <w:t>v</w:t>
      </w:r>
      <w:r w:rsidR="00CE4F6E" w:rsidRPr="002F54CC">
        <w:t>alue</w:t>
      </w:r>
      <w:r w:rsidR="00462DDA">
        <w:t xml:space="preserve">, </w:t>
      </w:r>
      <w:r>
        <w:t>and</w:t>
      </w:r>
    </w:p>
    <w:p w:rsidR="004F427A" w:rsidRDefault="004F427A" w:rsidP="004F427A">
      <w:pPr>
        <w:pStyle w:val="Schnumberedtext"/>
        <w:numPr>
          <w:ilvl w:val="0"/>
          <w:numId w:val="0"/>
        </w:numPr>
        <w:tabs>
          <w:tab w:val="left" w:pos="1985"/>
        </w:tabs>
        <w:ind w:left="2835" w:hanging="709"/>
      </w:pPr>
      <w:r>
        <w:t>(ii)</w:t>
      </w:r>
      <w:r>
        <w:tab/>
        <w:t xml:space="preserve">for Transpower, </w:t>
      </w:r>
      <w:r w:rsidR="00462DDA">
        <w:t xml:space="preserve">the historic SAIFI Values </w:t>
      </w:r>
      <w:r w:rsidR="00EC24B8">
        <w:t xml:space="preserve">for Unplanned Interruptions </w:t>
      </w:r>
      <w:r w:rsidR="00462DDA">
        <w:t xml:space="preserve">of the assets transferred by Transpower for the most recent 10 years of available data, </w:t>
      </w:r>
      <w:r w:rsidR="00462DDA" w:rsidRPr="002F54CC">
        <w:t>where any daily SAI</w:t>
      </w:r>
      <w:r w:rsidR="00462DDA">
        <w:t>F</w:t>
      </w:r>
      <w:r w:rsidR="00462DDA" w:rsidRPr="002F54CC">
        <w:t xml:space="preserve">I Value </w:t>
      </w:r>
      <w:r w:rsidR="00EC24B8">
        <w:t xml:space="preserve">for Unplanned Interruptions </w:t>
      </w:r>
      <w:r w:rsidR="00462DDA" w:rsidRPr="002F54CC">
        <w:t xml:space="preserve">greater than the </w:t>
      </w:r>
      <w:r w:rsidR="00EC24B8">
        <w:t>Non-exempt EDB’s</w:t>
      </w:r>
      <w:r w:rsidR="00462DDA">
        <w:t xml:space="preserve"> SAIFI </w:t>
      </w:r>
      <w:r w:rsidR="00EC24B8">
        <w:t xml:space="preserve">Unplanned Boundary </w:t>
      </w:r>
      <w:r w:rsidR="00462DDA">
        <w:t>Value</w:t>
      </w:r>
      <w:r w:rsidR="00462DDA" w:rsidRPr="002F54CC">
        <w:t xml:space="preserve"> equals th</w:t>
      </w:r>
      <w:r w:rsidR="00462DDA">
        <w:t>at</w:t>
      </w:r>
      <w:r w:rsidR="00462DDA" w:rsidRPr="002F54CC">
        <w:t xml:space="preserve"> </w:t>
      </w:r>
      <w:r w:rsidR="00462DDA">
        <w:t>v</w:t>
      </w:r>
      <w:r w:rsidR="00462DDA" w:rsidRPr="002F54CC">
        <w:t>alue</w:t>
      </w:r>
      <w:r>
        <w:t>; and</w:t>
      </w:r>
    </w:p>
    <w:p w:rsidR="004F427A" w:rsidRDefault="004F427A" w:rsidP="00B87C77">
      <w:pPr>
        <w:pStyle w:val="Subclause2"/>
        <w:numPr>
          <w:ilvl w:val="0"/>
          <w:numId w:val="78"/>
        </w:numPr>
        <w:ind w:left="1418" w:hanging="709"/>
      </w:pPr>
      <w:r>
        <w:t>the SAIFI Unplanned Boundary Value of an Exempt EDB or Transpower is–</w:t>
      </w:r>
    </w:p>
    <w:p w:rsidR="00CD50E1" w:rsidRDefault="004F427A" w:rsidP="004F427A">
      <w:pPr>
        <w:pStyle w:val="Schnumberedtext"/>
        <w:numPr>
          <w:ilvl w:val="0"/>
          <w:numId w:val="0"/>
        </w:numPr>
        <w:ind w:left="2127" w:hanging="709"/>
      </w:pPr>
      <w:r>
        <w:t>(</w:t>
      </w:r>
      <w:proofErr w:type="spellStart"/>
      <w:r>
        <w:t>i</w:t>
      </w:r>
      <w:proofErr w:type="spellEnd"/>
      <w:r>
        <w:t>)</w:t>
      </w:r>
      <w:r>
        <w:tab/>
      </w:r>
      <w:proofErr w:type="gramStart"/>
      <w:r>
        <w:t>for</w:t>
      </w:r>
      <w:proofErr w:type="gramEnd"/>
      <w:r>
        <w:t xml:space="preserve"> an Exempt EDB, the 23</w:t>
      </w:r>
      <w:r w:rsidRPr="004F427A">
        <w:rPr>
          <w:vertAlign w:val="superscript"/>
        </w:rPr>
        <w:t>rd</w:t>
      </w:r>
      <w:r>
        <w:t xml:space="preserve"> highest SAIFI Value</w:t>
      </w:r>
      <w:r w:rsidR="00EC24B8" w:rsidRPr="00EC24B8">
        <w:t xml:space="preserve"> </w:t>
      </w:r>
      <w:r w:rsidR="00EC24B8">
        <w:t>for Unplanned Interruptions</w:t>
      </w:r>
      <w:r>
        <w:t xml:space="preserve"> of the Exempt EDB; and</w:t>
      </w:r>
    </w:p>
    <w:p w:rsidR="004F427A" w:rsidRDefault="004F427A" w:rsidP="004F427A">
      <w:pPr>
        <w:pStyle w:val="Schnumberedtext"/>
        <w:numPr>
          <w:ilvl w:val="0"/>
          <w:numId w:val="0"/>
        </w:numPr>
        <w:ind w:left="2127" w:hanging="709"/>
      </w:pPr>
      <w:r>
        <w:t>(ii)</w:t>
      </w:r>
      <w:r>
        <w:tab/>
      </w:r>
      <w:proofErr w:type="gramStart"/>
      <w:r>
        <w:t>for</w:t>
      </w:r>
      <w:proofErr w:type="gramEnd"/>
      <w:r>
        <w:t xml:space="preserve"> Transpower, </w:t>
      </w:r>
      <w:r w:rsidR="00F70FBD">
        <w:t>the SAIFI Unplanned Boundary Value of the Non-exempt EDB to which assets have been transferred</w:t>
      </w:r>
      <w:r>
        <w:t>.</w:t>
      </w:r>
    </w:p>
    <w:p w:rsidR="00CE4F6E" w:rsidRDefault="00B931B8" w:rsidP="00B931B8">
      <w:pPr>
        <w:pStyle w:val="Schnumberedtext"/>
        <w:spacing w:before="240"/>
        <w:ind w:hanging="720"/>
      </w:pPr>
      <w:bookmarkStart w:id="39" w:name="_Ref401156459"/>
      <w:r w:rsidRPr="002F54CC">
        <w:t xml:space="preserve">For the purposes of </w:t>
      </w:r>
      <w:r w:rsidRPr="004F616A">
        <w:t xml:space="preserve">paragraph </w:t>
      </w:r>
      <w:r w:rsidR="00113E4A">
        <w:fldChar w:fldCharType="begin"/>
      </w:r>
      <w:r w:rsidR="00113E4A">
        <w:instrText xml:space="preserve"> REF _Ref400100158 \r \h </w:instrText>
      </w:r>
      <w:r w:rsidR="00113E4A">
        <w:fldChar w:fldCharType="separate"/>
      </w:r>
      <w:r w:rsidR="00B56D36">
        <w:t>1</w:t>
      </w:r>
      <w:r w:rsidR="00113E4A">
        <w:fldChar w:fldCharType="end"/>
      </w:r>
      <w:r w:rsidR="00CE4F6E">
        <w:t>:</w:t>
      </w:r>
      <w:bookmarkEnd w:id="39"/>
    </w:p>
    <w:p w:rsidR="00CE4F6E" w:rsidRDefault="00B931B8" w:rsidP="00B87C77">
      <w:pPr>
        <w:pStyle w:val="Subclause2"/>
        <w:numPr>
          <w:ilvl w:val="0"/>
          <w:numId w:val="77"/>
        </w:numPr>
        <w:ind w:left="1418" w:hanging="709"/>
      </w:pPr>
      <w:r w:rsidRPr="004F616A">
        <w:t xml:space="preserve">the SAIFI Cap and SAIFI Collar must be adjusted by an amount equal to the percentage change in the SAIFI Target following recalculation in accordance with paragraph </w:t>
      </w:r>
      <w:r w:rsidR="00BE65E9">
        <w:t>5</w:t>
      </w:r>
      <w:r w:rsidR="00CE4F6E">
        <w:t>; and</w:t>
      </w:r>
    </w:p>
    <w:p w:rsidR="00B931B8" w:rsidRDefault="00CE4F6E" w:rsidP="00B87C77">
      <w:pPr>
        <w:pStyle w:val="Subclause2"/>
        <w:numPr>
          <w:ilvl w:val="0"/>
          <w:numId w:val="77"/>
        </w:numPr>
        <w:ind w:left="1418" w:hanging="709"/>
      </w:pPr>
      <w:proofErr w:type="gramStart"/>
      <w:r>
        <w:lastRenderedPageBreak/>
        <w:t>the</w:t>
      </w:r>
      <w:proofErr w:type="gramEnd"/>
      <w:r>
        <w:t xml:space="preserve"> SAI</w:t>
      </w:r>
      <w:r w:rsidR="00284481">
        <w:t>F</w:t>
      </w:r>
      <w:r>
        <w:t>I Limit equals the SAI</w:t>
      </w:r>
      <w:r w:rsidR="00284481">
        <w:t>F</w:t>
      </w:r>
      <w:r>
        <w:t>I Cap determined in accordance with subparagraph (a).</w:t>
      </w:r>
    </w:p>
    <w:p w:rsidR="007867C6" w:rsidRPr="00B87C77" w:rsidRDefault="007867C6" w:rsidP="007867C6">
      <w:pPr>
        <w:pStyle w:val="Para1"/>
        <w:tabs>
          <w:tab w:val="clear" w:pos="709"/>
        </w:tabs>
        <w:ind w:left="0" w:firstLine="0"/>
        <w:rPr>
          <w:i/>
          <w:color w:val="1F497D" w:themeColor="text2"/>
          <w:u w:val="single"/>
        </w:rPr>
      </w:pPr>
      <w:r w:rsidRPr="00B87C77">
        <w:rPr>
          <w:i/>
          <w:color w:val="1F497D" w:themeColor="text2"/>
          <w:u w:val="single"/>
        </w:rPr>
        <w:t>Alternative methodology following a Major Transaction</w:t>
      </w:r>
      <w:r w:rsidR="00B87C77">
        <w:rPr>
          <w:i/>
          <w:color w:val="1F497D" w:themeColor="text2"/>
          <w:u w:val="single"/>
        </w:rPr>
        <w:t>, Amalgamation or Merger</w:t>
      </w:r>
      <w:r w:rsidRPr="00B87C77">
        <w:rPr>
          <w:i/>
          <w:color w:val="1F497D" w:themeColor="text2"/>
          <w:u w:val="single"/>
        </w:rPr>
        <w:t xml:space="preserve"> with an Exempt EDB</w:t>
      </w:r>
      <w:r w:rsidR="00F55DE9">
        <w:rPr>
          <w:i/>
          <w:color w:val="1F497D" w:themeColor="text2"/>
          <w:u w:val="single"/>
        </w:rPr>
        <w:t>, or transfer of transmission assets from Transpower</w:t>
      </w:r>
    </w:p>
    <w:p w:rsidR="007867C6" w:rsidRDefault="00751C52" w:rsidP="007867C6">
      <w:pPr>
        <w:pStyle w:val="Para1"/>
        <w:tabs>
          <w:tab w:val="clear" w:pos="709"/>
        </w:tabs>
        <w:ind w:left="705" w:hanging="705"/>
        <w:rPr>
          <w:color w:val="1F497D" w:themeColor="text2"/>
          <w:u w:val="single"/>
        </w:rPr>
      </w:pPr>
      <w:r>
        <w:rPr>
          <w:color w:val="1F497D" w:themeColor="text2"/>
          <w:u w:val="single"/>
        </w:rPr>
        <w:t>12</w:t>
      </w:r>
      <w:r w:rsidR="007867C6" w:rsidRPr="00B87C77">
        <w:rPr>
          <w:color w:val="1F497D" w:themeColor="text2"/>
          <w:u w:val="single"/>
        </w:rPr>
        <w:t>.</w:t>
      </w:r>
      <w:r w:rsidR="007867C6" w:rsidRPr="00B87C77">
        <w:rPr>
          <w:color w:val="1F497D" w:themeColor="text2"/>
          <w:u w:val="single"/>
        </w:rPr>
        <w:tab/>
      </w:r>
      <w:r w:rsidR="005042F5">
        <w:rPr>
          <w:color w:val="1F497D" w:themeColor="text2"/>
          <w:u w:val="single"/>
        </w:rPr>
        <w:t>Following a Major Transaction, Amalgamation</w:t>
      </w:r>
      <w:r w:rsidR="000A2E89">
        <w:rPr>
          <w:color w:val="1F497D" w:themeColor="text2"/>
          <w:u w:val="single"/>
        </w:rPr>
        <w:t xml:space="preserve"> or</w:t>
      </w:r>
      <w:r w:rsidR="005042F5">
        <w:rPr>
          <w:color w:val="1F497D" w:themeColor="text2"/>
          <w:u w:val="single"/>
        </w:rPr>
        <w:t xml:space="preserve"> Merger</w:t>
      </w:r>
      <w:r w:rsidR="000A2E89">
        <w:rPr>
          <w:color w:val="1F497D" w:themeColor="text2"/>
          <w:u w:val="single"/>
        </w:rPr>
        <w:t>,</w:t>
      </w:r>
      <w:r w:rsidR="005042F5">
        <w:rPr>
          <w:color w:val="1F497D" w:themeColor="text2"/>
          <w:u w:val="single"/>
        </w:rPr>
        <w:t xml:space="preserve"> the Non-exempt EDBs </w:t>
      </w:r>
      <w:r w:rsidR="00F55DE9">
        <w:rPr>
          <w:color w:val="1F497D" w:themeColor="text2"/>
          <w:u w:val="single"/>
        </w:rPr>
        <w:t>party to the Major Transaction, Amalgamation or Merger</w:t>
      </w:r>
      <w:r w:rsidR="007867C6" w:rsidRPr="00B87C77">
        <w:rPr>
          <w:color w:val="1F497D" w:themeColor="text2"/>
          <w:u w:val="single"/>
        </w:rPr>
        <w:t xml:space="preserve"> may propose an alternative approach to </w:t>
      </w:r>
      <w:r w:rsidR="00F55DE9">
        <w:rPr>
          <w:color w:val="1F497D" w:themeColor="text2"/>
          <w:u w:val="single"/>
        </w:rPr>
        <w:t>adjusting the quality standards</w:t>
      </w:r>
      <w:r w:rsidR="007867C6" w:rsidRPr="00B87C77">
        <w:rPr>
          <w:color w:val="1F497D" w:themeColor="text2"/>
          <w:u w:val="single"/>
        </w:rPr>
        <w:t>, using any reasonable alternative methodology approved by the Commission.</w:t>
      </w:r>
    </w:p>
    <w:p w:rsidR="000A2E89" w:rsidRDefault="000A2E89" w:rsidP="000A2E89">
      <w:pPr>
        <w:pStyle w:val="Para1"/>
        <w:tabs>
          <w:tab w:val="clear" w:pos="709"/>
        </w:tabs>
        <w:ind w:left="705" w:hanging="705"/>
        <w:rPr>
          <w:color w:val="1F497D" w:themeColor="text2"/>
          <w:u w:val="single"/>
        </w:rPr>
      </w:pPr>
      <w:r>
        <w:rPr>
          <w:color w:val="1F497D" w:themeColor="text2"/>
          <w:u w:val="single"/>
        </w:rPr>
        <w:t>1</w:t>
      </w:r>
      <w:r w:rsidR="00F55DE9">
        <w:rPr>
          <w:color w:val="1F497D" w:themeColor="text2"/>
          <w:u w:val="single"/>
        </w:rPr>
        <w:t>3</w:t>
      </w:r>
      <w:r w:rsidRPr="00B87C77">
        <w:rPr>
          <w:color w:val="1F497D" w:themeColor="text2"/>
          <w:u w:val="single"/>
        </w:rPr>
        <w:t>.</w:t>
      </w:r>
      <w:r w:rsidRPr="00B87C77">
        <w:rPr>
          <w:color w:val="1F497D" w:themeColor="text2"/>
          <w:u w:val="single"/>
        </w:rPr>
        <w:tab/>
      </w:r>
      <w:r>
        <w:rPr>
          <w:color w:val="1F497D" w:themeColor="text2"/>
          <w:u w:val="single"/>
        </w:rPr>
        <w:t xml:space="preserve">Following a transfer of assets from Transpower, </w:t>
      </w:r>
      <w:r w:rsidR="00F55DE9">
        <w:rPr>
          <w:color w:val="1F497D" w:themeColor="text2"/>
          <w:u w:val="single"/>
        </w:rPr>
        <w:t>a</w:t>
      </w:r>
      <w:r>
        <w:rPr>
          <w:color w:val="1F497D" w:themeColor="text2"/>
          <w:u w:val="single"/>
        </w:rPr>
        <w:t xml:space="preserve"> Non-exempt EDB</w:t>
      </w:r>
      <w:r w:rsidRPr="00B87C77">
        <w:rPr>
          <w:color w:val="1F497D" w:themeColor="text2"/>
          <w:u w:val="single"/>
        </w:rPr>
        <w:t xml:space="preserve"> may propose an alternative approach </w:t>
      </w:r>
      <w:r w:rsidR="00F55DE9">
        <w:rPr>
          <w:color w:val="1F497D" w:themeColor="text2"/>
          <w:u w:val="single"/>
        </w:rPr>
        <w:t>to adjusting the quality standards</w:t>
      </w:r>
      <w:r w:rsidRPr="00B87C77">
        <w:rPr>
          <w:color w:val="1F497D" w:themeColor="text2"/>
          <w:u w:val="single"/>
        </w:rPr>
        <w:t>, using any reasonable alternative methodology approved by the Commission.</w:t>
      </w:r>
    </w:p>
    <w:p w:rsidR="00D141C9" w:rsidRDefault="00D141C9"/>
    <w:p w:rsidR="004F466D" w:rsidRDefault="004F466D"/>
    <w:p w:rsidR="005F7078" w:rsidRDefault="005F7078">
      <w:pPr>
        <w:rPr>
          <w:color w:val="000000"/>
          <w:szCs w:val="24"/>
          <w:lang w:eastAsia="en-NZ"/>
        </w:rPr>
      </w:pPr>
      <w:r>
        <w:br w:type="page"/>
      </w:r>
    </w:p>
    <w:p w:rsidR="005F7078" w:rsidRDefault="00867817" w:rsidP="00B87C77">
      <w:pPr>
        <w:pStyle w:val="Scheduletitles"/>
        <w:numPr>
          <w:ilvl w:val="0"/>
          <w:numId w:val="34"/>
        </w:numPr>
        <w:ind w:left="1418" w:hanging="1418"/>
      </w:pPr>
      <w:bookmarkStart w:id="40" w:name="_Ref392850247"/>
      <w:r w:rsidRPr="00867817">
        <w:lastRenderedPageBreak/>
        <w:t>Pass-through Costs and Recoverable Costs for a</w:t>
      </w:r>
      <w:r w:rsidR="0069105B">
        <w:t>n Assessment</w:t>
      </w:r>
      <w:r w:rsidRPr="00867817">
        <w:t xml:space="preserve"> Period</w:t>
      </w:r>
      <w:bookmarkEnd w:id="40"/>
    </w:p>
    <w:p w:rsidR="005F7078" w:rsidRDefault="00565544" w:rsidP="00B87C77">
      <w:pPr>
        <w:pStyle w:val="Schnumberedtext"/>
        <w:numPr>
          <w:ilvl w:val="0"/>
          <w:numId w:val="35"/>
        </w:numPr>
        <w:ind w:left="709" w:hanging="709"/>
      </w:pPr>
      <w:r w:rsidRPr="002F54CC">
        <w:t xml:space="preserve">The amount of each Pass-through Cost or Recoverable Cost </w:t>
      </w:r>
      <w:r w:rsidR="00EA5876">
        <w:t xml:space="preserve">passed through to </w:t>
      </w:r>
      <w:r w:rsidR="008906A3">
        <w:t xml:space="preserve">Pass-through </w:t>
      </w:r>
      <w:r w:rsidR="00EA5876">
        <w:t>Prices during an Assessment Period,</w:t>
      </w:r>
      <w:r w:rsidRPr="002F54CC">
        <w:t xml:space="preserve"> must:</w:t>
      </w:r>
    </w:p>
    <w:p w:rsidR="00565544" w:rsidRDefault="00565544" w:rsidP="00B87C77">
      <w:pPr>
        <w:pStyle w:val="Subclause2"/>
        <w:numPr>
          <w:ilvl w:val="0"/>
          <w:numId w:val="36"/>
        </w:numPr>
        <w:ind w:left="1418" w:hanging="709"/>
      </w:pPr>
      <w:r w:rsidRPr="002F54CC">
        <w:t>not have already been passed through to, or recovered from, Consumers or other parties in a previous Assessment Period;</w:t>
      </w:r>
    </w:p>
    <w:p w:rsidR="00565544" w:rsidRDefault="00565544" w:rsidP="00B87C77">
      <w:pPr>
        <w:pStyle w:val="Subclause2"/>
        <w:numPr>
          <w:ilvl w:val="0"/>
          <w:numId w:val="36"/>
        </w:numPr>
        <w:ind w:left="1418" w:hanging="709"/>
      </w:pPr>
      <w:proofErr w:type="gramStart"/>
      <w:r w:rsidRPr="002F54CC">
        <w:t>not</w:t>
      </w:r>
      <w:proofErr w:type="gramEnd"/>
      <w:r w:rsidRPr="002F54CC">
        <w:t xml:space="preserve"> otherwise </w:t>
      </w:r>
      <w:r w:rsidR="008906A3" w:rsidRPr="00D166BB">
        <w:rPr>
          <w:strike/>
        </w:rPr>
        <w:t>be</w:t>
      </w:r>
      <w:r w:rsidR="008906A3" w:rsidRPr="002F54CC">
        <w:t xml:space="preserve"> </w:t>
      </w:r>
      <w:r w:rsidR="00D166BB" w:rsidRPr="00D166BB">
        <w:rPr>
          <w:color w:val="1F497D" w:themeColor="text2"/>
          <w:u w:val="single"/>
        </w:rPr>
        <w:t>have been</w:t>
      </w:r>
      <w:r w:rsidR="00D166BB">
        <w:t xml:space="preserve"> </w:t>
      </w:r>
      <w:r w:rsidRPr="002F54CC">
        <w:t xml:space="preserve">recovered from Consumers or other parties, other than through </w:t>
      </w:r>
      <w:r w:rsidR="001C59FF">
        <w:t xml:space="preserve">Pass-through </w:t>
      </w:r>
      <w:r w:rsidRPr="002F54CC">
        <w:t>Prices</w:t>
      </w:r>
      <w:r w:rsidR="008906A3">
        <w:t>.</w:t>
      </w:r>
    </w:p>
    <w:p w:rsidR="005F57B0" w:rsidRDefault="001452A4" w:rsidP="00A444CF">
      <w:pPr>
        <w:pStyle w:val="Schnumberedtext"/>
        <w:ind w:left="709" w:hanging="709"/>
      </w:pPr>
      <w:r>
        <w:t>For the purposes of determining Pass-through Costs and Recoverable Costs:</w:t>
      </w:r>
    </w:p>
    <w:p w:rsidR="001452A4" w:rsidRDefault="001452A4" w:rsidP="00B87C77">
      <w:pPr>
        <w:pStyle w:val="Subclause2"/>
        <w:numPr>
          <w:ilvl w:val="0"/>
          <w:numId w:val="71"/>
        </w:numPr>
        <w:ind w:left="1418" w:hanging="709"/>
      </w:pPr>
      <w:r>
        <w:t>any Energy Efficiency and Demand Incentive Allowance must be approved in accordance with Schedule 5A;</w:t>
      </w:r>
    </w:p>
    <w:p w:rsidR="001452A4" w:rsidRDefault="001452A4" w:rsidP="00B87C77">
      <w:pPr>
        <w:pStyle w:val="Subclause2"/>
        <w:numPr>
          <w:ilvl w:val="0"/>
          <w:numId w:val="71"/>
        </w:numPr>
        <w:ind w:left="1418" w:hanging="709"/>
      </w:pPr>
      <w:r>
        <w:t>a Quality Incentive Adjustment must be calculated in accordance with Schedule 5B;</w:t>
      </w:r>
    </w:p>
    <w:p w:rsidR="001452A4" w:rsidRDefault="00E6471F" w:rsidP="00B87C77">
      <w:pPr>
        <w:pStyle w:val="Subclause2"/>
        <w:numPr>
          <w:ilvl w:val="0"/>
          <w:numId w:val="71"/>
        </w:numPr>
        <w:ind w:left="1418" w:hanging="709"/>
      </w:pPr>
      <w:r>
        <w:t xml:space="preserve">any </w:t>
      </w:r>
      <w:r w:rsidR="001452A4">
        <w:t xml:space="preserve">claw-back that applies </w:t>
      </w:r>
      <w:r>
        <w:t xml:space="preserve">to a Non-exempt EDB </w:t>
      </w:r>
      <w:r w:rsidR="001452A4">
        <w:t xml:space="preserve">for </w:t>
      </w:r>
      <w:r>
        <w:t>an</w:t>
      </w:r>
      <w:r w:rsidR="001452A4">
        <w:t xml:space="preserve"> Assessment Period is specified in Schedule 5C;</w:t>
      </w:r>
    </w:p>
    <w:p w:rsidR="001452A4" w:rsidRDefault="001452A4" w:rsidP="00B87C77">
      <w:pPr>
        <w:pStyle w:val="Subclause2"/>
        <w:numPr>
          <w:ilvl w:val="0"/>
          <w:numId w:val="71"/>
        </w:numPr>
        <w:ind w:left="1418" w:hanging="709"/>
      </w:pPr>
      <w:r>
        <w:t>the 2013-15 NPV Wash-up Allowance is specified in Schedule 5D;</w:t>
      </w:r>
    </w:p>
    <w:p w:rsidR="001452A4" w:rsidRDefault="00E6471F" w:rsidP="00B87C77">
      <w:pPr>
        <w:pStyle w:val="Subclause2"/>
        <w:numPr>
          <w:ilvl w:val="0"/>
          <w:numId w:val="71"/>
        </w:numPr>
        <w:ind w:left="1418" w:hanging="709"/>
      </w:pPr>
      <w:r>
        <w:t xml:space="preserve">the </w:t>
      </w:r>
      <w:r w:rsidR="00FE0BAC">
        <w:t xml:space="preserve">amount of charge </w:t>
      </w:r>
      <w:r w:rsidR="00536995">
        <w:t xml:space="preserve">described in paragraph 3.1.3(1)(b) of the IM Determination </w:t>
      </w:r>
      <w:r w:rsidR="00FE0BAC">
        <w:t xml:space="preserve">that a Non-exempt EDB has avoided liability to pay as a result of the EDB having purchased transmission assets from Transpower </w:t>
      </w:r>
      <w:r>
        <w:t>must be calculated in accordance with Schedule 5E;</w:t>
      </w:r>
    </w:p>
    <w:p w:rsidR="00E6471F" w:rsidRDefault="00E6471F" w:rsidP="00B87C77">
      <w:pPr>
        <w:pStyle w:val="Subclause2"/>
        <w:numPr>
          <w:ilvl w:val="0"/>
          <w:numId w:val="71"/>
        </w:numPr>
        <w:ind w:left="1418" w:hanging="709"/>
      </w:pPr>
      <w:r>
        <w:t xml:space="preserve">the Transmission </w:t>
      </w:r>
      <w:r w:rsidR="0063484B">
        <w:t xml:space="preserve">Asset </w:t>
      </w:r>
      <w:r>
        <w:t xml:space="preserve">Wash-up Adjustment is specified in Schedule 5F; </w:t>
      </w:r>
    </w:p>
    <w:p w:rsidR="00353E28" w:rsidRDefault="00E6471F" w:rsidP="00B87C77">
      <w:pPr>
        <w:pStyle w:val="Subclause2"/>
        <w:numPr>
          <w:ilvl w:val="0"/>
          <w:numId w:val="71"/>
        </w:numPr>
        <w:ind w:left="1418" w:hanging="709"/>
      </w:pPr>
      <w:r>
        <w:t xml:space="preserve">the forecast operating expenditure, forecast value of commissioned assets, and retention factor used for purposes of calculating the Opex Incentive </w:t>
      </w:r>
      <w:r w:rsidR="00D166BB" w:rsidRPr="00D166BB">
        <w:rPr>
          <w:strike/>
          <w:color w:val="1F497D" w:themeColor="text2"/>
        </w:rPr>
        <w:t>Adjustment</w:t>
      </w:r>
      <w:r w:rsidR="00D166BB">
        <w:t xml:space="preserve"> </w:t>
      </w:r>
      <w:r w:rsidR="00D166BB" w:rsidRPr="00D166BB">
        <w:rPr>
          <w:color w:val="1F497D" w:themeColor="text2"/>
          <w:u w:val="single"/>
        </w:rPr>
        <w:t>Amount</w:t>
      </w:r>
      <w:r w:rsidR="00D166BB">
        <w:t xml:space="preserve"> </w:t>
      </w:r>
      <w:r>
        <w:t xml:space="preserve">and Capex Incentive </w:t>
      </w:r>
      <w:r w:rsidRPr="00D166BB">
        <w:rPr>
          <w:strike/>
          <w:color w:val="1F497D" w:themeColor="text2"/>
        </w:rPr>
        <w:t>Adjustment</w:t>
      </w:r>
      <w:r>
        <w:t xml:space="preserve"> </w:t>
      </w:r>
      <w:r w:rsidR="00D166BB" w:rsidRPr="00D166BB">
        <w:rPr>
          <w:color w:val="1F497D" w:themeColor="text2"/>
          <w:u w:val="single"/>
        </w:rPr>
        <w:t>Amount</w:t>
      </w:r>
      <w:r w:rsidR="00D166BB">
        <w:t xml:space="preserve"> </w:t>
      </w:r>
      <w:r>
        <w:t>are specified in Schedule 5G</w:t>
      </w:r>
      <w:r w:rsidR="00353E28">
        <w:t>; and</w:t>
      </w:r>
    </w:p>
    <w:p w:rsidR="00E6471F" w:rsidRDefault="00353E28" w:rsidP="00B87C77">
      <w:pPr>
        <w:pStyle w:val="Subclause2"/>
        <w:numPr>
          <w:ilvl w:val="0"/>
          <w:numId w:val="71"/>
        </w:numPr>
        <w:ind w:left="1418" w:hanging="709"/>
      </w:pPr>
      <w:proofErr w:type="gramStart"/>
      <w:r>
        <w:t>any</w:t>
      </w:r>
      <w:proofErr w:type="gramEnd"/>
      <w:r>
        <w:t xml:space="preserve"> Extended Reserves Allowance must be approved in accordance with Schedule 5</w:t>
      </w:r>
      <w:r w:rsidR="006B1165">
        <w:t>H</w:t>
      </w:r>
      <w:r w:rsidR="00E6471F">
        <w:t>.</w:t>
      </w:r>
    </w:p>
    <w:p w:rsidR="003F6229" w:rsidRDefault="003F6229">
      <w:pPr>
        <w:rPr>
          <w:b/>
        </w:rPr>
      </w:pPr>
      <w:r>
        <w:br w:type="page"/>
      </w:r>
    </w:p>
    <w:p w:rsidR="008333C1" w:rsidRPr="008333C1" w:rsidRDefault="003F6229" w:rsidP="003F6229">
      <w:pPr>
        <w:pStyle w:val="Scheduletitles"/>
        <w:numPr>
          <w:ilvl w:val="0"/>
          <w:numId w:val="0"/>
        </w:numPr>
        <w:tabs>
          <w:tab w:val="left" w:pos="1418"/>
        </w:tabs>
        <w:ind w:left="1418" w:hanging="1418"/>
      </w:pPr>
      <w:r>
        <w:lastRenderedPageBreak/>
        <w:t>Schedule 5A:</w:t>
      </w:r>
      <w:r>
        <w:tab/>
      </w:r>
      <w:r w:rsidR="008333C1" w:rsidRPr="008333C1">
        <w:t xml:space="preserve">Approval of </w:t>
      </w:r>
      <w:r w:rsidR="006356F1">
        <w:t>E</w:t>
      </w:r>
      <w:r w:rsidR="008333C1" w:rsidRPr="008333C1">
        <w:t xml:space="preserve">nergy </w:t>
      </w:r>
      <w:r w:rsidR="006356F1">
        <w:t>E</w:t>
      </w:r>
      <w:r w:rsidR="008333C1" w:rsidRPr="008333C1">
        <w:t xml:space="preserve">fficiency and </w:t>
      </w:r>
      <w:r w:rsidR="006356F1">
        <w:t>D</w:t>
      </w:r>
      <w:r w:rsidR="008333C1" w:rsidRPr="008333C1">
        <w:t xml:space="preserve">emand </w:t>
      </w:r>
      <w:r w:rsidR="006356F1">
        <w:t>I</w:t>
      </w:r>
      <w:r w:rsidR="008333C1" w:rsidRPr="008333C1">
        <w:t xml:space="preserve">ncentive </w:t>
      </w:r>
      <w:r w:rsidR="006356F1">
        <w:t>A</w:t>
      </w:r>
      <w:r w:rsidR="00F17C7E">
        <w:t>llowances</w:t>
      </w:r>
    </w:p>
    <w:p w:rsidR="00C67AAE" w:rsidRDefault="00C67AAE" w:rsidP="00B87C77">
      <w:pPr>
        <w:pStyle w:val="Schnumberedtext"/>
        <w:numPr>
          <w:ilvl w:val="0"/>
          <w:numId w:val="82"/>
        </w:numPr>
        <w:ind w:hanging="720"/>
      </w:pPr>
      <w:r>
        <w:t xml:space="preserve">A Non-exempt EDBs may, no later than 50 Working Days following the end of the Assessment Period, submit an application for approval of an allowance for foregone revenue attributable to </w:t>
      </w:r>
      <w:r w:rsidRPr="00D166BB">
        <w:rPr>
          <w:strike/>
        </w:rPr>
        <w:t>an</w:t>
      </w:r>
      <w:r>
        <w:t xml:space="preserve"> energy efficiency </w:t>
      </w:r>
      <w:r w:rsidRPr="000A0716">
        <w:rPr>
          <w:strike/>
          <w:color w:val="1F497D" w:themeColor="text2"/>
        </w:rPr>
        <w:t>and</w:t>
      </w:r>
      <w:r w:rsidRPr="000A0716">
        <w:rPr>
          <w:color w:val="1F497D" w:themeColor="text2"/>
        </w:rPr>
        <w:t xml:space="preserve"> </w:t>
      </w:r>
      <w:r w:rsidR="000A0716" w:rsidRPr="000A0716">
        <w:rPr>
          <w:color w:val="1F497D" w:themeColor="text2"/>
          <w:u w:val="single"/>
        </w:rPr>
        <w:t>or</w:t>
      </w:r>
      <w:r w:rsidR="000A0716">
        <w:t xml:space="preserve"> </w:t>
      </w:r>
      <w:r>
        <w:t>demand side management initiative</w:t>
      </w:r>
      <w:r w:rsidR="00D166BB" w:rsidRPr="00D166BB">
        <w:rPr>
          <w:color w:val="1F497D" w:themeColor="text2"/>
          <w:u w:val="single"/>
        </w:rPr>
        <w:t>s</w:t>
      </w:r>
      <w:r>
        <w:t>, project</w:t>
      </w:r>
      <w:r w:rsidR="00D166BB" w:rsidRPr="00D166BB">
        <w:rPr>
          <w:color w:val="1F497D" w:themeColor="text2"/>
          <w:u w:val="single"/>
        </w:rPr>
        <w:t>s</w:t>
      </w:r>
      <w:r>
        <w:t xml:space="preserve">, or </w:t>
      </w:r>
      <w:proofErr w:type="spellStart"/>
      <w:r>
        <w:t>activit</w:t>
      </w:r>
      <w:r w:rsidRPr="00D166BB">
        <w:rPr>
          <w:strike/>
          <w:color w:val="1F497D" w:themeColor="text2"/>
        </w:rPr>
        <w:t>y</w:t>
      </w:r>
      <w:r w:rsidR="00D166BB" w:rsidRPr="00D166BB">
        <w:rPr>
          <w:color w:val="1F497D" w:themeColor="text2"/>
        </w:rPr>
        <w:t>ies</w:t>
      </w:r>
      <w:proofErr w:type="spellEnd"/>
      <w:r>
        <w:t xml:space="preserve"> undertaken–</w:t>
      </w:r>
    </w:p>
    <w:p w:rsidR="00C67AAE" w:rsidRDefault="00C67AAE" w:rsidP="00C67AAE">
      <w:pPr>
        <w:pStyle w:val="BodyText"/>
        <w:ind w:left="1418" w:hanging="709"/>
      </w:pPr>
      <w:r>
        <w:t>(a)</w:t>
      </w:r>
      <w:r>
        <w:tab/>
      </w:r>
      <w:proofErr w:type="gramStart"/>
      <w:r>
        <w:t>by</w:t>
      </w:r>
      <w:proofErr w:type="gramEnd"/>
      <w:r>
        <w:t xml:space="preserve"> or on behalf of </w:t>
      </w:r>
      <w:r w:rsidR="00560AB6">
        <w:t>the</w:t>
      </w:r>
      <w:r>
        <w:t xml:space="preserve"> Non-exempt EDB, either independently or in conjunction with any other persons (including generators, retailers, and consumers); and</w:t>
      </w:r>
    </w:p>
    <w:p w:rsidR="00C67AAE" w:rsidRDefault="00C67AAE" w:rsidP="00C67AAE">
      <w:pPr>
        <w:pStyle w:val="BodyText"/>
        <w:ind w:left="1418" w:hanging="709"/>
      </w:pPr>
      <w:r>
        <w:t>(b)</w:t>
      </w:r>
      <w:r>
        <w:tab/>
      </w:r>
      <w:r w:rsidRPr="00D166BB">
        <w:rPr>
          <w:strike/>
          <w:color w:val="1F497D" w:themeColor="text2"/>
        </w:rPr>
        <w:t>with the purpose and intent of reducing the costs of providing Electricity Distribution Services</w:t>
      </w:r>
      <w:r>
        <w:t xml:space="preserve"> by altering the pattern of consumption of energy, the source of energy, or the use of the EDB’s distribution system,</w:t>
      </w:r>
    </w:p>
    <w:p w:rsidR="00FF0D8F" w:rsidRDefault="00C67AAE" w:rsidP="006B1165">
      <w:pPr>
        <w:pStyle w:val="Schnumberedtext"/>
        <w:numPr>
          <w:ilvl w:val="0"/>
          <w:numId w:val="0"/>
        </w:numPr>
        <w:ind w:left="709"/>
      </w:pPr>
      <w:proofErr w:type="gramStart"/>
      <w:r w:rsidRPr="00D166BB">
        <w:rPr>
          <w:strike/>
          <w:color w:val="1F497D" w:themeColor="text2"/>
        </w:rPr>
        <w:t>but</w:t>
      </w:r>
      <w:proofErr w:type="gramEnd"/>
      <w:r w:rsidRPr="00D166BB">
        <w:rPr>
          <w:strike/>
          <w:color w:val="1F497D" w:themeColor="text2"/>
        </w:rPr>
        <w:t xml:space="preserve"> excluding any activities which expand the distribution system or its capacity or which renew, repair, or maintain it, or that are primarily tariff-based</w:t>
      </w:r>
      <w:r>
        <w:t>.</w:t>
      </w:r>
    </w:p>
    <w:p w:rsidR="008333C1" w:rsidRDefault="008333C1" w:rsidP="00A444CF">
      <w:pPr>
        <w:pStyle w:val="Schnumberedtext"/>
        <w:ind w:left="709" w:hanging="709"/>
      </w:pPr>
      <w:r w:rsidRPr="002F54CC">
        <w:t>The application for approval must include:</w:t>
      </w:r>
    </w:p>
    <w:p w:rsidR="008333C1" w:rsidRDefault="008333C1" w:rsidP="00B87C77">
      <w:pPr>
        <w:pStyle w:val="Subclause2"/>
        <w:numPr>
          <w:ilvl w:val="0"/>
          <w:numId w:val="37"/>
        </w:numPr>
        <w:ind w:left="1418" w:hanging="709"/>
      </w:pPr>
      <w:r w:rsidRPr="002F54CC">
        <w:t xml:space="preserve">a detailed description of the </w:t>
      </w:r>
      <w:r w:rsidR="00E01D02">
        <w:t>e</w:t>
      </w:r>
      <w:r w:rsidR="00E01D02" w:rsidRPr="002F54CC">
        <w:t xml:space="preserve">nergy </w:t>
      </w:r>
      <w:r w:rsidR="00E01D02">
        <w:t>e</w:t>
      </w:r>
      <w:r w:rsidR="00E01D02" w:rsidRPr="002F54CC">
        <w:t xml:space="preserve">fficiency </w:t>
      </w:r>
      <w:r w:rsidRPr="002F54CC">
        <w:t xml:space="preserve">or </w:t>
      </w:r>
      <w:r w:rsidR="00E01D02">
        <w:t>d</w:t>
      </w:r>
      <w:r w:rsidR="00E01D02" w:rsidRPr="002F54CC">
        <w:t xml:space="preserve">emand-side </w:t>
      </w:r>
      <w:r w:rsidR="00E01D02">
        <w:t>m</w:t>
      </w:r>
      <w:r w:rsidR="00E01D02" w:rsidRPr="002F54CC">
        <w:t xml:space="preserve">anagement </w:t>
      </w:r>
      <w:r w:rsidR="00E01D02">
        <w:t>i</w:t>
      </w:r>
      <w:r w:rsidR="00E01D02" w:rsidRPr="002F54CC">
        <w:t>nitiative</w:t>
      </w:r>
      <w:r w:rsidR="00CF1D93">
        <w:t>, program, or activity</w:t>
      </w:r>
      <w:r w:rsidRPr="002F54CC">
        <w:t xml:space="preserve"> for which the EDB seeks an Energy Efficiency and Demand Incentive </w:t>
      </w:r>
      <w:r w:rsidR="00F17C7E" w:rsidRPr="002F54CC">
        <w:t>A</w:t>
      </w:r>
      <w:r w:rsidR="00F17C7E">
        <w:t>llowance</w:t>
      </w:r>
      <w:r w:rsidRPr="002F54CC">
        <w:t>;</w:t>
      </w:r>
    </w:p>
    <w:p w:rsidR="008333C1" w:rsidRDefault="008333C1" w:rsidP="00B87C77">
      <w:pPr>
        <w:pStyle w:val="Subclause2"/>
        <w:numPr>
          <w:ilvl w:val="0"/>
          <w:numId w:val="37"/>
        </w:numPr>
        <w:ind w:left="1418" w:hanging="709"/>
      </w:pPr>
      <w:r w:rsidRPr="002F54CC">
        <w:t xml:space="preserve">reasonable estimates of the actual foregone quantities arising in the Assessment Period from each </w:t>
      </w:r>
      <w:r w:rsidR="00E01D02">
        <w:t>e</w:t>
      </w:r>
      <w:r w:rsidR="00E01D02" w:rsidRPr="002F54CC">
        <w:t xml:space="preserve">nergy </w:t>
      </w:r>
      <w:r w:rsidR="00E01D02">
        <w:t>e</w:t>
      </w:r>
      <w:r w:rsidR="00E01D02" w:rsidRPr="002F54CC">
        <w:t xml:space="preserve">fficiency </w:t>
      </w:r>
      <w:r w:rsidRPr="002F54CC">
        <w:t xml:space="preserve">or </w:t>
      </w:r>
      <w:r w:rsidR="00E01D02">
        <w:t>d</w:t>
      </w:r>
      <w:r w:rsidR="00E01D02" w:rsidRPr="002F54CC">
        <w:t xml:space="preserve">emand-side </w:t>
      </w:r>
      <w:r w:rsidR="00E01D02">
        <w:t>m</w:t>
      </w:r>
      <w:r w:rsidR="00E01D02" w:rsidRPr="002F54CC">
        <w:t xml:space="preserve">anagement </w:t>
      </w:r>
      <w:r w:rsidR="00E01D02">
        <w:t>i</w:t>
      </w:r>
      <w:r w:rsidR="00E01D02" w:rsidRPr="002F54CC">
        <w:t>nitiative</w:t>
      </w:r>
      <w:r w:rsidRPr="002F54CC">
        <w:t xml:space="preserve">, </w:t>
      </w:r>
      <w:r w:rsidR="00CF1D93">
        <w:t xml:space="preserve">program, or activity, </w:t>
      </w:r>
      <w:r w:rsidRPr="002F54CC">
        <w:t>as well as the data, calculations, and assumptions used to derive the estimate;</w:t>
      </w:r>
      <w:r w:rsidR="00053F4A">
        <w:t xml:space="preserve"> </w:t>
      </w:r>
    </w:p>
    <w:p w:rsidR="00E01D02" w:rsidRDefault="008333C1" w:rsidP="00B87C77">
      <w:pPr>
        <w:pStyle w:val="Subclause2"/>
        <w:numPr>
          <w:ilvl w:val="0"/>
          <w:numId w:val="37"/>
        </w:numPr>
        <w:ind w:left="1418" w:hanging="709"/>
      </w:pPr>
      <w:r w:rsidRPr="002F54CC">
        <w:t xml:space="preserve">a statement identifying other factors that may have </w:t>
      </w:r>
      <w:r w:rsidR="00F74E1F">
        <w:t xml:space="preserve">materially </w:t>
      </w:r>
      <w:r w:rsidRPr="002F54CC">
        <w:t xml:space="preserve">contributed to the foregone quantities and reasonable estimates </w:t>
      </w:r>
      <w:r w:rsidR="00F74E1F" w:rsidRPr="002F54CC">
        <w:t>o</w:t>
      </w:r>
      <w:r w:rsidR="00F74E1F">
        <w:t>f</w:t>
      </w:r>
      <w:r w:rsidR="00F74E1F" w:rsidRPr="002F54CC">
        <w:t xml:space="preserve"> </w:t>
      </w:r>
      <w:r w:rsidRPr="002F54CC">
        <w:t>their impact</w:t>
      </w:r>
      <w:r w:rsidR="009F22A2">
        <w:t>;</w:t>
      </w:r>
    </w:p>
    <w:p w:rsidR="00E01D02" w:rsidRDefault="00E01D02" w:rsidP="00B87C77">
      <w:pPr>
        <w:pStyle w:val="Subclause2"/>
        <w:numPr>
          <w:ilvl w:val="0"/>
          <w:numId w:val="37"/>
        </w:numPr>
        <w:ind w:left="1418" w:hanging="709"/>
      </w:pPr>
      <w:r>
        <w:t>the Price(s) that applied to the foregone quantities during the Assessment Period; and</w:t>
      </w:r>
    </w:p>
    <w:p w:rsidR="008333C1" w:rsidRDefault="00E01D02" w:rsidP="00B87C77">
      <w:pPr>
        <w:pStyle w:val="Subclause2"/>
        <w:numPr>
          <w:ilvl w:val="0"/>
          <w:numId w:val="37"/>
        </w:numPr>
        <w:ind w:left="1418" w:hanging="709"/>
      </w:pPr>
      <w:proofErr w:type="gramStart"/>
      <w:r>
        <w:t>an</w:t>
      </w:r>
      <w:proofErr w:type="gramEnd"/>
      <w:r>
        <w:t xml:space="preserve"> estimate of foregone revenue directly attributable to the e</w:t>
      </w:r>
      <w:r w:rsidRPr="002F54CC">
        <w:t xml:space="preserve">nergy </w:t>
      </w:r>
      <w:r>
        <w:t>e</w:t>
      </w:r>
      <w:r w:rsidRPr="002F54CC">
        <w:t xml:space="preserve">fficiency or </w:t>
      </w:r>
      <w:r>
        <w:t>d</w:t>
      </w:r>
      <w:r w:rsidRPr="002F54CC">
        <w:t xml:space="preserve">emand-side </w:t>
      </w:r>
      <w:r>
        <w:t>m</w:t>
      </w:r>
      <w:r w:rsidRPr="002F54CC">
        <w:t xml:space="preserve">anagement </w:t>
      </w:r>
      <w:r>
        <w:t>i</w:t>
      </w:r>
      <w:r w:rsidRPr="002F54CC">
        <w:t>nitiative</w:t>
      </w:r>
      <w:r w:rsidR="00CF1D93">
        <w:t>, program, or activity</w:t>
      </w:r>
      <w:r w:rsidR="00053F4A">
        <w:t>.</w:t>
      </w:r>
    </w:p>
    <w:p w:rsidR="004E6C55" w:rsidRDefault="004E6C55" w:rsidP="00A444CF">
      <w:pPr>
        <w:pStyle w:val="Schnumberedtext"/>
        <w:ind w:left="709" w:hanging="709"/>
      </w:pPr>
      <w:r>
        <w:t>The Commission may request additional information, independent evidence, director certificates, or audit statements relating to the</w:t>
      </w:r>
      <w:r w:rsidR="008578E8">
        <w:t xml:space="preserve"> information provided in the application or to the attribution of foregone revenue to the</w:t>
      </w:r>
      <w:r>
        <w:t xml:space="preserve"> </w:t>
      </w:r>
      <w:r w:rsidR="008578E8">
        <w:t>initiative, program, or activity.</w:t>
      </w:r>
      <w:r w:rsidR="00D166BB">
        <w:t xml:space="preserve">  </w:t>
      </w:r>
      <w:r w:rsidR="00D166BB" w:rsidRPr="00561958">
        <w:rPr>
          <w:color w:val="1F497D" w:themeColor="text2"/>
          <w:u w:val="single"/>
        </w:rPr>
        <w:t>Such requests shall take into account the likely cost of providing the information relativ</w:t>
      </w:r>
      <w:r w:rsidR="00561958" w:rsidRPr="00561958">
        <w:rPr>
          <w:color w:val="1F497D" w:themeColor="text2"/>
          <w:u w:val="single"/>
        </w:rPr>
        <w:t>e to the extent of the benefits identified.</w:t>
      </w:r>
      <w:r w:rsidR="00561958">
        <w:t xml:space="preserve"> </w:t>
      </w:r>
    </w:p>
    <w:p w:rsidR="008333C1" w:rsidRDefault="00E0750E" w:rsidP="00A444CF">
      <w:pPr>
        <w:pStyle w:val="Schnumberedtext"/>
        <w:ind w:left="709" w:hanging="709"/>
      </w:pPr>
      <w:r w:rsidRPr="002F54CC">
        <w:t>The Commission may approve, by notice in writing to the Non-exempt EDB, an amount</w:t>
      </w:r>
      <w:r w:rsidR="001A0016" w:rsidRPr="002D6B87">
        <w:t>, as determined by the Commission,</w:t>
      </w:r>
      <w:r w:rsidRPr="002F54CC">
        <w:t xml:space="preserve"> equal to the foregone revenue in the Assessment Period </w:t>
      </w:r>
      <w:r w:rsidR="001A0016">
        <w:t>and adjusted for the time-value of money using the Cost of Debt</w:t>
      </w:r>
      <w:r w:rsidR="006701EF">
        <w:t>.</w:t>
      </w:r>
    </w:p>
    <w:p w:rsidR="00E0750E" w:rsidRPr="00E07DE1" w:rsidRDefault="00E0750E" w:rsidP="00E07DE1">
      <w:pPr>
        <w:pStyle w:val="Schnumberedtext"/>
        <w:ind w:left="709" w:hanging="709"/>
        <w:rPr>
          <w:i/>
        </w:rPr>
      </w:pPr>
      <w:r w:rsidRPr="002F54CC">
        <w:lastRenderedPageBreak/>
        <w:t xml:space="preserve">The amount approved by the Commission is an ‘energy efficiency and demand incentive </w:t>
      </w:r>
      <w:r w:rsidR="00F17C7E" w:rsidRPr="002F54CC">
        <w:t>a</w:t>
      </w:r>
      <w:r w:rsidR="00F17C7E">
        <w:t>llowance</w:t>
      </w:r>
      <w:r w:rsidR="00F17C7E" w:rsidRPr="002F54CC">
        <w:t xml:space="preserve">’ </w:t>
      </w:r>
      <w:r w:rsidRPr="002F54CC">
        <w:t xml:space="preserve">Recoverable Cost under </w:t>
      </w:r>
      <w:proofErr w:type="spellStart"/>
      <w:r w:rsidRPr="00403BE7">
        <w:t>subclause</w:t>
      </w:r>
      <w:proofErr w:type="spellEnd"/>
      <w:r w:rsidRPr="00403BE7">
        <w:t xml:space="preserve"> 3.1.3(1</w:t>
      </w:r>
      <w:proofErr w:type="gramStart"/>
      <w:r w:rsidRPr="00403BE7">
        <w:t>)(</w:t>
      </w:r>
      <w:proofErr w:type="gramEnd"/>
      <w:r w:rsidR="004C6CC3" w:rsidRPr="00403BE7">
        <w:t>m</w:t>
      </w:r>
      <w:r w:rsidRPr="00403BE7">
        <w:t>)</w:t>
      </w:r>
      <w:r w:rsidRPr="002F54CC">
        <w:t xml:space="preserve"> of the IM Determination</w:t>
      </w:r>
      <w:r w:rsidR="00560AB6">
        <w:t xml:space="preserve"> </w:t>
      </w:r>
      <w:r w:rsidR="00F62296">
        <w:t>in</w:t>
      </w:r>
      <w:r w:rsidRPr="002F54CC">
        <w:t xml:space="preserve"> the Assessment Period following its approval</w:t>
      </w:r>
      <w:r w:rsidR="006701EF">
        <w:t>.</w:t>
      </w:r>
    </w:p>
    <w:p w:rsidR="003F6229" w:rsidRDefault="003F6229">
      <w:pPr>
        <w:rPr>
          <w:i/>
          <w:szCs w:val="24"/>
        </w:rPr>
      </w:pPr>
      <w:r>
        <w:br w:type="page"/>
      </w:r>
    </w:p>
    <w:p w:rsidR="00E0750E" w:rsidRPr="002F54CC" w:rsidRDefault="003F6229" w:rsidP="003F6229">
      <w:pPr>
        <w:pStyle w:val="Scheduletitles"/>
        <w:numPr>
          <w:ilvl w:val="0"/>
          <w:numId w:val="0"/>
        </w:numPr>
        <w:tabs>
          <w:tab w:val="left" w:pos="1418"/>
        </w:tabs>
        <w:ind w:left="1418" w:hanging="1418"/>
      </w:pPr>
      <w:r>
        <w:lastRenderedPageBreak/>
        <w:t>Schedule 5B:</w:t>
      </w:r>
      <w:r>
        <w:tab/>
      </w:r>
      <w:r w:rsidR="00E0750E" w:rsidRPr="002F54CC">
        <w:t>How to calculate the Quality Incentive Adjustment</w:t>
      </w:r>
    </w:p>
    <w:p w:rsidR="00561958" w:rsidRPr="00CA361B" w:rsidRDefault="00E0750E" w:rsidP="00B87C77">
      <w:pPr>
        <w:pStyle w:val="Schnumberedtext"/>
        <w:numPr>
          <w:ilvl w:val="0"/>
          <w:numId w:val="63"/>
        </w:numPr>
        <w:ind w:hanging="720"/>
        <w:rPr>
          <w:color w:val="1F497D" w:themeColor="text2"/>
          <w:u w:val="single"/>
        </w:rPr>
      </w:pPr>
      <w:r w:rsidRPr="002F54CC">
        <w:t>The Quality Incentive Adjustment must be calculate</w:t>
      </w:r>
      <w:r w:rsidR="00B551BE">
        <w:t>d</w:t>
      </w:r>
      <w:r w:rsidRPr="002F54CC">
        <w:t xml:space="preserve"> within 50 Working Days following the expiration of the Assessment Period</w:t>
      </w:r>
      <w:r w:rsidR="002E0404" w:rsidRPr="002E0404">
        <w:t xml:space="preserve"> </w:t>
      </w:r>
      <w:r w:rsidR="002E0404">
        <w:t xml:space="preserve">in accordance </w:t>
      </w:r>
      <w:r w:rsidR="002E0404" w:rsidRPr="00C054BB">
        <w:t xml:space="preserve">with paragraph </w:t>
      </w:r>
      <w:r w:rsidR="002E0404">
        <w:fldChar w:fldCharType="begin"/>
      </w:r>
      <w:r w:rsidR="002E0404">
        <w:instrText xml:space="preserve"> REF _Ref399758474 \r \h </w:instrText>
      </w:r>
      <w:r w:rsidR="002E0404">
        <w:fldChar w:fldCharType="separate"/>
      </w:r>
      <w:r w:rsidR="00B56D36">
        <w:t>4</w:t>
      </w:r>
      <w:r w:rsidR="002E0404">
        <w:fldChar w:fldCharType="end"/>
      </w:r>
      <w:r w:rsidR="002E0404">
        <w:t>, adjusted for the time-value of money using the Cost of Debt</w:t>
      </w:r>
      <w:r w:rsidRPr="002F54CC">
        <w:t xml:space="preserve">, and </w:t>
      </w:r>
      <w:r w:rsidR="00B53A70">
        <w:t>is a Recoverable Cost</w:t>
      </w:r>
      <w:r w:rsidRPr="002F54CC">
        <w:t xml:space="preserve"> </w:t>
      </w:r>
      <w:r w:rsidR="00F62296">
        <w:t>in</w:t>
      </w:r>
      <w:r w:rsidR="009F329F" w:rsidRPr="002F54CC">
        <w:t xml:space="preserve"> </w:t>
      </w:r>
      <w:r w:rsidRPr="002F54CC">
        <w:t>the Assessment Period following that in which it was calculated.</w:t>
      </w:r>
      <w:r w:rsidR="00CA361B">
        <w:t xml:space="preserve">  </w:t>
      </w:r>
      <w:r w:rsidR="00561958" w:rsidRPr="00CA361B">
        <w:rPr>
          <w:color w:val="1F497D" w:themeColor="text2"/>
          <w:u w:val="single"/>
        </w:rPr>
        <w:t>The Quality Incentive Adjustment is a function of-</w:t>
      </w:r>
    </w:p>
    <w:p w:rsidR="00561958" w:rsidRPr="00561958" w:rsidRDefault="00561958" w:rsidP="00561958">
      <w:pPr>
        <w:pStyle w:val="Schnumberedtext"/>
        <w:numPr>
          <w:ilvl w:val="0"/>
          <w:numId w:val="0"/>
        </w:numPr>
        <w:ind w:left="1418" w:hanging="698"/>
        <w:rPr>
          <w:color w:val="1F497D" w:themeColor="text2"/>
          <w:u w:val="single"/>
        </w:rPr>
      </w:pPr>
      <w:r w:rsidRPr="00561958">
        <w:rPr>
          <w:color w:val="1F497D" w:themeColor="text2"/>
          <w:u w:val="single"/>
        </w:rPr>
        <w:t>(a)</w:t>
      </w:r>
      <w:r w:rsidRPr="00561958">
        <w:rPr>
          <w:color w:val="1F497D" w:themeColor="text2"/>
          <w:u w:val="single"/>
        </w:rPr>
        <w:tab/>
      </w:r>
      <w:proofErr w:type="gramStart"/>
      <w:r w:rsidRPr="00561958">
        <w:rPr>
          <w:color w:val="1F497D" w:themeColor="text2"/>
          <w:u w:val="single"/>
        </w:rPr>
        <w:t>a</w:t>
      </w:r>
      <w:proofErr w:type="gramEnd"/>
      <w:r w:rsidRPr="00561958">
        <w:rPr>
          <w:color w:val="1F497D" w:themeColor="text2"/>
          <w:u w:val="single"/>
        </w:rPr>
        <w:t xml:space="preserve"> </w:t>
      </w:r>
      <w:r w:rsidR="00BA0E3E">
        <w:rPr>
          <w:color w:val="1F497D" w:themeColor="text2"/>
          <w:u w:val="single"/>
        </w:rPr>
        <w:t>N</w:t>
      </w:r>
      <w:r w:rsidRPr="00561958">
        <w:rPr>
          <w:color w:val="1F497D" w:themeColor="text2"/>
          <w:u w:val="single"/>
        </w:rPr>
        <w:t xml:space="preserve">on-exempt EDB’s performance above or below </w:t>
      </w:r>
      <w:r w:rsidR="00BA0E3E">
        <w:rPr>
          <w:color w:val="1F497D" w:themeColor="text2"/>
          <w:u w:val="single"/>
        </w:rPr>
        <w:t>its</w:t>
      </w:r>
      <w:r w:rsidRPr="00561958">
        <w:rPr>
          <w:color w:val="1F497D" w:themeColor="text2"/>
          <w:u w:val="single"/>
        </w:rPr>
        <w:t xml:space="preserve"> </w:t>
      </w:r>
      <w:r w:rsidR="00BA0E3E">
        <w:rPr>
          <w:color w:val="1F497D" w:themeColor="text2"/>
          <w:u w:val="single"/>
        </w:rPr>
        <w:t>SAIDI Target and SAIFI target</w:t>
      </w:r>
      <w:r w:rsidRPr="00561958">
        <w:rPr>
          <w:color w:val="1F497D" w:themeColor="text2"/>
          <w:u w:val="single"/>
        </w:rPr>
        <w:t xml:space="preserve">, up to the caps or collars specified; </w:t>
      </w:r>
    </w:p>
    <w:p w:rsidR="00561958" w:rsidRPr="00561958" w:rsidRDefault="00561958" w:rsidP="00561958">
      <w:pPr>
        <w:pStyle w:val="Schnumberedtext"/>
        <w:numPr>
          <w:ilvl w:val="0"/>
          <w:numId w:val="0"/>
        </w:numPr>
        <w:ind w:left="1418" w:hanging="698"/>
        <w:rPr>
          <w:color w:val="1F497D" w:themeColor="text2"/>
          <w:u w:val="single"/>
        </w:rPr>
      </w:pPr>
      <w:r w:rsidRPr="00561958">
        <w:rPr>
          <w:color w:val="1F497D" w:themeColor="text2"/>
          <w:u w:val="single"/>
        </w:rPr>
        <w:t>(b)</w:t>
      </w:r>
      <w:r w:rsidRPr="00561958">
        <w:rPr>
          <w:color w:val="1F497D" w:themeColor="text2"/>
          <w:u w:val="single"/>
        </w:rPr>
        <w:tab/>
      </w:r>
      <w:proofErr w:type="gramStart"/>
      <w:r w:rsidRPr="00561958">
        <w:rPr>
          <w:color w:val="1F497D" w:themeColor="text2"/>
          <w:u w:val="single"/>
        </w:rPr>
        <w:t>revenue</w:t>
      </w:r>
      <w:proofErr w:type="gramEnd"/>
      <w:r w:rsidRPr="00561958">
        <w:rPr>
          <w:color w:val="1F497D" w:themeColor="text2"/>
          <w:u w:val="single"/>
        </w:rPr>
        <w:t xml:space="preserve"> at risk; and </w:t>
      </w:r>
    </w:p>
    <w:p w:rsidR="00561958" w:rsidRPr="00561958" w:rsidRDefault="00561958" w:rsidP="00561958">
      <w:pPr>
        <w:pStyle w:val="Schnumberedtext"/>
        <w:numPr>
          <w:ilvl w:val="0"/>
          <w:numId w:val="0"/>
        </w:numPr>
        <w:ind w:left="1418" w:hanging="698"/>
        <w:rPr>
          <w:color w:val="1F497D" w:themeColor="text2"/>
          <w:u w:val="single"/>
        </w:rPr>
      </w:pPr>
      <w:r w:rsidRPr="00561958">
        <w:rPr>
          <w:color w:val="1F497D" w:themeColor="text2"/>
          <w:u w:val="single"/>
        </w:rPr>
        <w:t>(c)</w:t>
      </w:r>
      <w:r w:rsidRPr="00561958">
        <w:rPr>
          <w:color w:val="1F497D" w:themeColor="text2"/>
          <w:u w:val="single"/>
        </w:rPr>
        <w:tab/>
      </w:r>
      <w:proofErr w:type="gramStart"/>
      <w:r w:rsidRPr="00561958">
        <w:rPr>
          <w:color w:val="1F497D" w:themeColor="text2"/>
          <w:u w:val="single"/>
        </w:rPr>
        <w:t>incentive</w:t>
      </w:r>
      <w:proofErr w:type="gramEnd"/>
      <w:r w:rsidRPr="00561958">
        <w:rPr>
          <w:color w:val="1F497D" w:themeColor="text2"/>
          <w:u w:val="single"/>
        </w:rPr>
        <w:t xml:space="preserve"> rate,</w:t>
      </w:r>
    </w:p>
    <w:p w:rsidR="00561958" w:rsidRPr="00561958" w:rsidRDefault="00561958" w:rsidP="00561958">
      <w:pPr>
        <w:pStyle w:val="Schnumberedtext"/>
        <w:numPr>
          <w:ilvl w:val="0"/>
          <w:numId w:val="0"/>
        </w:numPr>
        <w:ind w:left="1418" w:hanging="698"/>
        <w:rPr>
          <w:color w:val="1F497D" w:themeColor="text2"/>
          <w:u w:val="single"/>
        </w:rPr>
      </w:pPr>
      <w:proofErr w:type="gramStart"/>
      <w:r w:rsidRPr="00561958">
        <w:rPr>
          <w:color w:val="1F497D" w:themeColor="text2"/>
          <w:u w:val="single"/>
        </w:rPr>
        <w:t>calculated</w:t>
      </w:r>
      <w:proofErr w:type="gramEnd"/>
      <w:r w:rsidRPr="00561958">
        <w:rPr>
          <w:color w:val="1F497D" w:themeColor="text2"/>
          <w:u w:val="single"/>
        </w:rPr>
        <w:t xml:space="preserve"> in accordance wit</w:t>
      </w:r>
      <w:r w:rsidR="00BA0E3E">
        <w:rPr>
          <w:color w:val="1F497D" w:themeColor="text2"/>
          <w:u w:val="single"/>
        </w:rPr>
        <w:t>h the method specified in this S</w:t>
      </w:r>
      <w:r w:rsidRPr="00561958">
        <w:rPr>
          <w:color w:val="1F497D" w:themeColor="text2"/>
          <w:u w:val="single"/>
        </w:rPr>
        <w:t xml:space="preserve">chedule.  </w:t>
      </w:r>
    </w:p>
    <w:p w:rsidR="006E012F" w:rsidRDefault="006E012F" w:rsidP="00B87C77">
      <w:pPr>
        <w:pStyle w:val="Schnumberedtext"/>
        <w:numPr>
          <w:ilvl w:val="0"/>
          <w:numId w:val="63"/>
        </w:numPr>
        <w:ind w:hanging="720"/>
      </w:pPr>
      <w:r>
        <w:t>The SAIDI Target, SAIDI Collar, and SAIDI Cap for each Non-exempt EDB</w:t>
      </w:r>
      <w:r w:rsidRPr="00561958">
        <w:rPr>
          <w:strike/>
          <w:color w:val="1F497D" w:themeColor="text2"/>
        </w:rPr>
        <w:t>S</w:t>
      </w:r>
      <w:r>
        <w:t xml:space="preserve"> during the Regulatory Period 1 April 2015 to 31 March 2020</w:t>
      </w:r>
      <w:r w:rsidR="00113E4A">
        <w:t>, subject to Schedule 4B,</w:t>
      </w:r>
      <w:r>
        <w:t xml:space="preserve"> are as set out in Table 5B.1.</w:t>
      </w:r>
    </w:p>
    <w:p w:rsidR="006E012F" w:rsidRDefault="006E012F" w:rsidP="006E012F">
      <w:pPr>
        <w:pStyle w:val="SchTableheading"/>
      </w:pPr>
      <w:r w:rsidRPr="00AF4817">
        <w:t xml:space="preserve">Table </w:t>
      </w:r>
      <w:r w:rsidR="003C4B79">
        <w:t>5B</w:t>
      </w:r>
      <w:r w:rsidRPr="00AF4817">
        <w:t>.1: SAIDI</w:t>
      </w:r>
      <w:r>
        <w:t xml:space="preserve"> quality incentive measures for the</w:t>
      </w:r>
      <w:r>
        <w:br/>
        <w:t>Regulatory Period 1 April 2015 – 31 March 2020</w:t>
      </w:r>
    </w:p>
    <w:tbl>
      <w:tblPr>
        <w:tblStyle w:val="SchTabletext"/>
        <w:tblW w:w="5402" w:type="dxa"/>
        <w:tblInd w:w="942" w:type="dxa"/>
        <w:tblLook w:val="04A0" w:firstRow="1" w:lastRow="0" w:firstColumn="1" w:lastColumn="0" w:noHBand="0" w:noVBand="1"/>
      </w:tblPr>
      <w:tblGrid>
        <w:gridCol w:w="1919"/>
        <w:gridCol w:w="1173"/>
        <w:gridCol w:w="1155"/>
        <w:gridCol w:w="1155"/>
      </w:tblGrid>
      <w:tr w:rsidR="006E012F" w:rsidRPr="00E06A77" w:rsidTr="006E01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9" w:type="dxa"/>
            <w:vAlign w:val="bottom"/>
          </w:tcPr>
          <w:p w:rsidR="006E012F" w:rsidRPr="00E06A77" w:rsidRDefault="006E012F" w:rsidP="007C1970">
            <w:pPr>
              <w:pStyle w:val="Tablebodytext"/>
              <w:rPr>
                <w:sz w:val="20"/>
                <w:szCs w:val="20"/>
              </w:rPr>
            </w:pPr>
            <w:r>
              <w:rPr>
                <w:sz w:val="20"/>
                <w:szCs w:val="20"/>
              </w:rPr>
              <w:t>Non-exempt EDB</w:t>
            </w:r>
          </w:p>
        </w:tc>
        <w:tc>
          <w:tcPr>
            <w:tcW w:w="1173" w:type="dxa"/>
            <w:vAlign w:val="bottom"/>
          </w:tcPr>
          <w:p w:rsidR="006E012F" w:rsidRDefault="006E012F" w:rsidP="007C197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SAIDI Target</w:t>
            </w:r>
          </w:p>
        </w:tc>
        <w:tc>
          <w:tcPr>
            <w:tcW w:w="1155" w:type="dxa"/>
            <w:vAlign w:val="bottom"/>
          </w:tcPr>
          <w:p w:rsidR="006E012F" w:rsidRDefault="006E012F" w:rsidP="007C197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SAIDI Collar</w:t>
            </w:r>
          </w:p>
        </w:tc>
        <w:tc>
          <w:tcPr>
            <w:tcW w:w="1155" w:type="dxa"/>
            <w:vAlign w:val="bottom"/>
          </w:tcPr>
          <w:p w:rsidR="006E012F" w:rsidRDefault="006E012F" w:rsidP="007C197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SAIDI Cap</w:t>
            </w:r>
          </w:p>
        </w:tc>
      </w:tr>
      <w:tr w:rsidR="00C51334" w:rsidRPr="00E06A77"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C51334" w:rsidRPr="007554A4" w:rsidRDefault="00C51334" w:rsidP="00FE0BAC">
            <w:pPr>
              <w:keepNext/>
              <w:keepLines/>
              <w:spacing w:before="60" w:line="264" w:lineRule="auto"/>
              <w:rPr>
                <w:color w:val="000000"/>
                <w:sz w:val="20"/>
              </w:rPr>
            </w:pPr>
            <w:r>
              <w:rPr>
                <w:sz w:val="20"/>
                <w:lang w:eastAsia="en-US"/>
              </w:rPr>
              <w:t>–</w:t>
            </w:r>
          </w:p>
        </w:tc>
        <w:tc>
          <w:tcPr>
            <w:tcW w:w="1173"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color w:val="000000"/>
                <w:sz w:val="20"/>
              </w:rPr>
            </w:pPr>
            <w:r>
              <w:rPr>
                <w:sz w:val="20"/>
                <w:lang w:eastAsia="en-US"/>
              </w:rPr>
              <w:t>–</w:t>
            </w:r>
          </w:p>
        </w:tc>
      </w:tr>
      <w:tr w:rsidR="00C51334"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r w:rsidR="00C51334" w:rsidTr="006E012F">
        <w:trPr>
          <w:trHeight w:val="340"/>
        </w:trPr>
        <w:tc>
          <w:tcPr>
            <w:cnfStyle w:val="001000000000" w:firstRow="0" w:lastRow="0" w:firstColumn="1" w:lastColumn="0" w:oddVBand="0" w:evenVBand="0" w:oddHBand="0" w:evenHBand="0" w:firstRowFirstColumn="0" w:firstRowLastColumn="0" w:lastRowFirstColumn="0" w:lastRowLastColumn="0"/>
            <w:tcW w:w="1919"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173"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c>
          <w:tcPr>
            <w:tcW w:w="1155" w:type="dxa"/>
          </w:tcPr>
          <w:p w:rsidR="00C51334" w:rsidRPr="007554A4"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rFonts w:eastAsia="Calibri" w:cs="Calibri"/>
                <w:color w:val="000000"/>
                <w:sz w:val="20"/>
                <w:lang w:eastAsia="en-US"/>
              </w:rPr>
            </w:pPr>
            <w:r>
              <w:rPr>
                <w:sz w:val="20"/>
                <w:lang w:eastAsia="en-US"/>
              </w:rPr>
              <w:t>–</w:t>
            </w:r>
          </w:p>
        </w:tc>
      </w:tr>
    </w:tbl>
    <w:p w:rsidR="006E012F" w:rsidRDefault="006E012F" w:rsidP="006E012F">
      <w:pPr>
        <w:pStyle w:val="Schnumberedtext"/>
        <w:numPr>
          <w:ilvl w:val="0"/>
          <w:numId w:val="0"/>
        </w:numPr>
      </w:pPr>
    </w:p>
    <w:p w:rsidR="006E012F" w:rsidRDefault="006E012F" w:rsidP="00B87C77">
      <w:pPr>
        <w:pStyle w:val="Schnumberedtext"/>
        <w:numPr>
          <w:ilvl w:val="0"/>
          <w:numId w:val="63"/>
        </w:numPr>
        <w:ind w:hanging="720"/>
      </w:pPr>
      <w:r>
        <w:lastRenderedPageBreak/>
        <w:t>The SAIFI Target, SAIFI Collar, and SAIFI Cap for each Non-exempt EDB</w:t>
      </w:r>
      <w:r w:rsidRPr="00561958">
        <w:rPr>
          <w:strike/>
          <w:color w:val="1F497D" w:themeColor="text2"/>
        </w:rPr>
        <w:t>S</w:t>
      </w:r>
      <w:r>
        <w:t xml:space="preserve"> during the Regulatory Period 1 April 2015 to 31 March 2020</w:t>
      </w:r>
      <w:r w:rsidR="00113E4A">
        <w:t>, subject to Schedule 4B,</w:t>
      </w:r>
      <w:r>
        <w:t xml:space="preserve"> are as set out in Table 5B.2.</w:t>
      </w:r>
    </w:p>
    <w:p w:rsidR="006E012F" w:rsidRDefault="006E012F" w:rsidP="006E012F">
      <w:pPr>
        <w:pStyle w:val="SchTableheading"/>
      </w:pPr>
      <w:r w:rsidRPr="00AF4817">
        <w:t xml:space="preserve">Table </w:t>
      </w:r>
      <w:r w:rsidR="003C4B79">
        <w:t>5B.2</w:t>
      </w:r>
      <w:r w:rsidRPr="00AF4817">
        <w:t>: SAI</w:t>
      </w:r>
      <w:r>
        <w:t>F</w:t>
      </w:r>
      <w:r w:rsidRPr="00AF4817">
        <w:t>I</w:t>
      </w:r>
      <w:r>
        <w:t xml:space="preserve"> quality incentive measures for the</w:t>
      </w:r>
      <w:r>
        <w:br/>
        <w:t>Regulatory Period 1 April 2015 – 31 March 2020</w:t>
      </w:r>
    </w:p>
    <w:tbl>
      <w:tblPr>
        <w:tblStyle w:val="SchTabletext"/>
        <w:tblW w:w="6647" w:type="dxa"/>
        <w:tblInd w:w="1504" w:type="dxa"/>
        <w:tblLook w:val="04A0" w:firstRow="1" w:lastRow="0" w:firstColumn="1" w:lastColumn="0" w:noHBand="0" w:noVBand="1"/>
      </w:tblPr>
      <w:tblGrid>
        <w:gridCol w:w="2552"/>
        <w:gridCol w:w="1383"/>
        <w:gridCol w:w="1356"/>
        <w:gridCol w:w="1356"/>
      </w:tblGrid>
      <w:tr w:rsidR="00113E4A" w:rsidRPr="00E06A77" w:rsidTr="00113E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vAlign w:val="bottom"/>
          </w:tcPr>
          <w:p w:rsidR="00113E4A" w:rsidRPr="00E06A77" w:rsidRDefault="00113E4A" w:rsidP="007C1970">
            <w:pPr>
              <w:pStyle w:val="Tablebodytext"/>
              <w:rPr>
                <w:sz w:val="20"/>
                <w:szCs w:val="20"/>
              </w:rPr>
            </w:pPr>
            <w:r>
              <w:rPr>
                <w:sz w:val="20"/>
                <w:szCs w:val="20"/>
              </w:rPr>
              <w:t>Non-exempt EDB</w:t>
            </w:r>
          </w:p>
        </w:tc>
        <w:tc>
          <w:tcPr>
            <w:tcW w:w="1383" w:type="dxa"/>
            <w:vAlign w:val="bottom"/>
          </w:tcPr>
          <w:p w:rsidR="00113E4A" w:rsidRDefault="00113E4A" w:rsidP="007C197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SAIFI Target</w:t>
            </w:r>
          </w:p>
        </w:tc>
        <w:tc>
          <w:tcPr>
            <w:tcW w:w="1356" w:type="dxa"/>
            <w:vAlign w:val="bottom"/>
          </w:tcPr>
          <w:p w:rsidR="00113E4A" w:rsidRDefault="00113E4A" w:rsidP="007C197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SAIFI Collar</w:t>
            </w:r>
          </w:p>
        </w:tc>
        <w:tc>
          <w:tcPr>
            <w:tcW w:w="1356" w:type="dxa"/>
            <w:vAlign w:val="bottom"/>
          </w:tcPr>
          <w:p w:rsidR="00113E4A" w:rsidRDefault="00113E4A" w:rsidP="007C1970">
            <w:pPr>
              <w:pStyle w:val="Table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SAIFI Cap</w:t>
            </w:r>
          </w:p>
        </w:tc>
      </w:tr>
      <w:tr w:rsidR="00C51334" w:rsidRPr="00E06A77"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rsidR="00C51334" w:rsidRPr="007554A4" w:rsidRDefault="00C51334" w:rsidP="00FE0BAC">
            <w:pPr>
              <w:keepNext/>
              <w:keepLines/>
              <w:spacing w:before="60" w:line="264" w:lineRule="auto"/>
              <w:rPr>
                <w:color w:val="000000"/>
                <w:sz w:val="20"/>
              </w:rPr>
            </w:pPr>
            <w:r>
              <w:rPr>
                <w:sz w:val="20"/>
                <w:lang w:eastAsia="en-US"/>
              </w:rPr>
              <w:t>–</w:t>
            </w:r>
          </w:p>
        </w:tc>
        <w:tc>
          <w:tcPr>
            <w:tcW w:w="1383" w:type="dxa"/>
          </w:tcPr>
          <w:p w:rsidR="00C5133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r w:rsidR="00C51334" w:rsidTr="00113E4A">
        <w:trPr>
          <w:trHeight w:val="340"/>
        </w:trPr>
        <w:tc>
          <w:tcPr>
            <w:cnfStyle w:val="001000000000" w:firstRow="0" w:lastRow="0" w:firstColumn="1" w:lastColumn="0" w:oddVBand="0" w:evenVBand="0" w:oddHBand="0" w:evenHBand="0" w:firstRowFirstColumn="0" w:firstRowLastColumn="0" w:lastRowFirstColumn="0" w:lastRowLastColumn="0"/>
            <w:tcW w:w="2552" w:type="dxa"/>
          </w:tcPr>
          <w:p w:rsidR="00C51334" w:rsidRPr="007554A4" w:rsidRDefault="00C51334" w:rsidP="00FE0BAC">
            <w:pPr>
              <w:keepNext/>
              <w:keepLines/>
              <w:spacing w:before="60" w:line="264" w:lineRule="auto"/>
              <w:rPr>
                <w:rFonts w:eastAsia="Calibri" w:cs="Calibri"/>
                <w:color w:val="000000"/>
                <w:sz w:val="20"/>
                <w:lang w:eastAsia="en-US"/>
              </w:rPr>
            </w:pPr>
            <w:r>
              <w:rPr>
                <w:sz w:val="20"/>
                <w:lang w:eastAsia="en-US"/>
              </w:rPr>
              <w:t>–</w:t>
            </w:r>
          </w:p>
        </w:tc>
        <w:tc>
          <w:tcPr>
            <w:tcW w:w="1383"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c>
          <w:tcPr>
            <w:tcW w:w="1356" w:type="dxa"/>
          </w:tcPr>
          <w:p w:rsidR="00C51334" w:rsidRPr="007554A4" w:rsidDel="001B6C2C" w:rsidRDefault="00C51334" w:rsidP="007C1970">
            <w:pPr>
              <w:keepNext/>
              <w:keepLines/>
              <w:spacing w:before="60" w:line="264" w:lineRule="auto"/>
              <w:cnfStyle w:val="000000000000" w:firstRow="0" w:lastRow="0" w:firstColumn="0" w:lastColumn="0" w:oddVBand="0" w:evenVBand="0" w:oddHBand="0" w:evenHBand="0" w:firstRowFirstColumn="0" w:firstRowLastColumn="0" w:lastRowFirstColumn="0" w:lastRowLastColumn="0"/>
              <w:rPr>
                <w:sz w:val="20"/>
                <w:lang w:eastAsia="en-US"/>
              </w:rPr>
            </w:pPr>
            <w:r>
              <w:rPr>
                <w:sz w:val="20"/>
                <w:lang w:eastAsia="en-US"/>
              </w:rPr>
              <w:t>–</w:t>
            </w:r>
          </w:p>
        </w:tc>
      </w:tr>
    </w:tbl>
    <w:p w:rsidR="006E012F" w:rsidRDefault="006E012F" w:rsidP="006E012F">
      <w:pPr>
        <w:pStyle w:val="Schnumberedtext"/>
        <w:numPr>
          <w:ilvl w:val="0"/>
          <w:numId w:val="0"/>
        </w:numPr>
      </w:pPr>
    </w:p>
    <w:p w:rsidR="00E0750E" w:rsidRDefault="00E0750E" w:rsidP="00A444CF">
      <w:pPr>
        <w:pStyle w:val="Schnumberedtext"/>
        <w:ind w:left="709" w:hanging="709"/>
      </w:pPr>
      <w:bookmarkStart w:id="41" w:name="_Ref399758474"/>
      <w:r w:rsidRPr="002F54CC">
        <w:t>The Quality Incentive Adjustment is calculated in accordance with the following formula–</w:t>
      </w:r>
      <w:bookmarkEnd w:id="41"/>
    </w:p>
    <w:p w:rsidR="00E0750E" w:rsidRPr="00FF0D8F" w:rsidRDefault="0067630A" w:rsidP="00E0750E">
      <w:pPr>
        <w:pStyle w:val="Scheduletext"/>
        <w:ind w:left="709"/>
        <w:rPr>
          <w:rFonts w:ascii="Times New Roman" w:hAnsi="Times New Roman"/>
        </w:rPr>
      </w:pPr>
      <m:oMathPara>
        <m:oMathParaPr>
          <m:jc m:val="center"/>
        </m:oMathParaPr>
        <m:oMath>
          <m:sSub>
            <m:sSubPr>
              <m:ctrlPr>
                <w:rPr>
                  <w:rFonts w:ascii="Cambria Math" w:hAnsi="Cambria Math"/>
                </w:rPr>
              </m:ctrlPr>
            </m:sSubPr>
            <m:e>
              <m:r>
                <w:rPr>
                  <w:rFonts w:ascii="Cambria Math" w:hAnsi="Cambria Math"/>
                </w:rPr>
                <m:t>S</m:t>
              </m:r>
            </m:e>
            <m:sub>
              <m:r>
                <w:rPr>
                  <w:rFonts w:ascii="Cambria Math" w:hAnsi="Cambria Math"/>
                </w:rPr>
                <m:t>TOTAL</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SAIDI</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SAIFI</m:t>
              </m:r>
            </m:sub>
          </m:sSub>
        </m:oMath>
      </m:oMathPara>
    </w:p>
    <w:p w:rsidR="00E0750E" w:rsidRDefault="00113E4A" w:rsidP="00E0750E">
      <w:pPr>
        <w:pStyle w:val="Scheduletext"/>
        <w:ind w:firstLine="709"/>
      </w:pPr>
      <w:proofErr w:type="gramStart"/>
      <w:r>
        <w:t>where-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433"/>
      </w:tblGrid>
      <w:tr w:rsidR="00E0750E" w:rsidRPr="002F54CC" w:rsidTr="00C32AD5">
        <w:tc>
          <w:tcPr>
            <w:tcW w:w="992" w:type="dxa"/>
          </w:tcPr>
          <w:p w:rsidR="00E0750E" w:rsidRPr="00FF0D8F" w:rsidRDefault="00E0750E" w:rsidP="00C32AD5">
            <w:pPr>
              <w:pStyle w:val="BodyText"/>
              <w:ind w:left="-44"/>
              <w:rPr>
                <w:rFonts w:asciiTheme="minorHAnsi" w:hAnsiTheme="minorHAnsi"/>
                <w:i/>
                <w:szCs w:val="24"/>
              </w:rPr>
            </w:pPr>
            <w:r w:rsidRPr="00FF0D8F">
              <w:rPr>
                <w:rFonts w:asciiTheme="minorHAnsi" w:hAnsiTheme="minorHAnsi"/>
                <w:i/>
                <w:szCs w:val="24"/>
              </w:rPr>
              <w:t>S</w:t>
            </w:r>
            <w:r w:rsidRPr="00FF0D8F">
              <w:rPr>
                <w:rFonts w:asciiTheme="minorHAnsi" w:hAnsiTheme="minorHAnsi"/>
                <w:i/>
                <w:szCs w:val="24"/>
                <w:vertAlign w:val="subscript"/>
              </w:rPr>
              <w:t>TOTAL</w:t>
            </w:r>
          </w:p>
        </w:tc>
        <w:tc>
          <w:tcPr>
            <w:tcW w:w="7433" w:type="dxa"/>
          </w:tcPr>
          <w:p w:rsidR="00E0750E" w:rsidRPr="002F54CC" w:rsidRDefault="00E0750E" w:rsidP="00C32AD5">
            <w:pPr>
              <w:pStyle w:val="BodyText"/>
              <w:rPr>
                <w:szCs w:val="24"/>
              </w:rPr>
            </w:pPr>
            <w:r w:rsidRPr="002F54CC">
              <w:rPr>
                <w:szCs w:val="24"/>
              </w:rPr>
              <w:t>is the Quality Incentive Adjustment applicable as a Recoverable Cost</w:t>
            </w:r>
            <w:r w:rsidR="00787367">
              <w:rPr>
                <w:szCs w:val="24"/>
              </w:rPr>
              <w:t>;</w:t>
            </w:r>
          </w:p>
        </w:tc>
      </w:tr>
      <w:tr w:rsidR="00E0750E" w:rsidRPr="002F54CC" w:rsidTr="00C32AD5">
        <w:tc>
          <w:tcPr>
            <w:tcW w:w="992" w:type="dxa"/>
          </w:tcPr>
          <w:p w:rsidR="00E0750E" w:rsidRPr="00FF0D8F" w:rsidRDefault="00E0750E" w:rsidP="00C32AD5">
            <w:pPr>
              <w:pStyle w:val="BodyText"/>
              <w:ind w:left="-44"/>
              <w:rPr>
                <w:rFonts w:asciiTheme="minorHAnsi" w:hAnsiTheme="minorHAnsi"/>
                <w:i/>
                <w:szCs w:val="24"/>
              </w:rPr>
            </w:pPr>
            <w:r w:rsidRPr="00FF0D8F">
              <w:rPr>
                <w:rFonts w:asciiTheme="minorHAnsi" w:hAnsiTheme="minorHAnsi"/>
                <w:i/>
                <w:szCs w:val="24"/>
              </w:rPr>
              <w:t>S</w:t>
            </w:r>
            <w:r w:rsidRPr="00FF0D8F">
              <w:rPr>
                <w:rFonts w:asciiTheme="minorHAnsi" w:hAnsiTheme="minorHAnsi"/>
                <w:i/>
                <w:szCs w:val="24"/>
                <w:vertAlign w:val="subscript"/>
              </w:rPr>
              <w:t>SAIDI</w:t>
            </w:r>
          </w:p>
        </w:tc>
        <w:tc>
          <w:tcPr>
            <w:tcW w:w="7433" w:type="dxa"/>
          </w:tcPr>
          <w:p w:rsidR="00E0750E" w:rsidRPr="00AF4817" w:rsidRDefault="00E0750E" w:rsidP="00FF0D8F">
            <w:pPr>
              <w:pStyle w:val="BodyText"/>
              <w:rPr>
                <w:szCs w:val="24"/>
              </w:rPr>
            </w:pPr>
            <w:r w:rsidRPr="00AF4817">
              <w:rPr>
                <w:szCs w:val="24"/>
              </w:rPr>
              <w:t xml:space="preserve">is the amount calculated in accordance with paragraph </w:t>
            </w:r>
            <w:r w:rsidR="00FF0D8F">
              <w:rPr>
                <w:szCs w:val="24"/>
              </w:rPr>
              <w:fldChar w:fldCharType="begin"/>
            </w:r>
            <w:r w:rsidR="00FF0D8F">
              <w:rPr>
                <w:szCs w:val="24"/>
              </w:rPr>
              <w:instrText xml:space="preserve"> REF _Ref399758503 \r \h </w:instrText>
            </w:r>
            <w:r w:rsidR="00FF0D8F">
              <w:rPr>
                <w:szCs w:val="24"/>
              </w:rPr>
            </w:r>
            <w:r w:rsidR="00FF0D8F">
              <w:rPr>
                <w:szCs w:val="24"/>
              </w:rPr>
              <w:fldChar w:fldCharType="separate"/>
            </w:r>
            <w:r w:rsidR="00B56D36">
              <w:rPr>
                <w:szCs w:val="24"/>
              </w:rPr>
              <w:t>5</w:t>
            </w:r>
            <w:r w:rsidR="00FF0D8F">
              <w:rPr>
                <w:szCs w:val="24"/>
              </w:rPr>
              <w:fldChar w:fldCharType="end"/>
            </w:r>
            <w:r w:rsidR="00787367">
              <w:rPr>
                <w:szCs w:val="24"/>
              </w:rPr>
              <w:t>; and</w:t>
            </w:r>
          </w:p>
        </w:tc>
      </w:tr>
      <w:tr w:rsidR="00E0750E" w:rsidRPr="002F54CC" w:rsidTr="00C32AD5">
        <w:tc>
          <w:tcPr>
            <w:tcW w:w="992" w:type="dxa"/>
          </w:tcPr>
          <w:p w:rsidR="00E0750E" w:rsidRPr="00FF0D8F" w:rsidRDefault="00E0750E" w:rsidP="00C32AD5">
            <w:pPr>
              <w:pStyle w:val="BodyText"/>
              <w:ind w:left="-44"/>
              <w:rPr>
                <w:rFonts w:asciiTheme="minorHAnsi" w:hAnsiTheme="minorHAnsi"/>
                <w:i/>
                <w:szCs w:val="24"/>
              </w:rPr>
            </w:pPr>
            <w:r w:rsidRPr="00FF0D8F">
              <w:rPr>
                <w:rFonts w:asciiTheme="minorHAnsi" w:hAnsiTheme="minorHAnsi"/>
                <w:i/>
                <w:szCs w:val="24"/>
              </w:rPr>
              <w:t>S</w:t>
            </w:r>
            <w:r w:rsidRPr="00FF0D8F">
              <w:rPr>
                <w:rFonts w:asciiTheme="minorHAnsi" w:hAnsiTheme="minorHAnsi"/>
                <w:i/>
                <w:szCs w:val="24"/>
                <w:vertAlign w:val="subscript"/>
              </w:rPr>
              <w:t>SAIFI</w:t>
            </w:r>
          </w:p>
        </w:tc>
        <w:tc>
          <w:tcPr>
            <w:tcW w:w="7433" w:type="dxa"/>
          </w:tcPr>
          <w:p w:rsidR="00E0750E" w:rsidRPr="00AF4817" w:rsidRDefault="00E0750E" w:rsidP="007E09B4">
            <w:pPr>
              <w:pStyle w:val="BodyText"/>
              <w:rPr>
                <w:szCs w:val="24"/>
              </w:rPr>
            </w:pPr>
            <w:proofErr w:type="gramStart"/>
            <w:r w:rsidRPr="00AF4817">
              <w:rPr>
                <w:szCs w:val="24"/>
              </w:rPr>
              <w:t>is</w:t>
            </w:r>
            <w:proofErr w:type="gramEnd"/>
            <w:r w:rsidRPr="00AF4817">
              <w:rPr>
                <w:szCs w:val="24"/>
              </w:rPr>
              <w:t xml:space="preserve"> the amount </w:t>
            </w:r>
            <w:r w:rsidR="00B731CA">
              <w:rPr>
                <w:szCs w:val="24"/>
              </w:rPr>
              <w:t xml:space="preserve">calculated </w:t>
            </w:r>
            <w:r w:rsidRPr="00AF4817">
              <w:rPr>
                <w:szCs w:val="24"/>
              </w:rPr>
              <w:t xml:space="preserve">in accordance with paragraph </w:t>
            </w:r>
            <w:r w:rsidR="007E09B4">
              <w:rPr>
                <w:szCs w:val="24"/>
              </w:rPr>
              <w:fldChar w:fldCharType="begin"/>
            </w:r>
            <w:r w:rsidR="007E09B4">
              <w:rPr>
                <w:szCs w:val="24"/>
              </w:rPr>
              <w:instrText xml:space="preserve"> REF _Ref399758528 \r \h </w:instrText>
            </w:r>
            <w:r w:rsidR="007E09B4">
              <w:rPr>
                <w:szCs w:val="24"/>
              </w:rPr>
            </w:r>
            <w:r w:rsidR="007E09B4">
              <w:rPr>
                <w:szCs w:val="24"/>
              </w:rPr>
              <w:fldChar w:fldCharType="separate"/>
            </w:r>
            <w:r w:rsidR="00B56D36">
              <w:rPr>
                <w:szCs w:val="24"/>
              </w:rPr>
              <w:t>7</w:t>
            </w:r>
            <w:r w:rsidR="007E09B4">
              <w:rPr>
                <w:szCs w:val="24"/>
              </w:rPr>
              <w:fldChar w:fldCharType="end"/>
            </w:r>
            <w:r w:rsidR="00787367">
              <w:rPr>
                <w:szCs w:val="24"/>
              </w:rPr>
              <w:t>.</w:t>
            </w:r>
          </w:p>
        </w:tc>
      </w:tr>
    </w:tbl>
    <w:p w:rsidR="00E0750E" w:rsidRPr="00AF4817" w:rsidRDefault="00E0750E" w:rsidP="00A444CF">
      <w:pPr>
        <w:pStyle w:val="Schnumberedtext"/>
        <w:spacing w:before="240"/>
        <w:ind w:left="709" w:hanging="709"/>
      </w:pPr>
      <w:bookmarkStart w:id="42" w:name="_Ref399758503"/>
      <w:r w:rsidRPr="002F54CC">
        <w:t xml:space="preserve">For the purposes of </w:t>
      </w:r>
      <w:r w:rsidRPr="00AF4817">
        <w:t xml:space="preserve">paragraph </w:t>
      </w:r>
      <w:r w:rsidR="003F6229">
        <w:fldChar w:fldCharType="begin"/>
      </w:r>
      <w:r w:rsidR="003F6229">
        <w:instrText xml:space="preserve"> REF _Ref399758474 \r \h </w:instrText>
      </w:r>
      <w:r w:rsidR="003F6229">
        <w:fldChar w:fldCharType="separate"/>
      </w:r>
      <w:r w:rsidR="00B56D36">
        <w:t>4</w:t>
      </w:r>
      <w:r w:rsidR="003F6229">
        <w:fldChar w:fldCharType="end"/>
      </w:r>
      <w:r w:rsidRPr="00AF4817">
        <w:t>–</w:t>
      </w:r>
      <w:bookmarkEnd w:id="42"/>
    </w:p>
    <w:p w:rsidR="00E0750E" w:rsidRDefault="00E0750E" w:rsidP="00B87C77">
      <w:pPr>
        <w:pStyle w:val="Subclause2"/>
        <w:numPr>
          <w:ilvl w:val="0"/>
          <w:numId w:val="54"/>
        </w:numPr>
        <w:ind w:left="1418" w:hanging="709"/>
      </w:pPr>
      <w:r w:rsidRPr="00AF4817">
        <w:lastRenderedPageBreak/>
        <w:t>S</w:t>
      </w:r>
      <w:r w:rsidRPr="00AF4817">
        <w:rPr>
          <w:vertAlign w:val="subscript"/>
        </w:rPr>
        <w:t>SAIDI</w:t>
      </w:r>
      <w:r w:rsidRPr="00AF4817">
        <w:t xml:space="preserve"> is the amount, subject to subparagraph (b) and (c), calculated</w:t>
      </w:r>
      <w:r w:rsidRPr="002F54CC">
        <w:t xml:space="preserve"> in accordance with the following formula</w:t>
      </w:r>
      <w:r>
        <w:t xml:space="preserve"> – </w:t>
      </w:r>
    </w:p>
    <w:p w:rsidR="00E0750E" w:rsidRPr="00E0750E" w:rsidRDefault="0067630A" w:rsidP="00E0750E">
      <w:pPr>
        <w:pStyle w:val="Scheduletext"/>
        <w:ind w:left="709"/>
      </w:pPr>
      <m:oMathPara>
        <m:oMathParaPr>
          <m:jc m:val="left"/>
        </m:oMathParaPr>
        <m:oMath>
          <m:sSub>
            <m:sSubPr>
              <m:ctrlPr>
                <w:rPr>
                  <w:rFonts w:ascii="Cambria Math" w:hAnsi="Cambria Math"/>
                </w:rPr>
              </m:ctrlPr>
            </m:sSubPr>
            <m:e>
              <m:r>
                <w:rPr>
                  <w:rFonts w:ascii="Cambria Math" w:hAnsi="Cambria Math"/>
                </w:rPr>
                <m:t>S</m:t>
              </m:r>
            </m:e>
            <m:sub>
              <m:r>
                <w:rPr>
                  <w:rFonts w:ascii="Cambria Math" w:hAnsi="Cambria Math"/>
                </w:rPr>
                <m:t>SAIDI</m:t>
              </m:r>
            </m:sub>
          </m:sSub>
          <m:r>
            <m:rPr>
              <m:sty m:val="p"/>
            </m:rPr>
            <w:rPr>
              <w:rFonts w:ascii="Cambria Math" w:hAnsi="Cambria Math"/>
            </w:rPr>
            <m:t>=</m:t>
          </m:r>
          <m:sSub>
            <m:sSubPr>
              <m:ctrlPr>
                <w:rPr>
                  <w:rFonts w:ascii="Cambria Math" w:hAnsi="Cambria Math"/>
                </w:rPr>
              </m:ctrlPr>
            </m:sSubPr>
            <m:e>
              <m:r>
                <w:rPr>
                  <w:rFonts w:ascii="Cambria Math" w:hAnsi="Cambria Math"/>
                </w:rPr>
                <m:t>SAIDI</m:t>
              </m:r>
            </m:e>
            <m:sub>
              <m:r>
                <w:rPr>
                  <w:rFonts w:ascii="Cambria Math" w:hAnsi="Cambria Math"/>
                </w:rPr>
                <m:t>IR</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SAIDI</m:t>
                  </m:r>
                </m:e>
                <m:sub>
                  <m:r>
                    <w:rPr>
                      <w:rFonts w:ascii="Cambria Math" w:hAnsi="Cambria Math"/>
                    </w:rPr>
                    <m:t>target</m:t>
                  </m:r>
                </m:sub>
              </m:sSub>
              <m:r>
                <m:rPr>
                  <m:sty m:val="p"/>
                </m:rPr>
                <w:rPr>
                  <w:rFonts w:ascii="Cambria Math" w:hAnsi="Cambria Math"/>
                </w:rPr>
                <m:t>-</m:t>
              </m:r>
              <m:sSub>
                <m:sSubPr>
                  <m:ctrlPr>
                    <w:rPr>
                      <w:rFonts w:ascii="Cambria Math" w:hAnsi="Cambria Math"/>
                    </w:rPr>
                  </m:ctrlPr>
                </m:sSubPr>
                <m:e>
                  <m:r>
                    <w:rPr>
                      <w:rFonts w:ascii="Cambria Math" w:hAnsi="Cambria Math"/>
                    </w:rPr>
                    <m:t>SAIDI</m:t>
                  </m:r>
                </m:e>
                <m:sub>
                  <m:r>
                    <w:rPr>
                      <w:rFonts w:ascii="Cambria Math" w:hAnsi="Cambria Math"/>
                    </w:rPr>
                    <m:t>assess</m:t>
                  </m:r>
                </m:sub>
              </m:sSub>
            </m:e>
          </m:d>
        </m:oMath>
      </m:oMathPara>
    </w:p>
    <w:p w:rsidR="00E0750E" w:rsidRDefault="00113E4A" w:rsidP="00E0750E">
      <w:pPr>
        <w:pStyle w:val="Scheduletext"/>
        <w:ind w:left="709"/>
      </w:pPr>
      <w:proofErr w:type="gramStart"/>
      <w:r>
        <w:t>where-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7285"/>
      </w:tblGrid>
      <w:tr w:rsidR="00E0750E" w:rsidRPr="002F54CC" w:rsidTr="00EA5E93">
        <w:tc>
          <w:tcPr>
            <w:tcW w:w="1140" w:type="dxa"/>
          </w:tcPr>
          <w:p w:rsidR="00E0750E" w:rsidRPr="002F54CC" w:rsidRDefault="00E0750E" w:rsidP="003C0120">
            <w:pPr>
              <w:pStyle w:val="BodyText"/>
              <w:rPr>
                <w:i/>
                <w:szCs w:val="24"/>
              </w:rPr>
            </w:pPr>
            <w:r w:rsidRPr="002F54CC">
              <w:rPr>
                <w:i/>
                <w:szCs w:val="24"/>
              </w:rPr>
              <w:t>SAIDI</w:t>
            </w:r>
            <w:r w:rsidRPr="002F54CC">
              <w:rPr>
                <w:i/>
                <w:szCs w:val="24"/>
                <w:vertAlign w:val="subscript"/>
              </w:rPr>
              <w:t>IR</w:t>
            </w:r>
          </w:p>
        </w:tc>
        <w:tc>
          <w:tcPr>
            <w:tcW w:w="7285" w:type="dxa"/>
          </w:tcPr>
          <w:p w:rsidR="00E0750E" w:rsidRPr="002F54CC" w:rsidRDefault="00E0750E" w:rsidP="007E09B4">
            <w:pPr>
              <w:pStyle w:val="BodyText"/>
              <w:rPr>
                <w:szCs w:val="24"/>
              </w:rPr>
            </w:pPr>
            <w:r w:rsidRPr="002F54CC">
              <w:rPr>
                <w:szCs w:val="24"/>
              </w:rPr>
              <w:t xml:space="preserve">is the amount calculated </w:t>
            </w:r>
            <w:r w:rsidR="00B551BE">
              <w:rPr>
                <w:szCs w:val="24"/>
              </w:rPr>
              <w:t xml:space="preserve">in accordance with </w:t>
            </w:r>
            <w:r w:rsidR="00B551BE" w:rsidRPr="00AF4817">
              <w:rPr>
                <w:szCs w:val="24"/>
              </w:rPr>
              <w:t xml:space="preserve">paragraph </w:t>
            </w:r>
            <w:r w:rsidR="00B551BE" w:rsidRPr="00561958">
              <w:rPr>
                <w:strike/>
                <w:color w:val="1F497D" w:themeColor="text2"/>
                <w:szCs w:val="24"/>
              </w:rPr>
              <w:t>5</w:t>
            </w:r>
            <w:r w:rsidR="00561958" w:rsidRPr="00561958">
              <w:rPr>
                <w:color w:val="1F497D" w:themeColor="text2"/>
                <w:szCs w:val="24"/>
                <w:u w:val="single"/>
              </w:rPr>
              <w:t>6</w:t>
            </w:r>
            <w:r w:rsidRPr="00AF4817">
              <w:rPr>
                <w:szCs w:val="24"/>
              </w:rPr>
              <w:t>;</w:t>
            </w:r>
          </w:p>
        </w:tc>
      </w:tr>
      <w:tr w:rsidR="00E0750E" w:rsidRPr="002F54CC" w:rsidTr="00EA5E93">
        <w:tc>
          <w:tcPr>
            <w:tcW w:w="1140" w:type="dxa"/>
          </w:tcPr>
          <w:p w:rsidR="00E0750E" w:rsidRPr="002F54CC" w:rsidRDefault="00E0750E" w:rsidP="003C0120">
            <w:pPr>
              <w:pStyle w:val="BodyText"/>
              <w:rPr>
                <w:i/>
                <w:szCs w:val="24"/>
              </w:rPr>
            </w:pPr>
            <w:proofErr w:type="spellStart"/>
            <w:r w:rsidRPr="002F54CC">
              <w:rPr>
                <w:i/>
                <w:szCs w:val="24"/>
              </w:rPr>
              <w:t>SAIDI</w:t>
            </w:r>
            <w:r w:rsidRPr="002F54CC">
              <w:rPr>
                <w:i/>
                <w:szCs w:val="24"/>
                <w:vertAlign w:val="subscript"/>
              </w:rPr>
              <w:t>target</w:t>
            </w:r>
            <w:proofErr w:type="spellEnd"/>
          </w:p>
        </w:tc>
        <w:tc>
          <w:tcPr>
            <w:tcW w:w="7285" w:type="dxa"/>
          </w:tcPr>
          <w:p w:rsidR="00E0750E" w:rsidRPr="002F54CC" w:rsidRDefault="00E0750E" w:rsidP="006E012F">
            <w:pPr>
              <w:pStyle w:val="BodyText"/>
              <w:rPr>
                <w:szCs w:val="24"/>
              </w:rPr>
            </w:pPr>
            <w:r w:rsidRPr="002F54CC">
              <w:rPr>
                <w:szCs w:val="24"/>
              </w:rPr>
              <w:t xml:space="preserve">is </w:t>
            </w:r>
            <w:r w:rsidRPr="00AF4817">
              <w:rPr>
                <w:szCs w:val="24"/>
              </w:rPr>
              <w:t xml:space="preserve">the SAIDI Target specified for the Non-exempt EDB for the Regulatory Period, subject to </w:t>
            </w:r>
            <w:r w:rsidR="00B551BE" w:rsidRPr="00AF4817">
              <w:rPr>
                <w:szCs w:val="24"/>
              </w:rPr>
              <w:t xml:space="preserve">Schedule </w:t>
            </w:r>
            <w:r w:rsidR="006735C4">
              <w:rPr>
                <w:szCs w:val="24"/>
              </w:rPr>
              <w:t>4</w:t>
            </w:r>
            <w:r w:rsidR="006E012F">
              <w:rPr>
                <w:szCs w:val="24"/>
              </w:rPr>
              <w:t>B</w:t>
            </w:r>
            <w:r w:rsidRPr="00AF4817">
              <w:rPr>
                <w:szCs w:val="24"/>
              </w:rPr>
              <w:t>;</w:t>
            </w:r>
            <w:r w:rsidR="00EE5803" w:rsidRPr="00AF4817">
              <w:rPr>
                <w:szCs w:val="24"/>
              </w:rPr>
              <w:t xml:space="preserve"> and</w:t>
            </w:r>
          </w:p>
        </w:tc>
      </w:tr>
      <w:tr w:rsidR="00E0750E" w:rsidRPr="002F54CC" w:rsidTr="00EA5E93">
        <w:tc>
          <w:tcPr>
            <w:tcW w:w="1140" w:type="dxa"/>
          </w:tcPr>
          <w:p w:rsidR="00E0750E" w:rsidRPr="002F54CC" w:rsidRDefault="00E0750E" w:rsidP="003C0120">
            <w:pPr>
              <w:pStyle w:val="BodyText"/>
              <w:rPr>
                <w:i/>
                <w:szCs w:val="24"/>
              </w:rPr>
            </w:pPr>
            <w:proofErr w:type="spellStart"/>
            <w:r w:rsidRPr="002F54CC">
              <w:rPr>
                <w:i/>
                <w:szCs w:val="24"/>
              </w:rPr>
              <w:t>SAIDI</w:t>
            </w:r>
            <w:r w:rsidRPr="002F54CC">
              <w:rPr>
                <w:i/>
                <w:szCs w:val="24"/>
                <w:vertAlign w:val="subscript"/>
              </w:rPr>
              <w:t>assess</w:t>
            </w:r>
            <w:proofErr w:type="spellEnd"/>
          </w:p>
        </w:tc>
        <w:tc>
          <w:tcPr>
            <w:tcW w:w="7285" w:type="dxa"/>
          </w:tcPr>
          <w:p w:rsidR="00E0750E" w:rsidRPr="002F54CC" w:rsidRDefault="00E0750E" w:rsidP="00C32AD5">
            <w:pPr>
              <w:pStyle w:val="BodyText"/>
              <w:rPr>
                <w:szCs w:val="24"/>
              </w:rPr>
            </w:pPr>
            <w:proofErr w:type="gramStart"/>
            <w:r w:rsidRPr="002F54CC">
              <w:rPr>
                <w:szCs w:val="24"/>
              </w:rPr>
              <w:t>is</w:t>
            </w:r>
            <w:proofErr w:type="gramEnd"/>
            <w:r w:rsidRPr="002F54CC">
              <w:rPr>
                <w:szCs w:val="24"/>
              </w:rPr>
              <w:t xml:space="preserve"> the SAIDI Assessed Value for the Assessment Period</w:t>
            </w:r>
            <w:r w:rsidR="00576BE9">
              <w:rPr>
                <w:szCs w:val="24"/>
              </w:rPr>
              <w:t xml:space="preserve">, </w:t>
            </w:r>
            <w:r w:rsidR="00B731CA">
              <w:rPr>
                <w:szCs w:val="24"/>
              </w:rPr>
              <w:t>calculated in accordance with Schedule 4</w:t>
            </w:r>
            <w:r w:rsidR="007E09B4">
              <w:rPr>
                <w:szCs w:val="24"/>
              </w:rPr>
              <w:t>A</w:t>
            </w:r>
            <w:r w:rsidR="00B731CA">
              <w:rPr>
                <w:szCs w:val="24"/>
              </w:rPr>
              <w:t xml:space="preserve">, </w:t>
            </w:r>
            <w:r w:rsidR="00576BE9">
              <w:rPr>
                <w:szCs w:val="24"/>
              </w:rPr>
              <w:t xml:space="preserve">subject to </w:t>
            </w:r>
            <w:proofErr w:type="spellStart"/>
            <w:r w:rsidR="00576BE9">
              <w:rPr>
                <w:szCs w:val="24"/>
              </w:rPr>
              <w:t>subclause</w:t>
            </w:r>
            <w:proofErr w:type="spellEnd"/>
            <w:r w:rsidR="00576BE9">
              <w:rPr>
                <w:szCs w:val="24"/>
              </w:rPr>
              <w:t xml:space="preserve"> (b)</w:t>
            </w:r>
            <w:r w:rsidR="00EE5803">
              <w:rPr>
                <w:szCs w:val="24"/>
              </w:rPr>
              <w:t>.</w:t>
            </w:r>
          </w:p>
        </w:tc>
      </w:tr>
    </w:tbl>
    <w:p w:rsidR="00576BE9" w:rsidRDefault="00576BE9" w:rsidP="00576BE9">
      <w:pPr>
        <w:pStyle w:val="Subclause2"/>
        <w:spacing w:before="240"/>
        <w:ind w:left="1418" w:hanging="709"/>
      </w:pPr>
      <w:r w:rsidRPr="00364E11">
        <w:t xml:space="preserve">Where </w:t>
      </w:r>
      <w:proofErr w:type="spellStart"/>
      <w:r w:rsidRPr="00364E11">
        <w:t>S</w:t>
      </w:r>
      <w:r>
        <w:t>AIDI</w:t>
      </w:r>
      <w:r>
        <w:rPr>
          <w:vertAlign w:val="subscript"/>
        </w:rPr>
        <w:t>assess</w:t>
      </w:r>
      <w:proofErr w:type="spellEnd"/>
      <w:r w:rsidRPr="00364E11">
        <w:t xml:space="preserve"> is </w:t>
      </w:r>
      <w:r>
        <w:t>–</w:t>
      </w:r>
    </w:p>
    <w:p w:rsidR="00576BE9" w:rsidRDefault="00576BE9" w:rsidP="00B87C77">
      <w:pPr>
        <w:pStyle w:val="Subclause3"/>
        <w:numPr>
          <w:ilvl w:val="0"/>
          <w:numId w:val="72"/>
        </w:numPr>
        <w:ind w:left="2127" w:hanging="709"/>
      </w:pPr>
      <w:r w:rsidRPr="00364E11">
        <w:t xml:space="preserve">greater than the </w:t>
      </w:r>
      <w:proofErr w:type="spellStart"/>
      <w:r w:rsidRPr="00364E11">
        <w:t>SAI</w:t>
      </w:r>
      <w:r>
        <w:t>D</w:t>
      </w:r>
      <w:r w:rsidRPr="00364E11">
        <w:t>I</w:t>
      </w:r>
      <w:r w:rsidRPr="00500195">
        <w:rPr>
          <w:vertAlign w:val="subscript"/>
        </w:rPr>
        <w:t>cap</w:t>
      </w:r>
      <w:proofErr w:type="spellEnd"/>
      <w:r w:rsidRPr="00364E11">
        <w:t xml:space="preserve">, </w:t>
      </w:r>
      <w:proofErr w:type="spellStart"/>
      <w:r w:rsidRPr="00364E11">
        <w:t>S</w:t>
      </w:r>
      <w:r>
        <w:t>AIDI</w:t>
      </w:r>
      <w:r w:rsidRPr="00500195">
        <w:rPr>
          <w:vertAlign w:val="subscript"/>
        </w:rPr>
        <w:t>assess</w:t>
      </w:r>
      <w:proofErr w:type="spellEnd"/>
      <w:r w:rsidRPr="00364E11">
        <w:t xml:space="preserve"> equals the </w:t>
      </w:r>
      <w:proofErr w:type="spellStart"/>
      <w:r w:rsidRPr="00364E11">
        <w:t>SAI</w:t>
      </w:r>
      <w:r>
        <w:t>D</w:t>
      </w:r>
      <w:r w:rsidRPr="00364E11">
        <w:t>I</w:t>
      </w:r>
      <w:r w:rsidRPr="00500195">
        <w:rPr>
          <w:vertAlign w:val="subscript"/>
        </w:rPr>
        <w:t>cap</w:t>
      </w:r>
      <w:proofErr w:type="spellEnd"/>
      <w:r>
        <w:t>;</w:t>
      </w:r>
    </w:p>
    <w:p w:rsidR="007C2FA2" w:rsidRDefault="00576BE9" w:rsidP="00500195">
      <w:pPr>
        <w:pStyle w:val="Subclause3"/>
        <w:ind w:left="2127" w:hanging="709"/>
        <w:rPr>
          <w:color w:val="000000"/>
        </w:rPr>
      </w:pPr>
      <w:proofErr w:type="gramStart"/>
      <w:r w:rsidRPr="002F54CC">
        <w:t>less</w:t>
      </w:r>
      <w:proofErr w:type="gramEnd"/>
      <w:r w:rsidRPr="002F54CC">
        <w:t xml:space="preserve"> than the </w:t>
      </w:r>
      <w:proofErr w:type="spellStart"/>
      <w:r w:rsidRPr="002F54CC">
        <w:t>SAI</w:t>
      </w:r>
      <w:r>
        <w:t>D</w:t>
      </w:r>
      <w:r w:rsidRPr="002F54CC">
        <w:t>I</w:t>
      </w:r>
      <w:r w:rsidRPr="00E07DE1">
        <w:rPr>
          <w:vertAlign w:val="subscript"/>
        </w:rPr>
        <w:t>collar</w:t>
      </w:r>
      <w:proofErr w:type="spellEnd"/>
      <w:r w:rsidRPr="002F54CC">
        <w:t xml:space="preserve">, </w:t>
      </w:r>
      <w:proofErr w:type="spellStart"/>
      <w:r w:rsidRPr="00364E11">
        <w:t>S</w:t>
      </w:r>
      <w:r>
        <w:t>AIDI</w:t>
      </w:r>
      <w:r w:rsidRPr="00E07DE1">
        <w:rPr>
          <w:vertAlign w:val="subscript"/>
        </w:rPr>
        <w:t>assess</w:t>
      </w:r>
      <w:proofErr w:type="spellEnd"/>
      <w:r w:rsidRPr="002F54CC">
        <w:t xml:space="preserve"> equals the </w:t>
      </w:r>
      <w:proofErr w:type="spellStart"/>
      <w:r w:rsidRPr="002F54CC">
        <w:t>SAI</w:t>
      </w:r>
      <w:r>
        <w:t>D</w:t>
      </w:r>
      <w:r w:rsidRPr="002F54CC">
        <w:t>I</w:t>
      </w:r>
      <w:r w:rsidRPr="00E07DE1">
        <w:rPr>
          <w:vertAlign w:val="subscript"/>
        </w:rPr>
        <w:t>collar</w:t>
      </w:r>
      <w:proofErr w:type="spellEnd"/>
      <w:r w:rsidRPr="00364E11">
        <w:t>.</w:t>
      </w:r>
    </w:p>
    <w:p w:rsidR="00E0750E" w:rsidRPr="00EA5E93" w:rsidRDefault="00EA5E93" w:rsidP="00A444CF">
      <w:pPr>
        <w:pStyle w:val="Schnumberedtext"/>
        <w:spacing w:before="240"/>
        <w:ind w:left="709" w:hanging="709"/>
      </w:pPr>
      <w:r w:rsidRPr="002F54CC">
        <w:t xml:space="preserve">For the purposes of </w:t>
      </w:r>
      <w:r w:rsidRPr="00AF4817">
        <w:t xml:space="preserve">paragraph </w:t>
      </w:r>
      <w:r w:rsidR="003F6229">
        <w:fldChar w:fldCharType="begin"/>
      </w:r>
      <w:r w:rsidR="003F6229">
        <w:instrText xml:space="preserve"> REF _Ref399758503 \r \h </w:instrText>
      </w:r>
      <w:r w:rsidR="003F6229">
        <w:fldChar w:fldCharType="separate"/>
      </w:r>
      <w:r w:rsidR="00B56D36">
        <w:t>5</w:t>
      </w:r>
      <w:r w:rsidR="003F6229">
        <w:fldChar w:fldCharType="end"/>
      </w:r>
      <w:r w:rsidRPr="00AF4817">
        <w:t>, ‘SAIDI</w:t>
      </w:r>
      <w:r w:rsidRPr="00AF4817">
        <w:rPr>
          <w:vertAlign w:val="subscript"/>
        </w:rPr>
        <w:t>IR</w:t>
      </w:r>
      <w:r w:rsidRPr="00AF4817">
        <w:t>’ is the amount calculated in accordance with the following formula –</w:t>
      </w:r>
    </w:p>
    <w:p w:rsidR="00EA5E93" w:rsidRPr="002F54CC" w:rsidRDefault="0067630A" w:rsidP="00EA5E93">
      <w:pPr>
        <w:pStyle w:val="Scheduletext"/>
        <w:ind w:left="709"/>
      </w:pPr>
      <m:oMathPara>
        <m:oMathParaPr>
          <m:jc m:val="left"/>
        </m:oMathParaPr>
        <m:oMath>
          <m:sSub>
            <m:sSubPr>
              <m:ctrlPr>
                <w:rPr>
                  <w:rFonts w:ascii="Cambria Math" w:hAnsi="Cambria Math"/>
                </w:rPr>
              </m:ctrlPr>
            </m:sSubPr>
            <m:e>
              <m:r>
                <w:rPr>
                  <w:rFonts w:ascii="Cambria Math" w:hAnsi="Cambria Math"/>
                </w:rPr>
                <m:t>SAIDI</m:t>
              </m:r>
            </m:e>
            <m:sub>
              <m:r>
                <w:rPr>
                  <w:rFonts w:ascii="Cambria Math" w:hAnsi="Cambria Math"/>
                </w:rPr>
                <m:t>IR</m:t>
              </m:r>
            </m:sub>
          </m:sSub>
          <m:r>
            <m:rPr>
              <m:sty m:val="p"/>
            </m:rPr>
            <w:rPr>
              <w:rFonts w:ascii="Cambria Math" w:hAnsi="Cambria Math"/>
            </w:rPr>
            <m:t>=</m:t>
          </m:r>
          <m:f>
            <m:fPr>
              <m:ctrlPr>
                <w:rPr>
                  <w:rFonts w:ascii="Cambria Math" w:hAnsi="Cambria Math"/>
                </w:rPr>
              </m:ctrlPr>
            </m:fPr>
            <m:num>
              <m:r>
                <m:rPr>
                  <m:sty m:val="p"/>
                </m:rPr>
                <w:rPr>
                  <w:rFonts w:ascii="Cambria Math" w:hAnsi="Cambria Math"/>
                </w:rPr>
                <m:t>0.5×</m:t>
              </m:r>
              <m:sSub>
                <m:sSubPr>
                  <m:ctrlPr>
                    <w:rPr>
                      <w:rFonts w:ascii="Cambria Math" w:hAnsi="Cambria Math"/>
                    </w:rPr>
                  </m:ctrlPr>
                </m:sSubPr>
                <m:e>
                  <m:r>
                    <w:rPr>
                      <w:rFonts w:ascii="Cambria Math" w:hAnsi="Cambria Math"/>
                    </w:rPr>
                    <m:t>REV</m:t>
                  </m:r>
                </m:e>
                <m:sub>
                  <m:r>
                    <w:rPr>
                      <w:rFonts w:ascii="Cambria Math" w:hAnsi="Cambria Math"/>
                    </w:rPr>
                    <m:t>RISK</m:t>
                  </m:r>
                </m:sub>
              </m:sSub>
            </m:num>
            <m:den>
              <m:sSub>
                <m:sSubPr>
                  <m:ctrlPr>
                    <w:rPr>
                      <w:rFonts w:ascii="Cambria Math" w:hAnsi="Cambria Math"/>
                    </w:rPr>
                  </m:ctrlPr>
                </m:sSubPr>
                <m:e>
                  <m:r>
                    <w:rPr>
                      <w:rFonts w:ascii="Cambria Math" w:hAnsi="Cambria Math"/>
                    </w:rPr>
                    <m:t>SAIDI</m:t>
                  </m:r>
                </m:e>
                <m:sub>
                  <m:r>
                    <w:rPr>
                      <w:rFonts w:ascii="Cambria Math" w:hAnsi="Cambria Math"/>
                    </w:rPr>
                    <m:t>cap</m:t>
                  </m:r>
                </m:sub>
              </m:sSub>
              <m:r>
                <m:rPr>
                  <m:sty m:val="p"/>
                </m:rPr>
                <w:rPr>
                  <w:rFonts w:ascii="Cambria Math" w:hAnsi="Cambria Math"/>
                </w:rPr>
                <m:t>-</m:t>
              </m:r>
              <m:sSub>
                <m:sSubPr>
                  <m:ctrlPr>
                    <w:rPr>
                      <w:rFonts w:ascii="Cambria Math" w:hAnsi="Cambria Math"/>
                    </w:rPr>
                  </m:ctrlPr>
                </m:sSubPr>
                <m:e>
                  <m:r>
                    <w:rPr>
                      <w:rFonts w:ascii="Cambria Math" w:hAnsi="Cambria Math"/>
                    </w:rPr>
                    <m:t>SAIDI</m:t>
                  </m:r>
                </m:e>
                <m:sub>
                  <m:r>
                    <w:rPr>
                      <w:rFonts w:ascii="Cambria Math" w:hAnsi="Cambria Math"/>
                    </w:rPr>
                    <m:t>target</m:t>
                  </m:r>
                </m:sub>
              </m:sSub>
            </m:den>
          </m:f>
        </m:oMath>
      </m:oMathPara>
    </w:p>
    <w:p w:rsidR="00EA5E93" w:rsidRPr="002F54CC" w:rsidRDefault="00113E4A" w:rsidP="00EA5E93">
      <w:pPr>
        <w:pStyle w:val="Quotation"/>
        <w:ind w:left="1451" w:hanging="720"/>
        <w:rPr>
          <w:sz w:val="24"/>
          <w:szCs w:val="24"/>
        </w:rPr>
      </w:pPr>
      <w:proofErr w:type="gramStart"/>
      <w:r>
        <w:rPr>
          <w:sz w:val="24"/>
          <w:szCs w:val="24"/>
        </w:rPr>
        <w:t>where-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7285"/>
      </w:tblGrid>
      <w:tr w:rsidR="007C2FA2" w:rsidRPr="002F54CC" w:rsidTr="003C0120">
        <w:tc>
          <w:tcPr>
            <w:tcW w:w="1140" w:type="dxa"/>
          </w:tcPr>
          <w:p w:rsidR="007C2FA2" w:rsidRPr="002F54CC" w:rsidRDefault="007C2FA2" w:rsidP="003C0120">
            <w:pPr>
              <w:pStyle w:val="BodyText"/>
              <w:rPr>
                <w:i/>
                <w:szCs w:val="24"/>
              </w:rPr>
            </w:pPr>
            <w:proofErr w:type="spellStart"/>
            <w:r w:rsidRPr="002F54CC">
              <w:rPr>
                <w:i/>
                <w:szCs w:val="24"/>
              </w:rPr>
              <w:t>SAIDI</w:t>
            </w:r>
            <w:r w:rsidRPr="002F54CC">
              <w:rPr>
                <w:i/>
                <w:szCs w:val="24"/>
                <w:vertAlign w:val="subscript"/>
              </w:rPr>
              <w:t>cap</w:t>
            </w:r>
            <w:proofErr w:type="spellEnd"/>
          </w:p>
        </w:tc>
        <w:tc>
          <w:tcPr>
            <w:tcW w:w="7285" w:type="dxa"/>
          </w:tcPr>
          <w:p w:rsidR="007C2FA2" w:rsidRPr="00AF4817" w:rsidRDefault="007C2FA2" w:rsidP="006E012F">
            <w:pPr>
              <w:pStyle w:val="BodyText"/>
              <w:rPr>
                <w:szCs w:val="24"/>
              </w:rPr>
            </w:pPr>
            <w:r w:rsidRPr="00AF4817">
              <w:rPr>
                <w:szCs w:val="24"/>
              </w:rPr>
              <w:t xml:space="preserve">is the SAIDI Cap specified for the Non-exempt EDB for the Regulatory Period </w:t>
            </w:r>
            <w:r w:rsidRPr="00CA361B">
              <w:rPr>
                <w:strike/>
                <w:color w:val="1F497D" w:themeColor="text2"/>
                <w:szCs w:val="24"/>
              </w:rPr>
              <w:t xml:space="preserve">in Schedule </w:t>
            </w:r>
            <w:r w:rsidR="006735C4" w:rsidRPr="00CA361B">
              <w:rPr>
                <w:strike/>
                <w:color w:val="1F497D" w:themeColor="text2"/>
                <w:szCs w:val="24"/>
              </w:rPr>
              <w:t>4</w:t>
            </w:r>
            <w:r w:rsidRPr="00AF4817">
              <w:rPr>
                <w:szCs w:val="24"/>
              </w:rPr>
              <w:t xml:space="preserve">, subject to </w:t>
            </w:r>
            <w:r w:rsidR="00B551BE" w:rsidRPr="00AF4817">
              <w:rPr>
                <w:szCs w:val="24"/>
              </w:rPr>
              <w:t xml:space="preserve">Schedule </w:t>
            </w:r>
            <w:r w:rsidR="006735C4">
              <w:rPr>
                <w:szCs w:val="24"/>
              </w:rPr>
              <w:t>4</w:t>
            </w:r>
            <w:r w:rsidR="006E012F">
              <w:rPr>
                <w:szCs w:val="24"/>
              </w:rPr>
              <w:t>B</w:t>
            </w:r>
            <w:r w:rsidRPr="00AF4817">
              <w:rPr>
                <w:szCs w:val="24"/>
              </w:rPr>
              <w:t>;</w:t>
            </w:r>
          </w:p>
        </w:tc>
      </w:tr>
      <w:tr w:rsidR="007C2FA2" w:rsidRPr="002F54CC" w:rsidTr="003C0120">
        <w:tc>
          <w:tcPr>
            <w:tcW w:w="1140" w:type="dxa"/>
          </w:tcPr>
          <w:p w:rsidR="007C2FA2" w:rsidRPr="002F54CC" w:rsidRDefault="007C2FA2" w:rsidP="003C0120">
            <w:pPr>
              <w:pStyle w:val="BodyText"/>
              <w:rPr>
                <w:i/>
                <w:szCs w:val="24"/>
              </w:rPr>
            </w:pPr>
            <w:proofErr w:type="spellStart"/>
            <w:r w:rsidRPr="002F54CC">
              <w:rPr>
                <w:i/>
                <w:szCs w:val="24"/>
              </w:rPr>
              <w:t>SAIDI</w:t>
            </w:r>
            <w:r w:rsidRPr="002F54CC">
              <w:rPr>
                <w:i/>
                <w:szCs w:val="24"/>
                <w:vertAlign w:val="subscript"/>
              </w:rPr>
              <w:t>target</w:t>
            </w:r>
            <w:proofErr w:type="spellEnd"/>
          </w:p>
        </w:tc>
        <w:tc>
          <w:tcPr>
            <w:tcW w:w="7285" w:type="dxa"/>
          </w:tcPr>
          <w:p w:rsidR="007C2FA2" w:rsidRPr="00AF4817" w:rsidRDefault="007C2FA2" w:rsidP="006E012F">
            <w:pPr>
              <w:pStyle w:val="BodyText"/>
              <w:rPr>
                <w:szCs w:val="24"/>
              </w:rPr>
            </w:pPr>
            <w:r w:rsidRPr="00AF4817">
              <w:rPr>
                <w:szCs w:val="24"/>
              </w:rPr>
              <w:t>is the SAIDI Target specified for the Non-exempt EDB for the Regulatory Period, subject to</w:t>
            </w:r>
            <w:r w:rsidR="00B551BE" w:rsidRPr="00AF4817">
              <w:rPr>
                <w:szCs w:val="24"/>
              </w:rPr>
              <w:t xml:space="preserve"> Schedule </w:t>
            </w:r>
            <w:r w:rsidR="006E012F">
              <w:rPr>
                <w:szCs w:val="24"/>
              </w:rPr>
              <w:t>4B</w:t>
            </w:r>
            <w:r w:rsidRPr="00AF4817">
              <w:rPr>
                <w:szCs w:val="24"/>
              </w:rPr>
              <w:t>;</w:t>
            </w:r>
            <w:r w:rsidR="00EE5803" w:rsidRPr="00AF4817">
              <w:rPr>
                <w:szCs w:val="24"/>
              </w:rPr>
              <w:t xml:space="preserve"> and</w:t>
            </w:r>
          </w:p>
        </w:tc>
      </w:tr>
      <w:tr w:rsidR="007C2FA2" w:rsidRPr="002F54CC" w:rsidTr="003C0120">
        <w:tc>
          <w:tcPr>
            <w:tcW w:w="1140" w:type="dxa"/>
          </w:tcPr>
          <w:p w:rsidR="007C2FA2" w:rsidRPr="002F54CC" w:rsidRDefault="007C2FA2" w:rsidP="003C0120">
            <w:pPr>
              <w:pStyle w:val="BodyText"/>
              <w:rPr>
                <w:i/>
                <w:szCs w:val="24"/>
              </w:rPr>
            </w:pPr>
            <w:r w:rsidRPr="002F54CC">
              <w:rPr>
                <w:i/>
                <w:szCs w:val="24"/>
              </w:rPr>
              <w:t>REV</w:t>
            </w:r>
            <w:r w:rsidRPr="002F54CC">
              <w:rPr>
                <w:i/>
                <w:szCs w:val="24"/>
                <w:vertAlign w:val="subscript"/>
              </w:rPr>
              <w:t>RISK</w:t>
            </w:r>
          </w:p>
        </w:tc>
        <w:tc>
          <w:tcPr>
            <w:tcW w:w="7285" w:type="dxa"/>
          </w:tcPr>
          <w:p w:rsidR="00013D61" w:rsidRDefault="00013D61" w:rsidP="003C0120">
            <w:pPr>
              <w:pStyle w:val="BodyText"/>
              <w:rPr>
                <w:szCs w:val="24"/>
              </w:rPr>
            </w:pPr>
            <w:r>
              <w:rPr>
                <w:szCs w:val="24"/>
              </w:rPr>
              <w:t>i</w:t>
            </w:r>
            <w:r w:rsidR="007C2FA2" w:rsidRPr="002F54CC">
              <w:rPr>
                <w:szCs w:val="24"/>
              </w:rPr>
              <w:t>s</w:t>
            </w:r>
            <w:r>
              <w:rPr>
                <w:szCs w:val="24"/>
              </w:rPr>
              <w:t xml:space="preserve"> –</w:t>
            </w:r>
          </w:p>
          <w:p w:rsidR="00013D61" w:rsidRDefault="00013D61" w:rsidP="00013D61">
            <w:pPr>
              <w:pStyle w:val="BodyText"/>
              <w:ind w:left="709" w:hanging="709"/>
              <w:rPr>
                <w:szCs w:val="24"/>
              </w:rPr>
            </w:pPr>
            <w:r>
              <w:rPr>
                <w:szCs w:val="24"/>
              </w:rPr>
              <w:t>(a)</w:t>
            </w:r>
            <w:r w:rsidR="007C2FA2" w:rsidRPr="002F54CC">
              <w:rPr>
                <w:szCs w:val="24"/>
              </w:rPr>
              <w:t xml:space="preserve"> </w:t>
            </w:r>
            <w:r>
              <w:tab/>
            </w:r>
            <w:r w:rsidR="00B731CA">
              <w:rPr>
                <w:szCs w:val="24"/>
              </w:rPr>
              <w:t>subject to (b)</w:t>
            </w:r>
            <w:r>
              <w:rPr>
                <w:szCs w:val="24"/>
              </w:rPr>
              <w:t xml:space="preserve">, </w:t>
            </w:r>
            <w:r w:rsidR="007C2FA2" w:rsidRPr="002F54CC">
              <w:rPr>
                <w:szCs w:val="24"/>
              </w:rPr>
              <w:t xml:space="preserve">1% of the </w:t>
            </w:r>
            <w:r w:rsidR="00B731CA">
              <w:rPr>
                <w:szCs w:val="24"/>
              </w:rPr>
              <w:t>maximum allowable</w:t>
            </w:r>
            <w:r w:rsidR="007C2FA2" w:rsidRPr="002F54CC">
              <w:rPr>
                <w:szCs w:val="24"/>
              </w:rPr>
              <w:t xml:space="preserve"> revenue for the Non-exempt EDB </w:t>
            </w:r>
            <w:r w:rsidR="004F466D">
              <w:rPr>
                <w:szCs w:val="24"/>
              </w:rPr>
              <w:t>specified in Schedule 1</w:t>
            </w:r>
            <w:r>
              <w:rPr>
                <w:szCs w:val="24"/>
              </w:rPr>
              <w:t>; and</w:t>
            </w:r>
          </w:p>
          <w:p w:rsidR="007C2FA2" w:rsidRPr="002F54CC" w:rsidRDefault="00013D61" w:rsidP="00B731CA">
            <w:pPr>
              <w:pStyle w:val="BodyText"/>
              <w:ind w:left="709" w:hanging="709"/>
              <w:rPr>
                <w:szCs w:val="24"/>
              </w:rPr>
            </w:pPr>
            <w:r>
              <w:rPr>
                <w:szCs w:val="24"/>
              </w:rPr>
              <w:t>(b)</w:t>
            </w:r>
            <w:r>
              <w:t xml:space="preserve"> </w:t>
            </w:r>
            <w:r>
              <w:tab/>
            </w:r>
            <w:proofErr w:type="gramStart"/>
            <w:r>
              <w:t>for</w:t>
            </w:r>
            <w:proofErr w:type="gramEnd"/>
            <w:r>
              <w:t xml:space="preserve"> Orion</w:t>
            </w:r>
            <w:r w:rsidR="00B731CA">
              <w:t xml:space="preserve"> in the Assessment Period ending 31 March 2020</w:t>
            </w:r>
            <w:r>
              <w:t>,</w:t>
            </w:r>
            <w:r w:rsidR="00B731CA">
              <w:t xml:space="preserve"> nil</w:t>
            </w:r>
            <w:r w:rsidR="007C2FA2" w:rsidRPr="002F54CC">
              <w:rPr>
                <w:szCs w:val="24"/>
              </w:rPr>
              <w:t>.</w:t>
            </w:r>
          </w:p>
        </w:tc>
      </w:tr>
    </w:tbl>
    <w:p w:rsidR="007C2FA2" w:rsidRDefault="007C2FA2" w:rsidP="00A444CF">
      <w:pPr>
        <w:pStyle w:val="Schnumberedtext"/>
        <w:spacing w:before="240"/>
        <w:ind w:left="709" w:hanging="709"/>
      </w:pPr>
      <w:bookmarkStart w:id="43" w:name="_Ref399758528"/>
      <w:r w:rsidRPr="007C2FA2">
        <w:t xml:space="preserve">For the </w:t>
      </w:r>
      <w:r w:rsidRPr="00AF4817">
        <w:t xml:space="preserve">purposes of paragraph </w:t>
      </w:r>
      <w:r w:rsidR="003F6229">
        <w:fldChar w:fldCharType="begin"/>
      </w:r>
      <w:r w:rsidR="003F6229">
        <w:instrText xml:space="preserve"> REF _Ref399758474 \r \h </w:instrText>
      </w:r>
      <w:r w:rsidR="003F6229">
        <w:fldChar w:fldCharType="separate"/>
      </w:r>
      <w:r w:rsidR="00B56D36">
        <w:t>4</w:t>
      </w:r>
      <w:r w:rsidR="003F6229">
        <w:fldChar w:fldCharType="end"/>
      </w:r>
      <w:r w:rsidRPr="00AF4817">
        <w:t>–</w:t>
      </w:r>
      <w:bookmarkEnd w:id="43"/>
    </w:p>
    <w:p w:rsidR="007C2FA2" w:rsidRDefault="007C2FA2" w:rsidP="00B87C77">
      <w:pPr>
        <w:pStyle w:val="Subclause2"/>
        <w:numPr>
          <w:ilvl w:val="0"/>
          <w:numId w:val="53"/>
        </w:numPr>
        <w:ind w:left="1418" w:hanging="709"/>
      </w:pPr>
      <w:r w:rsidRPr="002F54CC">
        <w:t>S</w:t>
      </w:r>
      <w:r w:rsidRPr="006539A3">
        <w:rPr>
          <w:vertAlign w:val="subscript"/>
        </w:rPr>
        <w:t>SAIFI</w:t>
      </w:r>
      <w:r w:rsidRPr="002F54CC">
        <w:t xml:space="preserve"> is the amount, subject to subparagraph (b), calculated in accordance with the following formula –</w:t>
      </w:r>
    </w:p>
    <w:p w:rsidR="007C2FA2" w:rsidRPr="007C2FA2" w:rsidRDefault="0067630A" w:rsidP="00A444CF">
      <w:pPr>
        <w:pStyle w:val="Scheduletext"/>
        <w:ind w:left="1418" w:hanging="709"/>
      </w:pPr>
      <m:oMathPara>
        <m:oMathParaPr>
          <m:jc m:val="left"/>
        </m:oMathParaPr>
        <m:oMath>
          <m:sSub>
            <m:sSubPr>
              <m:ctrlPr>
                <w:rPr>
                  <w:rFonts w:ascii="Cambria Math" w:hAnsi="Cambria Math"/>
                </w:rPr>
              </m:ctrlPr>
            </m:sSubPr>
            <m:e>
              <m:r>
                <w:rPr>
                  <w:rFonts w:ascii="Cambria Math" w:hAnsi="Cambria Math"/>
                </w:rPr>
                <m:t>S</m:t>
              </m:r>
            </m:e>
            <m:sub>
              <m:r>
                <w:rPr>
                  <w:rFonts w:ascii="Cambria Math" w:hAnsi="Cambria Math"/>
                </w:rPr>
                <m:t>SAIFI</m:t>
              </m:r>
            </m:sub>
          </m:sSub>
          <m:r>
            <m:rPr>
              <m:sty m:val="p"/>
            </m:rPr>
            <w:rPr>
              <w:rFonts w:ascii="Cambria Math" w:hAnsi="Cambria Math"/>
            </w:rPr>
            <m:t>=</m:t>
          </m:r>
          <m:sSub>
            <m:sSubPr>
              <m:ctrlPr>
                <w:rPr>
                  <w:rFonts w:ascii="Cambria Math" w:hAnsi="Cambria Math"/>
                </w:rPr>
              </m:ctrlPr>
            </m:sSubPr>
            <m:e>
              <m:r>
                <w:rPr>
                  <w:rFonts w:ascii="Cambria Math" w:hAnsi="Cambria Math"/>
                </w:rPr>
                <m:t>SAIFI</m:t>
              </m:r>
            </m:e>
            <m:sub>
              <m:r>
                <w:rPr>
                  <w:rFonts w:ascii="Cambria Math" w:hAnsi="Cambria Math"/>
                </w:rPr>
                <m:t>IR</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SAIFI</m:t>
                  </m:r>
                </m:e>
                <m:sub>
                  <m:r>
                    <w:rPr>
                      <w:rFonts w:ascii="Cambria Math" w:hAnsi="Cambria Math"/>
                    </w:rPr>
                    <m:t>target</m:t>
                  </m:r>
                </m:sub>
              </m:sSub>
              <m:r>
                <m:rPr>
                  <m:sty m:val="p"/>
                </m:rPr>
                <w:rPr>
                  <w:rFonts w:ascii="Cambria Math" w:hAnsi="Cambria Math"/>
                </w:rPr>
                <m:t>-</m:t>
              </m:r>
              <m:sSub>
                <m:sSubPr>
                  <m:ctrlPr>
                    <w:rPr>
                      <w:rFonts w:ascii="Cambria Math" w:hAnsi="Cambria Math"/>
                    </w:rPr>
                  </m:ctrlPr>
                </m:sSubPr>
                <m:e>
                  <m:r>
                    <w:rPr>
                      <w:rFonts w:ascii="Cambria Math" w:hAnsi="Cambria Math"/>
                    </w:rPr>
                    <m:t>SAIFI</m:t>
                  </m:r>
                </m:e>
                <m:sub>
                  <m:r>
                    <w:rPr>
                      <w:rFonts w:ascii="Cambria Math" w:hAnsi="Cambria Math"/>
                    </w:rPr>
                    <m:t>assess</m:t>
                  </m:r>
                </m:sub>
              </m:sSub>
            </m:e>
          </m:d>
        </m:oMath>
      </m:oMathPara>
    </w:p>
    <w:p w:rsidR="007C2FA2" w:rsidRPr="002F54CC" w:rsidRDefault="00113E4A" w:rsidP="002C0254">
      <w:pPr>
        <w:pStyle w:val="Quotation"/>
        <w:ind w:left="2127" w:hanging="1418"/>
        <w:rPr>
          <w:sz w:val="24"/>
          <w:szCs w:val="24"/>
        </w:rPr>
      </w:pPr>
      <w:proofErr w:type="gramStart"/>
      <w:r>
        <w:rPr>
          <w:sz w:val="24"/>
          <w:szCs w:val="24"/>
        </w:rPr>
        <w:lastRenderedPageBreak/>
        <w:t>where-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7285"/>
      </w:tblGrid>
      <w:tr w:rsidR="007C2FA2" w:rsidRPr="002F54CC" w:rsidTr="003C0120">
        <w:tc>
          <w:tcPr>
            <w:tcW w:w="1140" w:type="dxa"/>
          </w:tcPr>
          <w:p w:rsidR="007C2FA2" w:rsidRPr="002F54CC" w:rsidRDefault="007C2FA2" w:rsidP="00C32AD5">
            <w:pPr>
              <w:pStyle w:val="BodyText"/>
              <w:rPr>
                <w:i/>
                <w:szCs w:val="24"/>
              </w:rPr>
            </w:pPr>
            <w:r w:rsidRPr="002F54CC">
              <w:rPr>
                <w:i/>
                <w:szCs w:val="24"/>
              </w:rPr>
              <w:t>SAIFI</w:t>
            </w:r>
            <w:r w:rsidRPr="002F54CC">
              <w:rPr>
                <w:i/>
                <w:szCs w:val="24"/>
                <w:vertAlign w:val="subscript"/>
              </w:rPr>
              <w:t>IR</w:t>
            </w:r>
          </w:p>
        </w:tc>
        <w:tc>
          <w:tcPr>
            <w:tcW w:w="7285" w:type="dxa"/>
          </w:tcPr>
          <w:p w:rsidR="007C2FA2" w:rsidRPr="00AF4817" w:rsidRDefault="007C2FA2" w:rsidP="007E09B4">
            <w:pPr>
              <w:pStyle w:val="BodyText"/>
              <w:rPr>
                <w:szCs w:val="24"/>
              </w:rPr>
            </w:pPr>
            <w:r w:rsidRPr="00AF4817">
              <w:rPr>
                <w:szCs w:val="24"/>
              </w:rPr>
              <w:t xml:space="preserve">is the amount calculated in accordance with paragraph </w:t>
            </w:r>
            <w:r w:rsidR="007E09B4">
              <w:rPr>
                <w:szCs w:val="24"/>
              </w:rPr>
              <w:t>8</w:t>
            </w:r>
            <w:r w:rsidRPr="00AF4817">
              <w:rPr>
                <w:szCs w:val="24"/>
              </w:rPr>
              <w:t>;</w:t>
            </w:r>
          </w:p>
        </w:tc>
      </w:tr>
      <w:tr w:rsidR="007C2FA2" w:rsidRPr="002F54CC" w:rsidTr="003C0120">
        <w:tc>
          <w:tcPr>
            <w:tcW w:w="1140" w:type="dxa"/>
          </w:tcPr>
          <w:p w:rsidR="007C2FA2" w:rsidRPr="002F54CC" w:rsidRDefault="007C2FA2" w:rsidP="00C32AD5">
            <w:pPr>
              <w:pStyle w:val="BodyText"/>
              <w:rPr>
                <w:i/>
                <w:szCs w:val="24"/>
              </w:rPr>
            </w:pPr>
            <w:proofErr w:type="spellStart"/>
            <w:r w:rsidRPr="002F54CC">
              <w:rPr>
                <w:i/>
                <w:szCs w:val="24"/>
              </w:rPr>
              <w:t>SAIFI</w:t>
            </w:r>
            <w:r w:rsidRPr="002F54CC">
              <w:rPr>
                <w:i/>
                <w:szCs w:val="24"/>
                <w:vertAlign w:val="subscript"/>
              </w:rPr>
              <w:t>target</w:t>
            </w:r>
            <w:proofErr w:type="spellEnd"/>
          </w:p>
        </w:tc>
        <w:tc>
          <w:tcPr>
            <w:tcW w:w="7285" w:type="dxa"/>
          </w:tcPr>
          <w:p w:rsidR="007C2FA2" w:rsidRPr="00AF4817" w:rsidRDefault="007C2FA2" w:rsidP="006E012F">
            <w:pPr>
              <w:pStyle w:val="BodyText"/>
              <w:rPr>
                <w:szCs w:val="24"/>
              </w:rPr>
            </w:pPr>
            <w:r w:rsidRPr="00AF4817">
              <w:rPr>
                <w:szCs w:val="24"/>
              </w:rPr>
              <w:t>is the SAIFI Target specified for the Non-exempt EDB for the Regulatory Period, subject to</w:t>
            </w:r>
            <w:r w:rsidR="00B551BE" w:rsidRPr="00AF4817">
              <w:rPr>
                <w:szCs w:val="24"/>
              </w:rPr>
              <w:t xml:space="preserve"> Schedule </w:t>
            </w:r>
            <w:r w:rsidR="006735C4">
              <w:rPr>
                <w:szCs w:val="24"/>
              </w:rPr>
              <w:t>4</w:t>
            </w:r>
            <w:r w:rsidR="006E012F">
              <w:rPr>
                <w:szCs w:val="24"/>
              </w:rPr>
              <w:t>B</w:t>
            </w:r>
            <w:r w:rsidRPr="00AF4817">
              <w:rPr>
                <w:szCs w:val="24"/>
              </w:rPr>
              <w:t>;</w:t>
            </w:r>
            <w:r w:rsidR="00EE5803" w:rsidRPr="00AF4817">
              <w:rPr>
                <w:szCs w:val="24"/>
              </w:rPr>
              <w:t xml:space="preserve"> and</w:t>
            </w:r>
          </w:p>
        </w:tc>
      </w:tr>
      <w:tr w:rsidR="007C2FA2" w:rsidRPr="002F54CC" w:rsidTr="003C0120">
        <w:tc>
          <w:tcPr>
            <w:tcW w:w="1140" w:type="dxa"/>
          </w:tcPr>
          <w:p w:rsidR="007C2FA2" w:rsidRPr="002F54CC" w:rsidRDefault="007C2FA2" w:rsidP="00C32AD5">
            <w:pPr>
              <w:pStyle w:val="BodyText"/>
              <w:rPr>
                <w:i/>
                <w:szCs w:val="24"/>
              </w:rPr>
            </w:pPr>
            <w:proofErr w:type="spellStart"/>
            <w:r w:rsidRPr="002F54CC">
              <w:rPr>
                <w:i/>
                <w:szCs w:val="24"/>
              </w:rPr>
              <w:t>SAIFI</w:t>
            </w:r>
            <w:r w:rsidRPr="002F54CC">
              <w:rPr>
                <w:i/>
                <w:szCs w:val="24"/>
                <w:vertAlign w:val="subscript"/>
              </w:rPr>
              <w:t>assess</w:t>
            </w:r>
            <w:proofErr w:type="spellEnd"/>
          </w:p>
        </w:tc>
        <w:tc>
          <w:tcPr>
            <w:tcW w:w="7285" w:type="dxa"/>
          </w:tcPr>
          <w:p w:rsidR="007C2FA2" w:rsidRPr="002F54CC" w:rsidRDefault="007C2FA2" w:rsidP="00550839">
            <w:pPr>
              <w:pStyle w:val="BodyText"/>
              <w:rPr>
                <w:szCs w:val="24"/>
              </w:rPr>
            </w:pPr>
            <w:proofErr w:type="gramStart"/>
            <w:r w:rsidRPr="002F54CC">
              <w:rPr>
                <w:szCs w:val="24"/>
              </w:rPr>
              <w:t>is</w:t>
            </w:r>
            <w:proofErr w:type="gramEnd"/>
            <w:r w:rsidRPr="002F54CC">
              <w:rPr>
                <w:szCs w:val="24"/>
              </w:rPr>
              <w:t xml:space="preserve"> the SAIFI Assessed Value for the Assessment Period</w:t>
            </w:r>
            <w:r w:rsidR="00576BE9">
              <w:rPr>
                <w:szCs w:val="24"/>
              </w:rPr>
              <w:t xml:space="preserve">, </w:t>
            </w:r>
            <w:r w:rsidR="007E09B4">
              <w:rPr>
                <w:szCs w:val="24"/>
              </w:rPr>
              <w:t xml:space="preserve">calculated in accordance with Schedule 4A, </w:t>
            </w:r>
            <w:r w:rsidR="00576BE9">
              <w:rPr>
                <w:szCs w:val="24"/>
              </w:rPr>
              <w:t xml:space="preserve">subject to </w:t>
            </w:r>
            <w:proofErr w:type="spellStart"/>
            <w:r w:rsidR="00576BE9">
              <w:rPr>
                <w:szCs w:val="24"/>
              </w:rPr>
              <w:t>subclause</w:t>
            </w:r>
            <w:proofErr w:type="spellEnd"/>
            <w:r w:rsidR="00576BE9">
              <w:rPr>
                <w:szCs w:val="24"/>
              </w:rPr>
              <w:t xml:space="preserve"> (b)</w:t>
            </w:r>
            <w:r w:rsidR="00EE5803">
              <w:rPr>
                <w:szCs w:val="24"/>
              </w:rPr>
              <w:t>.</w:t>
            </w:r>
          </w:p>
        </w:tc>
      </w:tr>
    </w:tbl>
    <w:p w:rsidR="00576BE9" w:rsidRDefault="00364E11" w:rsidP="00C054BB">
      <w:pPr>
        <w:pStyle w:val="Subclause2"/>
        <w:spacing w:before="240"/>
        <w:ind w:left="1418" w:hanging="709"/>
      </w:pPr>
      <w:r w:rsidRPr="00364E11">
        <w:t xml:space="preserve">Where </w:t>
      </w:r>
      <w:proofErr w:type="spellStart"/>
      <w:r w:rsidR="00576BE9" w:rsidRPr="00364E11">
        <w:t>S</w:t>
      </w:r>
      <w:r w:rsidR="00576BE9">
        <w:t>AIFI</w:t>
      </w:r>
      <w:r w:rsidR="00576BE9">
        <w:rPr>
          <w:vertAlign w:val="subscript"/>
        </w:rPr>
        <w:t>assess</w:t>
      </w:r>
      <w:proofErr w:type="spellEnd"/>
      <w:r w:rsidR="00576BE9" w:rsidRPr="00364E11">
        <w:t xml:space="preserve"> </w:t>
      </w:r>
      <w:r w:rsidRPr="00364E11">
        <w:t xml:space="preserve">is </w:t>
      </w:r>
      <w:r w:rsidR="00576BE9">
        <w:t>–</w:t>
      </w:r>
    </w:p>
    <w:p w:rsidR="00576BE9" w:rsidRDefault="00364E11" w:rsidP="00B87C77">
      <w:pPr>
        <w:pStyle w:val="Subclause3"/>
        <w:numPr>
          <w:ilvl w:val="0"/>
          <w:numId w:val="70"/>
        </w:numPr>
        <w:ind w:left="2127" w:hanging="709"/>
      </w:pPr>
      <w:r w:rsidRPr="00364E11">
        <w:t xml:space="preserve">greater than the </w:t>
      </w:r>
      <w:proofErr w:type="spellStart"/>
      <w:r w:rsidRPr="00364E11">
        <w:t>SAIFI</w:t>
      </w:r>
      <w:r w:rsidRPr="005F57B0">
        <w:rPr>
          <w:vertAlign w:val="subscript"/>
        </w:rPr>
        <w:t>cap</w:t>
      </w:r>
      <w:proofErr w:type="spellEnd"/>
      <w:r w:rsidRPr="00364E11">
        <w:t xml:space="preserve">, </w:t>
      </w:r>
      <w:proofErr w:type="spellStart"/>
      <w:r w:rsidR="00576BE9" w:rsidRPr="00364E11">
        <w:t>S</w:t>
      </w:r>
      <w:r w:rsidR="00576BE9">
        <w:t>AIFI</w:t>
      </w:r>
      <w:r w:rsidR="00576BE9" w:rsidRPr="005F57B0">
        <w:rPr>
          <w:vertAlign w:val="subscript"/>
        </w:rPr>
        <w:t>assess</w:t>
      </w:r>
      <w:proofErr w:type="spellEnd"/>
      <w:r w:rsidRPr="00364E11">
        <w:t xml:space="preserve"> equals the </w:t>
      </w:r>
      <w:proofErr w:type="spellStart"/>
      <w:r w:rsidRPr="00364E11">
        <w:t>SAIFI</w:t>
      </w:r>
      <w:r w:rsidRPr="005F57B0">
        <w:rPr>
          <w:vertAlign w:val="subscript"/>
        </w:rPr>
        <w:t>cap</w:t>
      </w:r>
      <w:proofErr w:type="spellEnd"/>
      <w:r w:rsidR="00576BE9">
        <w:t>;</w:t>
      </w:r>
    </w:p>
    <w:p w:rsidR="00364E11" w:rsidRPr="00364E11" w:rsidRDefault="00576BE9" w:rsidP="00500195">
      <w:pPr>
        <w:pStyle w:val="Subclause3"/>
        <w:ind w:left="2127" w:hanging="709"/>
      </w:pPr>
      <w:proofErr w:type="gramStart"/>
      <w:r w:rsidRPr="002F54CC">
        <w:t>less</w:t>
      </w:r>
      <w:proofErr w:type="gramEnd"/>
      <w:r w:rsidRPr="002F54CC">
        <w:t xml:space="preserve"> than the </w:t>
      </w:r>
      <w:proofErr w:type="spellStart"/>
      <w:r w:rsidRPr="002F54CC">
        <w:t>SAIFI</w:t>
      </w:r>
      <w:r w:rsidRPr="002F54CC">
        <w:rPr>
          <w:vertAlign w:val="subscript"/>
        </w:rPr>
        <w:t>collar</w:t>
      </w:r>
      <w:proofErr w:type="spellEnd"/>
      <w:r w:rsidRPr="002F54CC">
        <w:t xml:space="preserve">, </w:t>
      </w:r>
      <w:proofErr w:type="spellStart"/>
      <w:r w:rsidRPr="00364E11">
        <w:t>S</w:t>
      </w:r>
      <w:r>
        <w:t>AIFI</w:t>
      </w:r>
      <w:r>
        <w:rPr>
          <w:vertAlign w:val="subscript"/>
        </w:rPr>
        <w:t>assess</w:t>
      </w:r>
      <w:proofErr w:type="spellEnd"/>
      <w:r w:rsidRPr="002F54CC">
        <w:t xml:space="preserve"> equals the </w:t>
      </w:r>
      <w:proofErr w:type="spellStart"/>
      <w:r w:rsidRPr="002F54CC">
        <w:t>SAIFI</w:t>
      </w:r>
      <w:r w:rsidRPr="002F54CC">
        <w:rPr>
          <w:vertAlign w:val="subscript"/>
        </w:rPr>
        <w:t>collar</w:t>
      </w:r>
      <w:proofErr w:type="spellEnd"/>
      <w:r w:rsidR="00364E11" w:rsidRPr="00364E11">
        <w:t>.</w:t>
      </w:r>
    </w:p>
    <w:p w:rsidR="00364E11" w:rsidRDefault="00364E11" w:rsidP="006D23B7">
      <w:pPr>
        <w:pStyle w:val="Schnumberedtext"/>
        <w:spacing w:before="240"/>
        <w:ind w:left="709" w:hanging="709"/>
      </w:pPr>
      <w:r w:rsidRPr="002F54CC">
        <w:t xml:space="preserve">For the purposes of </w:t>
      </w:r>
      <w:r w:rsidRPr="00236868">
        <w:t xml:space="preserve">paragraph </w:t>
      </w:r>
      <w:r w:rsidR="003F6229">
        <w:fldChar w:fldCharType="begin"/>
      </w:r>
      <w:r w:rsidR="003F6229">
        <w:instrText xml:space="preserve"> REF _Ref399758528 \r \h </w:instrText>
      </w:r>
      <w:r w:rsidR="003F6229">
        <w:fldChar w:fldCharType="separate"/>
      </w:r>
      <w:r w:rsidR="00B56D36">
        <w:t>7</w:t>
      </w:r>
      <w:r w:rsidR="003F6229">
        <w:fldChar w:fldCharType="end"/>
      </w:r>
      <w:r w:rsidRPr="00236868">
        <w:t>,</w:t>
      </w:r>
      <w:r w:rsidRPr="002F54CC">
        <w:t xml:space="preserve"> ‘SAIFI</w:t>
      </w:r>
      <w:r w:rsidRPr="002F54CC">
        <w:rPr>
          <w:vertAlign w:val="subscript"/>
        </w:rPr>
        <w:t>IR</w:t>
      </w:r>
      <w:r w:rsidRPr="002F54CC">
        <w:t>’ is the amount calculated in accordance with the following formula –</w:t>
      </w:r>
    </w:p>
    <w:p w:rsidR="00364E11" w:rsidRPr="00364E11" w:rsidRDefault="0067630A" w:rsidP="00364E11">
      <w:pPr>
        <w:pStyle w:val="Scheduletext"/>
        <w:ind w:left="709"/>
      </w:pPr>
      <m:oMathPara>
        <m:oMathParaPr>
          <m:jc m:val="left"/>
        </m:oMathParaPr>
        <m:oMath>
          <m:sSub>
            <m:sSubPr>
              <m:ctrlPr>
                <w:rPr>
                  <w:rFonts w:ascii="Cambria Math" w:hAnsi="Cambria Math"/>
                </w:rPr>
              </m:ctrlPr>
            </m:sSubPr>
            <m:e>
              <m:r>
                <w:rPr>
                  <w:rFonts w:ascii="Cambria Math" w:hAnsi="Cambria Math"/>
                </w:rPr>
                <m:t>SAIFI</m:t>
              </m:r>
            </m:e>
            <m:sub>
              <m:r>
                <w:rPr>
                  <w:rFonts w:ascii="Cambria Math" w:hAnsi="Cambria Math"/>
                </w:rPr>
                <m:t>IR</m:t>
              </m:r>
            </m:sub>
          </m:sSub>
          <m:r>
            <m:rPr>
              <m:sty m:val="p"/>
            </m:rPr>
            <w:rPr>
              <w:rFonts w:ascii="Cambria Math" w:hAnsi="Cambria Math"/>
            </w:rPr>
            <m:t>=</m:t>
          </m:r>
          <m:f>
            <m:fPr>
              <m:ctrlPr>
                <w:rPr>
                  <w:rFonts w:ascii="Cambria Math" w:hAnsi="Cambria Math"/>
                </w:rPr>
              </m:ctrlPr>
            </m:fPr>
            <m:num>
              <m:r>
                <m:rPr>
                  <m:sty m:val="p"/>
                </m:rPr>
                <w:rPr>
                  <w:rFonts w:ascii="Cambria Math" w:hAnsi="Cambria Math"/>
                </w:rPr>
                <m:t>0.5×</m:t>
              </m:r>
              <m:sSub>
                <m:sSubPr>
                  <m:ctrlPr>
                    <w:rPr>
                      <w:rFonts w:ascii="Cambria Math" w:hAnsi="Cambria Math"/>
                    </w:rPr>
                  </m:ctrlPr>
                </m:sSubPr>
                <m:e>
                  <m:r>
                    <w:rPr>
                      <w:rFonts w:ascii="Cambria Math" w:hAnsi="Cambria Math"/>
                    </w:rPr>
                    <m:t>REV</m:t>
                  </m:r>
                </m:e>
                <m:sub>
                  <m:r>
                    <w:rPr>
                      <w:rFonts w:ascii="Cambria Math" w:hAnsi="Cambria Math"/>
                    </w:rPr>
                    <m:t>RISK</m:t>
                  </m:r>
                </m:sub>
              </m:sSub>
            </m:num>
            <m:den>
              <m:sSub>
                <m:sSubPr>
                  <m:ctrlPr>
                    <w:rPr>
                      <w:rFonts w:ascii="Cambria Math" w:hAnsi="Cambria Math"/>
                    </w:rPr>
                  </m:ctrlPr>
                </m:sSubPr>
                <m:e>
                  <m:r>
                    <w:rPr>
                      <w:rFonts w:ascii="Cambria Math" w:hAnsi="Cambria Math"/>
                    </w:rPr>
                    <m:t>SAIFI</m:t>
                  </m:r>
                </m:e>
                <m:sub>
                  <m:r>
                    <w:rPr>
                      <w:rFonts w:ascii="Cambria Math" w:hAnsi="Cambria Math"/>
                    </w:rPr>
                    <m:t>cap</m:t>
                  </m:r>
                </m:sub>
              </m:sSub>
              <m:r>
                <m:rPr>
                  <m:sty m:val="p"/>
                </m:rPr>
                <w:rPr>
                  <w:rFonts w:ascii="Cambria Math" w:hAnsi="Cambria Math"/>
                </w:rPr>
                <m:t>-</m:t>
              </m:r>
              <m:sSub>
                <m:sSubPr>
                  <m:ctrlPr>
                    <w:rPr>
                      <w:rFonts w:ascii="Cambria Math" w:hAnsi="Cambria Math"/>
                    </w:rPr>
                  </m:ctrlPr>
                </m:sSubPr>
                <m:e>
                  <m:r>
                    <w:rPr>
                      <w:rFonts w:ascii="Cambria Math" w:hAnsi="Cambria Math"/>
                    </w:rPr>
                    <m:t>SAIFI</m:t>
                  </m:r>
                </m:e>
                <m:sub>
                  <m:r>
                    <w:rPr>
                      <w:rFonts w:ascii="Cambria Math" w:hAnsi="Cambria Math"/>
                    </w:rPr>
                    <m:t>target</m:t>
                  </m:r>
                </m:sub>
              </m:sSub>
            </m:den>
          </m:f>
        </m:oMath>
      </m:oMathPara>
    </w:p>
    <w:p w:rsidR="00364E11" w:rsidRPr="002F54CC" w:rsidRDefault="00113E4A" w:rsidP="00364E11">
      <w:pPr>
        <w:pStyle w:val="Quotation"/>
        <w:ind w:left="1429" w:hanging="720"/>
        <w:rPr>
          <w:sz w:val="24"/>
          <w:szCs w:val="24"/>
        </w:rPr>
      </w:pPr>
      <w:proofErr w:type="gramStart"/>
      <w:r>
        <w:rPr>
          <w:sz w:val="24"/>
          <w:szCs w:val="24"/>
        </w:rPr>
        <w:t>where-</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7285"/>
      </w:tblGrid>
      <w:tr w:rsidR="00364E11" w:rsidRPr="002F54CC" w:rsidTr="003C0120">
        <w:tc>
          <w:tcPr>
            <w:tcW w:w="1140" w:type="dxa"/>
          </w:tcPr>
          <w:p w:rsidR="00364E11" w:rsidRPr="002F54CC" w:rsidRDefault="00364E11" w:rsidP="00C32AD5">
            <w:pPr>
              <w:pStyle w:val="BodyText"/>
              <w:ind w:left="34"/>
              <w:rPr>
                <w:i/>
                <w:szCs w:val="24"/>
              </w:rPr>
            </w:pPr>
            <w:proofErr w:type="spellStart"/>
            <w:r w:rsidRPr="002F54CC">
              <w:rPr>
                <w:i/>
                <w:szCs w:val="24"/>
              </w:rPr>
              <w:t>SAIFI</w:t>
            </w:r>
            <w:r w:rsidRPr="002F54CC">
              <w:rPr>
                <w:i/>
                <w:szCs w:val="24"/>
                <w:vertAlign w:val="subscript"/>
              </w:rPr>
              <w:t>cap</w:t>
            </w:r>
            <w:proofErr w:type="spellEnd"/>
          </w:p>
        </w:tc>
        <w:tc>
          <w:tcPr>
            <w:tcW w:w="7285" w:type="dxa"/>
          </w:tcPr>
          <w:p w:rsidR="00364E11" w:rsidRPr="00AF4817" w:rsidRDefault="00364E11" w:rsidP="006E012F">
            <w:pPr>
              <w:pStyle w:val="BodyText"/>
              <w:ind w:left="-114"/>
              <w:rPr>
                <w:szCs w:val="24"/>
              </w:rPr>
            </w:pPr>
            <w:r w:rsidRPr="00AF4817">
              <w:rPr>
                <w:szCs w:val="24"/>
              </w:rPr>
              <w:t xml:space="preserve">is the SAIFI Cap specified for the Non-exempt EDB for the Regulatory Period, subject to </w:t>
            </w:r>
            <w:r w:rsidR="00D6656F" w:rsidRPr="00AF4817">
              <w:rPr>
                <w:szCs w:val="24"/>
              </w:rPr>
              <w:t xml:space="preserve">Schedule </w:t>
            </w:r>
            <w:r w:rsidR="006735C4">
              <w:rPr>
                <w:szCs w:val="24"/>
              </w:rPr>
              <w:t>4</w:t>
            </w:r>
            <w:r w:rsidR="006E012F">
              <w:rPr>
                <w:szCs w:val="24"/>
              </w:rPr>
              <w:t>B</w:t>
            </w:r>
            <w:r w:rsidRPr="00AF4817">
              <w:rPr>
                <w:szCs w:val="24"/>
              </w:rPr>
              <w:t>;</w:t>
            </w:r>
          </w:p>
        </w:tc>
      </w:tr>
      <w:tr w:rsidR="00364E11" w:rsidRPr="002F54CC" w:rsidTr="003C0120">
        <w:tc>
          <w:tcPr>
            <w:tcW w:w="1140" w:type="dxa"/>
          </w:tcPr>
          <w:p w:rsidR="00364E11" w:rsidRPr="002F54CC" w:rsidRDefault="00364E11" w:rsidP="00C32AD5">
            <w:pPr>
              <w:pStyle w:val="BodyText"/>
              <w:ind w:left="34"/>
              <w:rPr>
                <w:i/>
                <w:szCs w:val="24"/>
              </w:rPr>
            </w:pPr>
            <w:proofErr w:type="spellStart"/>
            <w:r w:rsidRPr="002F54CC">
              <w:rPr>
                <w:i/>
                <w:szCs w:val="24"/>
              </w:rPr>
              <w:t>SAIFI</w:t>
            </w:r>
            <w:r w:rsidRPr="002F54CC">
              <w:rPr>
                <w:i/>
                <w:szCs w:val="24"/>
                <w:vertAlign w:val="subscript"/>
              </w:rPr>
              <w:t>target</w:t>
            </w:r>
            <w:proofErr w:type="spellEnd"/>
          </w:p>
        </w:tc>
        <w:tc>
          <w:tcPr>
            <w:tcW w:w="7285" w:type="dxa"/>
          </w:tcPr>
          <w:p w:rsidR="00364E11" w:rsidRPr="00AF4817" w:rsidRDefault="00364E11" w:rsidP="006E012F">
            <w:pPr>
              <w:pStyle w:val="BodyText"/>
              <w:ind w:left="-114"/>
              <w:rPr>
                <w:szCs w:val="24"/>
              </w:rPr>
            </w:pPr>
            <w:r w:rsidRPr="00AF4817">
              <w:rPr>
                <w:szCs w:val="24"/>
              </w:rPr>
              <w:t>is the SAIFI Target specified for the Non-exempt EDB for the Regulatory Period, subject to</w:t>
            </w:r>
            <w:r w:rsidR="00D6656F" w:rsidRPr="00AF4817">
              <w:rPr>
                <w:szCs w:val="24"/>
              </w:rPr>
              <w:t xml:space="preserve"> Schedule </w:t>
            </w:r>
            <w:r w:rsidR="006735C4">
              <w:rPr>
                <w:szCs w:val="24"/>
              </w:rPr>
              <w:t>4</w:t>
            </w:r>
            <w:r w:rsidR="006E012F">
              <w:rPr>
                <w:szCs w:val="24"/>
              </w:rPr>
              <w:t>B</w:t>
            </w:r>
            <w:r w:rsidRPr="00AF4817">
              <w:rPr>
                <w:szCs w:val="24"/>
              </w:rPr>
              <w:t>;</w:t>
            </w:r>
            <w:r w:rsidR="00787367">
              <w:rPr>
                <w:szCs w:val="24"/>
              </w:rPr>
              <w:t xml:space="preserve"> and</w:t>
            </w:r>
          </w:p>
        </w:tc>
      </w:tr>
      <w:tr w:rsidR="00364E11" w:rsidRPr="002F54CC" w:rsidTr="003C0120">
        <w:tc>
          <w:tcPr>
            <w:tcW w:w="1140" w:type="dxa"/>
          </w:tcPr>
          <w:p w:rsidR="00364E11" w:rsidRPr="002F54CC" w:rsidRDefault="00364E11" w:rsidP="00C32AD5">
            <w:pPr>
              <w:pStyle w:val="BodyText"/>
              <w:ind w:left="34"/>
              <w:rPr>
                <w:i/>
                <w:szCs w:val="24"/>
              </w:rPr>
            </w:pPr>
            <w:r w:rsidRPr="002F54CC">
              <w:rPr>
                <w:i/>
                <w:szCs w:val="24"/>
              </w:rPr>
              <w:t>REV</w:t>
            </w:r>
            <w:r w:rsidRPr="002F54CC">
              <w:rPr>
                <w:i/>
                <w:szCs w:val="24"/>
                <w:vertAlign w:val="subscript"/>
              </w:rPr>
              <w:t>RISK</w:t>
            </w:r>
          </w:p>
        </w:tc>
        <w:tc>
          <w:tcPr>
            <w:tcW w:w="7285" w:type="dxa"/>
          </w:tcPr>
          <w:p w:rsidR="00013D61" w:rsidRDefault="00013D61" w:rsidP="00013D61">
            <w:pPr>
              <w:pStyle w:val="BodyText"/>
              <w:ind w:left="-114"/>
              <w:rPr>
                <w:szCs w:val="24"/>
              </w:rPr>
            </w:pPr>
            <w:r>
              <w:rPr>
                <w:szCs w:val="24"/>
              </w:rPr>
              <w:t>is –</w:t>
            </w:r>
          </w:p>
          <w:p w:rsidR="00013D61" w:rsidRDefault="00013D61" w:rsidP="00013D61">
            <w:pPr>
              <w:pStyle w:val="BodyText"/>
              <w:ind w:left="596" w:hanging="709"/>
              <w:rPr>
                <w:szCs w:val="24"/>
              </w:rPr>
            </w:pPr>
            <w:r>
              <w:rPr>
                <w:szCs w:val="24"/>
              </w:rPr>
              <w:t>(a)</w:t>
            </w:r>
            <w:r w:rsidRPr="002F54CC">
              <w:rPr>
                <w:szCs w:val="24"/>
              </w:rPr>
              <w:t xml:space="preserve"> </w:t>
            </w:r>
            <w:r>
              <w:tab/>
            </w:r>
            <w:r w:rsidR="00B731CA">
              <w:rPr>
                <w:szCs w:val="24"/>
              </w:rPr>
              <w:t>subject to (b)</w:t>
            </w:r>
            <w:r>
              <w:rPr>
                <w:szCs w:val="24"/>
              </w:rPr>
              <w:t xml:space="preserve">, </w:t>
            </w:r>
            <w:r w:rsidRPr="002F54CC">
              <w:rPr>
                <w:szCs w:val="24"/>
              </w:rPr>
              <w:t xml:space="preserve">1% of the </w:t>
            </w:r>
            <w:r w:rsidR="00B731CA">
              <w:rPr>
                <w:szCs w:val="24"/>
              </w:rPr>
              <w:t>maximum allowable</w:t>
            </w:r>
            <w:r w:rsidRPr="002F54CC">
              <w:rPr>
                <w:szCs w:val="24"/>
              </w:rPr>
              <w:t xml:space="preserve"> revenue for the Non-exempt EDB</w:t>
            </w:r>
            <w:r w:rsidR="004F466D">
              <w:rPr>
                <w:szCs w:val="24"/>
              </w:rPr>
              <w:t xml:space="preserve"> specified in Schedule 1</w:t>
            </w:r>
            <w:r>
              <w:rPr>
                <w:szCs w:val="24"/>
              </w:rPr>
              <w:t>; and</w:t>
            </w:r>
          </w:p>
          <w:p w:rsidR="00364E11" w:rsidRPr="002F54CC" w:rsidRDefault="00013D61" w:rsidP="00B731CA">
            <w:pPr>
              <w:pStyle w:val="BodyText"/>
              <w:ind w:left="596" w:hanging="709"/>
              <w:rPr>
                <w:szCs w:val="24"/>
              </w:rPr>
            </w:pPr>
            <w:r>
              <w:rPr>
                <w:szCs w:val="24"/>
              </w:rPr>
              <w:t>(b)</w:t>
            </w:r>
            <w:r>
              <w:t xml:space="preserve"> </w:t>
            </w:r>
            <w:r>
              <w:tab/>
            </w:r>
            <w:proofErr w:type="gramStart"/>
            <w:r>
              <w:t>for</w:t>
            </w:r>
            <w:proofErr w:type="gramEnd"/>
            <w:r>
              <w:t xml:space="preserve"> Orion</w:t>
            </w:r>
            <w:r w:rsidR="00B731CA">
              <w:t xml:space="preserve"> in the Assessment Period ending 31 March 2020</w:t>
            </w:r>
            <w:r>
              <w:t>,</w:t>
            </w:r>
            <w:r w:rsidR="00B731CA">
              <w:t xml:space="preserve"> nil</w:t>
            </w:r>
            <w:r w:rsidRPr="002F54CC">
              <w:rPr>
                <w:szCs w:val="24"/>
              </w:rPr>
              <w:t>.</w:t>
            </w:r>
          </w:p>
        </w:tc>
      </w:tr>
    </w:tbl>
    <w:p w:rsidR="00D5132B" w:rsidRDefault="00D5132B"/>
    <w:p w:rsidR="00D5132B" w:rsidRPr="00D5132B" w:rsidRDefault="00D5132B" w:rsidP="00D5132B">
      <w:pPr>
        <w:pStyle w:val="Schnumberedtext"/>
        <w:spacing w:before="240"/>
        <w:ind w:left="709" w:hanging="709"/>
        <w:rPr>
          <w:strike/>
          <w:color w:val="1F497D" w:themeColor="text2"/>
        </w:rPr>
      </w:pPr>
      <w:r w:rsidRPr="00D5132B">
        <w:rPr>
          <w:strike/>
          <w:color w:val="1F497D" w:themeColor="text2"/>
        </w:rPr>
        <w:t>For the purposes of this Schedule, ‘</w:t>
      </w:r>
      <w:proofErr w:type="spellStart"/>
      <w:r w:rsidRPr="00D5132B">
        <w:rPr>
          <w:strike/>
          <w:color w:val="1F497D" w:themeColor="text2"/>
        </w:rPr>
        <w:t>SAIDI</w:t>
      </w:r>
      <w:r w:rsidRPr="00D5132B">
        <w:rPr>
          <w:strike/>
          <w:color w:val="1F497D" w:themeColor="text2"/>
          <w:vertAlign w:val="subscript"/>
        </w:rPr>
        <w:t>cap</w:t>
      </w:r>
      <w:proofErr w:type="spellEnd"/>
      <w:r w:rsidRPr="00D5132B">
        <w:rPr>
          <w:strike/>
          <w:color w:val="1F497D" w:themeColor="text2"/>
        </w:rPr>
        <w:t>’ is the SAIDI Cap specified for the Non-exempt EDB for the Regulatory Period, subject to Schedule 4B.</w:t>
      </w:r>
    </w:p>
    <w:p w:rsidR="00D5132B" w:rsidRPr="00D5132B" w:rsidRDefault="00D5132B" w:rsidP="00D5132B">
      <w:pPr>
        <w:pStyle w:val="Schnumberedtext"/>
        <w:spacing w:before="240"/>
        <w:ind w:left="709" w:hanging="709"/>
        <w:rPr>
          <w:strike/>
          <w:color w:val="1F497D" w:themeColor="text2"/>
        </w:rPr>
      </w:pPr>
      <w:r w:rsidRPr="00D5132B">
        <w:rPr>
          <w:strike/>
          <w:color w:val="1F497D" w:themeColor="text2"/>
        </w:rPr>
        <w:t>For the purposes of this Schedule, ‘</w:t>
      </w:r>
      <w:proofErr w:type="spellStart"/>
      <w:r w:rsidRPr="00D5132B">
        <w:rPr>
          <w:strike/>
          <w:color w:val="1F497D" w:themeColor="text2"/>
        </w:rPr>
        <w:t>SAIDI</w:t>
      </w:r>
      <w:r w:rsidRPr="00D5132B">
        <w:rPr>
          <w:strike/>
          <w:color w:val="1F497D" w:themeColor="text2"/>
          <w:vertAlign w:val="subscript"/>
        </w:rPr>
        <w:t>collar</w:t>
      </w:r>
      <w:proofErr w:type="spellEnd"/>
      <w:r w:rsidRPr="00D5132B">
        <w:rPr>
          <w:strike/>
          <w:color w:val="1F497D" w:themeColor="text2"/>
        </w:rPr>
        <w:t>’ is the SAIDI Collar specified for the Non-exempt EDB for the Assessment Period, subject to Schedule 4B.</w:t>
      </w:r>
    </w:p>
    <w:p w:rsidR="00D5132B" w:rsidRPr="00D5132B" w:rsidRDefault="00D5132B" w:rsidP="00D5132B">
      <w:pPr>
        <w:pStyle w:val="Schnumberedtext"/>
        <w:spacing w:before="240"/>
        <w:ind w:left="709" w:hanging="709"/>
        <w:rPr>
          <w:strike/>
          <w:color w:val="1F497D" w:themeColor="text2"/>
        </w:rPr>
      </w:pPr>
      <w:r w:rsidRPr="00D5132B">
        <w:rPr>
          <w:strike/>
          <w:color w:val="1F497D" w:themeColor="text2"/>
        </w:rPr>
        <w:t>For the purposes of this Schedule, ‘</w:t>
      </w:r>
      <w:proofErr w:type="spellStart"/>
      <w:r w:rsidRPr="00D5132B">
        <w:rPr>
          <w:strike/>
          <w:color w:val="1F497D" w:themeColor="text2"/>
        </w:rPr>
        <w:t>SAIFI</w:t>
      </w:r>
      <w:r w:rsidRPr="00D5132B">
        <w:rPr>
          <w:strike/>
          <w:color w:val="1F497D" w:themeColor="text2"/>
          <w:vertAlign w:val="subscript"/>
        </w:rPr>
        <w:t>cap</w:t>
      </w:r>
      <w:proofErr w:type="spellEnd"/>
      <w:r w:rsidRPr="00D5132B">
        <w:rPr>
          <w:strike/>
          <w:color w:val="1F497D" w:themeColor="text2"/>
        </w:rPr>
        <w:t>’ is the SAIFI Cap specified for the Non-exempt EDB for the Regulatory Period, subject to Schedule 4B.</w:t>
      </w:r>
    </w:p>
    <w:p w:rsidR="003F6229" w:rsidRPr="00D5132B" w:rsidRDefault="00D5132B" w:rsidP="00D5132B">
      <w:pPr>
        <w:pStyle w:val="Schnumberedtext"/>
        <w:spacing w:before="240"/>
        <w:ind w:left="709" w:hanging="709"/>
        <w:rPr>
          <w:b/>
        </w:rPr>
      </w:pPr>
      <w:r w:rsidRPr="00D5132B">
        <w:rPr>
          <w:strike/>
          <w:color w:val="1F497D" w:themeColor="text2"/>
        </w:rPr>
        <w:t>For the purposes of this Schedule, ‘</w:t>
      </w:r>
      <w:proofErr w:type="spellStart"/>
      <w:r w:rsidRPr="00D5132B">
        <w:rPr>
          <w:strike/>
          <w:color w:val="1F497D" w:themeColor="text2"/>
        </w:rPr>
        <w:t>SAIFI</w:t>
      </w:r>
      <w:r w:rsidRPr="00D5132B">
        <w:rPr>
          <w:strike/>
          <w:color w:val="1F497D" w:themeColor="text2"/>
          <w:vertAlign w:val="subscript"/>
        </w:rPr>
        <w:t>collar</w:t>
      </w:r>
      <w:proofErr w:type="spellEnd"/>
      <w:r w:rsidRPr="00D5132B">
        <w:rPr>
          <w:strike/>
          <w:color w:val="1F497D" w:themeColor="text2"/>
        </w:rPr>
        <w:t>’ is the SAIFI Collar specified for the Non-exempt EDB for the Assessment Period, subject to Schedule 4B</w:t>
      </w:r>
      <w:r w:rsidRPr="00EE5803">
        <w:t>.</w:t>
      </w:r>
      <w:r w:rsidR="003F6229">
        <w:br w:type="page"/>
      </w:r>
    </w:p>
    <w:p w:rsidR="00364E11" w:rsidRDefault="003F6229" w:rsidP="003F6229">
      <w:pPr>
        <w:pStyle w:val="Scheduletitles"/>
        <w:numPr>
          <w:ilvl w:val="0"/>
          <w:numId w:val="0"/>
        </w:numPr>
        <w:tabs>
          <w:tab w:val="left" w:pos="1418"/>
        </w:tabs>
        <w:ind w:left="1418" w:hanging="1418"/>
      </w:pPr>
      <w:r>
        <w:lastRenderedPageBreak/>
        <w:t>Schedule 5C:</w:t>
      </w:r>
      <w:r>
        <w:tab/>
      </w:r>
      <w:r w:rsidR="00CC285C">
        <w:t>Claw-back</w:t>
      </w:r>
    </w:p>
    <w:p w:rsidR="00CC285C" w:rsidRDefault="00CC285C" w:rsidP="00B87C77">
      <w:pPr>
        <w:pStyle w:val="Schnumberedtext"/>
        <w:numPr>
          <w:ilvl w:val="0"/>
          <w:numId w:val="64"/>
        </w:numPr>
        <w:ind w:hanging="720"/>
      </w:pPr>
      <w:r w:rsidRPr="00CC285C">
        <w:t xml:space="preserve">The amount of claw-back applying to a Non-exempt EDB </w:t>
      </w:r>
      <w:r w:rsidR="00B82407">
        <w:t xml:space="preserve">for the Regulatory Period 1 April 2015 to 31 March 2020, </w:t>
      </w:r>
      <w:r w:rsidRPr="00CC285C">
        <w:t xml:space="preserve">and the Assessment Period </w:t>
      </w:r>
      <w:r w:rsidR="005757E3">
        <w:t>in</w:t>
      </w:r>
      <w:r w:rsidR="005757E3" w:rsidRPr="00CC285C">
        <w:t xml:space="preserve"> </w:t>
      </w:r>
      <w:r w:rsidRPr="00CC285C">
        <w:t xml:space="preserve">which it </w:t>
      </w:r>
      <w:r w:rsidR="005757E3">
        <w:t>is</w:t>
      </w:r>
      <w:r w:rsidRPr="00CC285C">
        <w:t xml:space="preserve"> a Recoverable Cost under clause 3.1.3(1)(g) </w:t>
      </w:r>
      <w:r w:rsidR="00D6656F">
        <w:t>of the IM Determination</w:t>
      </w:r>
      <w:r w:rsidR="00514147">
        <w:t>,</w:t>
      </w:r>
      <w:r w:rsidR="00D6656F">
        <w:t xml:space="preserve"> </w:t>
      </w:r>
      <w:r w:rsidRPr="00CC285C">
        <w:t xml:space="preserve">are set </w:t>
      </w:r>
      <w:r w:rsidRPr="00C054BB">
        <w:t xml:space="preserve">out in Table </w:t>
      </w:r>
      <w:r w:rsidR="00D6656F" w:rsidRPr="00C054BB">
        <w:t>5</w:t>
      </w:r>
      <w:r w:rsidR="00514147">
        <w:t>C</w:t>
      </w:r>
      <w:r w:rsidR="00AF4817">
        <w:t>.1</w:t>
      </w:r>
      <w:r w:rsidRPr="00C054BB">
        <w:t>.</w:t>
      </w:r>
    </w:p>
    <w:p w:rsidR="00CC285C" w:rsidRDefault="00CC285C" w:rsidP="00CC285C">
      <w:pPr>
        <w:pStyle w:val="SchTableheading"/>
      </w:pPr>
      <w:r w:rsidRPr="00C054BB">
        <w:t xml:space="preserve">Table </w:t>
      </w:r>
      <w:r w:rsidR="00D6656F" w:rsidRPr="00C054BB">
        <w:t>5</w:t>
      </w:r>
      <w:r w:rsidR="00514147">
        <w:t>C</w:t>
      </w:r>
      <w:r w:rsidR="00C100B5" w:rsidRPr="00C054BB">
        <w:t>.</w:t>
      </w:r>
      <w:r w:rsidR="002C0254">
        <w:t>1</w:t>
      </w:r>
      <w:r w:rsidRPr="00C054BB">
        <w:t>:</w:t>
      </w:r>
      <w:r w:rsidRPr="002F54CC">
        <w:t xml:space="preserve"> Claw-back amounts to be applied by</w:t>
      </w:r>
      <w:r w:rsidR="00AD1378">
        <w:t xml:space="preserve"> </w:t>
      </w:r>
      <w:r w:rsidRPr="002F54CC">
        <w:t xml:space="preserve">specified non-exempt EDBs in each </w:t>
      </w:r>
      <w:r w:rsidR="008B5D9C">
        <w:t>A</w:t>
      </w:r>
      <w:r w:rsidRPr="002F54CC">
        <w:t xml:space="preserve">ssessment </w:t>
      </w:r>
      <w:r w:rsidR="008B5D9C">
        <w:t>P</w:t>
      </w:r>
      <w:r w:rsidRPr="002F54CC">
        <w:t>eriod</w:t>
      </w:r>
      <w:r w:rsidR="00AD1378">
        <w:t xml:space="preserve"> </w:t>
      </w:r>
    </w:p>
    <w:p w:rsidR="00236868" w:rsidRPr="00236868" w:rsidRDefault="00236868" w:rsidP="00236868">
      <w:pPr>
        <w:pStyle w:val="SchTableheading"/>
        <w:spacing w:after="0"/>
        <w:rPr>
          <w:b w:val="0"/>
          <w:sz w:val="20"/>
        </w:rPr>
      </w:pPr>
      <w:r w:rsidRPr="00C054BB">
        <w:rPr>
          <w:b w:val="0"/>
          <w:sz w:val="20"/>
        </w:rPr>
        <w:t>(All amounts in $000)</w:t>
      </w:r>
    </w:p>
    <w:tbl>
      <w:tblPr>
        <w:tblStyle w:val="SchTabletext"/>
        <w:tblW w:w="7879" w:type="dxa"/>
        <w:tblInd w:w="942" w:type="dxa"/>
        <w:tblLook w:val="04A0" w:firstRow="1" w:lastRow="0" w:firstColumn="1" w:lastColumn="0" w:noHBand="0" w:noVBand="1"/>
      </w:tblPr>
      <w:tblGrid>
        <w:gridCol w:w="1644"/>
        <w:gridCol w:w="1247"/>
        <w:gridCol w:w="1247"/>
        <w:gridCol w:w="1247"/>
        <w:gridCol w:w="1247"/>
        <w:gridCol w:w="1247"/>
      </w:tblGrid>
      <w:tr w:rsidR="00376F8F" w:rsidTr="008441EF">
        <w:trPr>
          <w:cnfStyle w:val="100000000000" w:firstRow="1" w:lastRow="0" w:firstColumn="0" w:lastColumn="0" w:oddVBand="0" w:evenVBand="0" w:oddHBand="0" w:evenHBand="0" w:firstRowFirstColumn="0" w:firstRowLastColumn="0" w:lastRowFirstColumn="0" w:lastRowLastColumn="0"/>
          <w:trHeight w:val="373"/>
        </w:trPr>
        <w:tc>
          <w:tcPr>
            <w:cnfStyle w:val="001000000100" w:firstRow="0" w:lastRow="0" w:firstColumn="1" w:lastColumn="0" w:oddVBand="0" w:evenVBand="0" w:oddHBand="0" w:evenHBand="0" w:firstRowFirstColumn="1" w:firstRowLastColumn="0" w:lastRowFirstColumn="0" w:lastRowLastColumn="0"/>
            <w:tcW w:w="1644" w:type="dxa"/>
            <w:vMerge w:val="restart"/>
          </w:tcPr>
          <w:p w:rsidR="00376F8F" w:rsidRDefault="00376F8F" w:rsidP="00376F8F">
            <w:pPr>
              <w:pStyle w:val="Tablebodytext"/>
              <w:jc w:val="center"/>
              <w:rPr>
                <w:sz w:val="20"/>
                <w:szCs w:val="20"/>
              </w:rPr>
            </w:pPr>
            <w:r>
              <w:rPr>
                <w:sz w:val="20"/>
                <w:szCs w:val="20"/>
              </w:rPr>
              <w:t>Non-exempt EDB</w:t>
            </w:r>
          </w:p>
        </w:tc>
        <w:tc>
          <w:tcPr>
            <w:tcW w:w="6235" w:type="dxa"/>
            <w:gridSpan w:val="5"/>
            <w:tcBorders>
              <w:bottom w:val="nil"/>
            </w:tcBorders>
          </w:tcPr>
          <w:p w:rsidR="00376F8F" w:rsidRPr="008441EF" w:rsidRDefault="00376F8F" w:rsidP="008441EF">
            <w:pPr>
              <w:pStyle w:val="Tablebodytext"/>
              <w:spacing w:after="0"/>
              <w:cnfStyle w:val="100000000000" w:firstRow="1" w:lastRow="0" w:firstColumn="0" w:lastColumn="0" w:oddVBand="0" w:evenVBand="0" w:oddHBand="0" w:evenHBand="0" w:firstRowFirstColumn="0" w:firstRowLastColumn="0" w:lastRowFirstColumn="0" w:lastRowLastColumn="0"/>
              <w:rPr>
                <w:sz w:val="20"/>
                <w:szCs w:val="20"/>
                <w:u w:val="single"/>
              </w:rPr>
            </w:pPr>
            <w:r w:rsidRPr="008441EF">
              <w:rPr>
                <w:color w:val="1F497D" w:themeColor="text2"/>
                <w:sz w:val="20"/>
                <w:szCs w:val="20"/>
                <w:u w:val="single"/>
              </w:rPr>
              <w:t>Assessment Period</w:t>
            </w:r>
          </w:p>
        </w:tc>
      </w:tr>
      <w:tr w:rsidR="00376F8F" w:rsidTr="008441EF">
        <w:trPr>
          <w:trHeight w:val="392"/>
        </w:trPr>
        <w:tc>
          <w:tcPr>
            <w:cnfStyle w:val="001000000000" w:firstRow="0" w:lastRow="0" w:firstColumn="1" w:lastColumn="0" w:oddVBand="0" w:evenVBand="0" w:oddHBand="0" w:evenHBand="0" w:firstRowFirstColumn="0" w:firstRowLastColumn="0" w:lastRowFirstColumn="0" w:lastRowLastColumn="0"/>
            <w:tcW w:w="1644" w:type="dxa"/>
            <w:vMerge/>
            <w:vAlign w:val="bottom"/>
          </w:tcPr>
          <w:p w:rsidR="00376F8F" w:rsidRPr="00E06A77" w:rsidRDefault="00376F8F" w:rsidP="001A5B14">
            <w:pPr>
              <w:pStyle w:val="Tablebodytext"/>
              <w:jc w:val="center"/>
              <w:rPr>
                <w:sz w:val="20"/>
                <w:szCs w:val="20"/>
              </w:rPr>
            </w:pPr>
          </w:p>
        </w:tc>
        <w:tc>
          <w:tcPr>
            <w:tcW w:w="1247" w:type="dxa"/>
            <w:tcBorders>
              <w:top w:val="nil"/>
            </w:tcBorders>
            <w:vAlign w:val="bottom"/>
          </w:tcPr>
          <w:p w:rsidR="00376F8F" w:rsidRPr="00E06A77" w:rsidRDefault="00376F8F" w:rsidP="008441EF">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2015/16</w:t>
            </w:r>
          </w:p>
        </w:tc>
        <w:tc>
          <w:tcPr>
            <w:tcW w:w="1247" w:type="dxa"/>
            <w:tcBorders>
              <w:top w:val="nil"/>
            </w:tcBorders>
            <w:vAlign w:val="bottom"/>
          </w:tcPr>
          <w:p w:rsidR="00376F8F" w:rsidRDefault="00376F8F" w:rsidP="008441EF">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2016/17</w:t>
            </w:r>
          </w:p>
        </w:tc>
        <w:tc>
          <w:tcPr>
            <w:tcW w:w="1247" w:type="dxa"/>
            <w:tcBorders>
              <w:top w:val="nil"/>
            </w:tcBorders>
            <w:vAlign w:val="bottom"/>
          </w:tcPr>
          <w:p w:rsidR="00376F8F" w:rsidRDefault="00376F8F" w:rsidP="008441EF">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2017/18</w:t>
            </w:r>
          </w:p>
        </w:tc>
        <w:tc>
          <w:tcPr>
            <w:tcW w:w="1247" w:type="dxa"/>
            <w:tcBorders>
              <w:top w:val="nil"/>
            </w:tcBorders>
            <w:vAlign w:val="bottom"/>
          </w:tcPr>
          <w:p w:rsidR="00376F8F" w:rsidRDefault="00376F8F" w:rsidP="008441EF">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2018/19</w:t>
            </w:r>
          </w:p>
        </w:tc>
        <w:tc>
          <w:tcPr>
            <w:tcW w:w="1247" w:type="dxa"/>
            <w:tcBorders>
              <w:top w:val="nil"/>
            </w:tcBorders>
            <w:vAlign w:val="bottom"/>
          </w:tcPr>
          <w:p w:rsidR="00376F8F" w:rsidRDefault="00376F8F" w:rsidP="008441EF">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2019/20</w:t>
            </w:r>
          </w:p>
        </w:tc>
      </w:tr>
      <w:tr w:rsidR="00CC285C" w:rsidRPr="002F54CC" w:rsidTr="00C32AD5">
        <w:trPr>
          <w:trHeight w:val="340"/>
        </w:trPr>
        <w:tc>
          <w:tcPr>
            <w:cnfStyle w:val="001000000000" w:firstRow="0" w:lastRow="0" w:firstColumn="1" w:lastColumn="0" w:oddVBand="0" w:evenVBand="0" w:oddHBand="0" w:evenHBand="0" w:firstRowFirstColumn="0" w:firstRowLastColumn="0" w:lastRowFirstColumn="0" w:lastRowLastColumn="0"/>
            <w:tcW w:w="1644" w:type="dxa"/>
            <w:vAlign w:val="top"/>
          </w:tcPr>
          <w:p w:rsidR="00CC285C" w:rsidRPr="001A5B14" w:rsidRDefault="00500195" w:rsidP="003C0120">
            <w:pPr>
              <w:pStyle w:val="Tabletext"/>
              <w:rPr>
                <w:rFonts w:asciiTheme="minorHAnsi" w:hAnsiTheme="minorHAnsi"/>
              </w:rPr>
            </w:pPr>
            <w:r>
              <w:rPr>
                <w:rFonts w:asciiTheme="minorHAnsi" w:hAnsiTheme="minorHAnsi"/>
                <w:szCs w:val="20"/>
              </w:rPr>
              <w:t>–</w:t>
            </w:r>
          </w:p>
        </w:tc>
        <w:tc>
          <w:tcPr>
            <w:tcW w:w="1247" w:type="dxa"/>
          </w:tcPr>
          <w:p w:rsidR="00CC285C" w:rsidRPr="001A5B14" w:rsidRDefault="00500195" w:rsidP="00CC285C">
            <w:pPr>
              <w:pStyle w:val="Tabletext-Centred"/>
              <w:numPr>
                <w:ilvl w:val="0"/>
                <w:numId w:val="0"/>
              </w:numPr>
              <w:tabs>
                <w:tab w:val="decimal" w:pos="713"/>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r>
      <w:tr w:rsidR="00CC285C" w:rsidRPr="002F54CC" w:rsidTr="00C32AD5">
        <w:trPr>
          <w:trHeight w:val="340"/>
        </w:trPr>
        <w:tc>
          <w:tcPr>
            <w:cnfStyle w:val="001000000000" w:firstRow="0" w:lastRow="0" w:firstColumn="1" w:lastColumn="0" w:oddVBand="0" w:evenVBand="0" w:oddHBand="0" w:evenHBand="0" w:firstRowFirstColumn="0" w:firstRowLastColumn="0" w:lastRowFirstColumn="0" w:lastRowLastColumn="0"/>
            <w:tcW w:w="1644" w:type="dxa"/>
            <w:vAlign w:val="top"/>
          </w:tcPr>
          <w:p w:rsidR="00CC285C" w:rsidRPr="001A5B14" w:rsidRDefault="00500195" w:rsidP="003C0120">
            <w:pPr>
              <w:pStyle w:val="Tabletext"/>
              <w:rPr>
                <w:rFonts w:asciiTheme="minorHAnsi" w:hAnsiTheme="minorHAnsi"/>
              </w:rPr>
            </w:pPr>
            <w:r>
              <w:rPr>
                <w:rFonts w:asciiTheme="minorHAnsi" w:hAnsiTheme="minorHAnsi"/>
                <w:szCs w:val="20"/>
              </w:rPr>
              <w:t>–</w:t>
            </w:r>
          </w:p>
        </w:tc>
        <w:tc>
          <w:tcPr>
            <w:tcW w:w="1247" w:type="dxa"/>
          </w:tcPr>
          <w:p w:rsidR="00CC285C" w:rsidRPr="001A5B14" w:rsidRDefault="00500195" w:rsidP="00CC285C">
            <w:pPr>
              <w:pStyle w:val="Tabletext-Centred"/>
              <w:numPr>
                <w:ilvl w:val="0"/>
                <w:numId w:val="0"/>
              </w:numPr>
              <w:tabs>
                <w:tab w:val="decimal" w:pos="713"/>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r>
      <w:tr w:rsidR="00CC285C" w:rsidRPr="002F54CC" w:rsidTr="00C32AD5">
        <w:trPr>
          <w:trHeight w:val="340"/>
        </w:trPr>
        <w:tc>
          <w:tcPr>
            <w:cnfStyle w:val="001000000000" w:firstRow="0" w:lastRow="0" w:firstColumn="1" w:lastColumn="0" w:oddVBand="0" w:evenVBand="0" w:oddHBand="0" w:evenHBand="0" w:firstRowFirstColumn="0" w:firstRowLastColumn="0" w:lastRowFirstColumn="0" w:lastRowLastColumn="0"/>
            <w:tcW w:w="1644" w:type="dxa"/>
            <w:vAlign w:val="top"/>
          </w:tcPr>
          <w:p w:rsidR="00CC285C" w:rsidRPr="001A5B14" w:rsidRDefault="00500195" w:rsidP="003C0120">
            <w:pPr>
              <w:pStyle w:val="Tabletext"/>
              <w:rPr>
                <w:rFonts w:asciiTheme="minorHAnsi" w:hAnsiTheme="minorHAnsi"/>
              </w:rPr>
            </w:pPr>
            <w:r>
              <w:rPr>
                <w:rFonts w:asciiTheme="minorHAnsi" w:hAnsiTheme="minorHAnsi"/>
                <w:szCs w:val="20"/>
              </w:rPr>
              <w:t>–</w:t>
            </w:r>
          </w:p>
        </w:tc>
        <w:tc>
          <w:tcPr>
            <w:tcW w:w="1247" w:type="dxa"/>
          </w:tcPr>
          <w:p w:rsidR="00CC285C" w:rsidRPr="001A5B14" w:rsidRDefault="00500195" w:rsidP="00CC285C">
            <w:pPr>
              <w:pStyle w:val="Tabletext-Centred"/>
              <w:numPr>
                <w:ilvl w:val="0"/>
                <w:numId w:val="0"/>
              </w:numPr>
              <w:tabs>
                <w:tab w:val="decimal" w:pos="713"/>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r>
      <w:tr w:rsidR="00CC285C" w:rsidRPr="002F54CC" w:rsidTr="00C32AD5">
        <w:trPr>
          <w:trHeight w:val="340"/>
        </w:trPr>
        <w:tc>
          <w:tcPr>
            <w:cnfStyle w:val="001000000000" w:firstRow="0" w:lastRow="0" w:firstColumn="1" w:lastColumn="0" w:oddVBand="0" w:evenVBand="0" w:oddHBand="0" w:evenHBand="0" w:firstRowFirstColumn="0" w:firstRowLastColumn="0" w:lastRowFirstColumn="0" w:lastRowLastColumn="0"/>
            <w:tcW w:w="1644" w:type="dxa"/>
            <w:vAlign w:val="top"/>
          </w:tcPr>
          <w:p w:rsidR="00CC285C" w:rsidRPr="001A5B14" w:rsidRDefault="00500195" w:rsidP="003C0120">
            <w:pPr>
              <w:pStyle w:val="Tabletext"/>
              <w:rPr>
                <w:rFonts w:asciiTheme="minorHAnsi" w:hAnsiTheme="minorHAnsi"/>
              </w:rPr>
            </w:pPr>
            <w:r>
              <w:rPr>
                <w:rFonts w:asciiTheme="minorHAnsi" w:hAnsiTheme="minorHAnsi"/>
                <w:szCs w:val="20"/>
              </w:rPr>
              <w:t>–</w:t>
            </w:r>
          </w:p>
        </w:tc>
        <w:tc>
          <w:tcPr>
            <w:tcW w:w="1247" w:type="dxa"/>
          </w:tcPr>
          <w:p w:rsidR="00CC285C" w:rsidRPr="001A5B14" w:rsidRDefault="00500195" w:rsidP="00CC285C">
            <w:pPr>
              <w:pStyle w:val="Tabletext-Centred"/>
              <w:numPr>
                <w:ilvl w:val="0"/>
                <w:numId w:val="0"/>
              </w:numPr>
              <w:tabs>
                <w:tab w:val="decimal" w:pos="713"/>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r>
    </w:tbl>
    <w:p w:rsidR="00CC285C" w:rsidRDefault="00CC285C">
      <w:pPr>
        <w:rPr>
          <w:i/>
          <w:szCs w:val="24"/>
        </w:rPr>
      </w:pPr>
    </w:p>
    <w:p w:rsidR="003F6229" w:rsidRDefault="003F6229">
      <w:pPr>
        <w:rPr>
          <w:b/>
        </w:rPr>
      </w:pPr>
      <w:r>
        <w:br w:type="page"/>
      </w:r>
    </w:p>
    <w:p w:rsidR="00CC285C" w:rsidRDefault="003F6229" w:rsidP="003F6229">
      <w:pPr>
        <w:pStyle w:val="Scheduletitles"/>
        <w:numPr>
          <w:ilvl w:val="0"/>
          <w:numId w:val="0"/>
        </w:numPr>
        <w:tabs>
          <w:tab w:val="left" w:pos="1418"/>
        </w:tabs>
        <w:ind w:left="1418" w:hanging="1418"/>
      </w:pPr>
      <w:r>
        <w:lastRenderedPageBreak/>
        <w:t>Schedule 5D:</w:t>
      </w:r>
      <w:r>
        <w:tab/>
      </w:r>
      <w:r w:rsidR="00CC285C">
        <w:t>NPV Wash-Up Allowance</w:t>
      </w:r>
      <w:r w:rsidR="006356F1">
        <w:t>s</w:t>
      </w:r>
    </w:p>
    <w:p w:rsidR="00CC285C" w:rsidRPr="00C054BB" w:rsidRDefault="00CC285C" w:rsidP="00B87C77">
      <w:pPr>
        <w:pStyle w:val="Schnumberedtext"/>
        <w:numPr>
          <w:ilvl w:val="0"/>
          <w:numId w:val="65"/>
        </w:numPr>
        <w:ind w:hanging="720"/>
      </w:pPr>
      <w:r w:rsidRPr="002F54CC">
        <w:t xml:space="preserve">The 2013-15 NPV Wash-up Allowance for a Non-exempt EDB </w:t>
      </w:r>
      <w:r w:rsidR="00514147">
        <w:t xml:space="preserve">for the Regulatory Period 1 April 2015 to 31 March 2020, </w:t>
      </w:r>
      <w:r w:rsidRPr="00C054BB">
        <w:t xml:space="preserve">and the Assessment Period </w:t>
      </w:r>
      <w:r w:rsidR="005757E3">
        <w:t>in which it is</w:t>
      </w:r>
      <w:r w:rsidRPr="00C054BB">
        <w:t xml:space="preserve"> a Recoverable Cost</w:t>
      </w:r>
      <w:r w:rsidR="008441EF">
        <w:t xml:space="preserve"> </w:t>
      </w:r>
      <w:r w:rsidR="008441EF" w:rsidRPr="008441EF">
        <w:rPr>
          <w:color w:val="1F497D" w:themeColor="text2"/>
          <w:u w:val="single"/>
        </w:rPr>
        <w:t>under clause 3.1.3(1)(s) of the IM Determination</w:t>
      </w:r>
      <w:r w:rsidR="00514147">
        <w:t>,</w:t>
      </w:r>
      <w:r w:rsidRPr="00C054BB">
        <w:t xml:space="preserve"> are set out in Table </w:t>
      </w:r>
      <w:r w:rsidR="00D6656F" w:rsidRPr="00C054BB">
        <w:t>5</w:t>
      </w:r>
      <w:r w:rsidR="003C4B79">
        <w:t>D.1</w:t>
      </w:r>
      <w:r w:rsidRPr="00C054BB">
        <w:t>.</w:t>
      </w:r>
    </w:p>
    <w:p w:rsidR="00CC285C" w:rsidRDefault="00CC285C" w:rsidP="00CC285C">
      <w:pPr>
        <w:pStyle w:val="SchTableheading"/>
        <w:rPr>
          <w:rFonts w:asciiTheme="minorHAnsi" w:hAnsiTheme="minorHAnsi"/>
        </w:rPr>
      </w:pPr>
      <w:r w:rsidRPr="00C054BB">
        <w:t xml:space="preserve">Table </w:t>
      </w:r>
      <w:r w:rsidR="00D6656F" w:rsidRPr="00C054BB">
        <w:t>5</w:t>
      </w:r>
      <w:r w:rsidR="003C4B79">
        <w:t>D.1</w:t>
      </w:r>
      <w:r w:rsidRPr="00C054BB">
        <w:t xml:space="preserve">: </w:t>
      </w:r>
      <w:r w:rsidRPr="00C054BB">
        <w:rPr>
          <w:rFonts w:asciiTheme="minorHAnsi" w:hAnsiTheme="minorHAnsi"/>
        </w:rPr>
        <w:t>2013-15 NPV wash-up allowances</w:t>
      </w:r>
      <w:r w:rsidR="00AD1378">
        <w:rPr>
          <w:rFonts w:asciiTheme="minorHAnsi" w:hAnsiTheme="minorHAnsi"/>
        </w:rPr>
        <w:t xml:space="preserve"> </w:t>
      </w:r>
      <w:r w:rsidRPr="00C054BB">
        <w:rPr>
          <w:rFonts w:asciiTheme="minorHAnsi" w:hAnsiTheme="minorHAnsi"/>
        </w:rPr>
        <w:t xml:space="preserve">to be applied by specified non-exempt EDBs in each </w:t>
      </w:r>
      <w:r w:rsidR="008B5D9C" w:rsidRPr="00C054BB">
        <w:rPr>
          <w:rFonts w:asciiTheme="minorHAnsi" w:hAnsiTheme="minorHAnsi"/>
        </w:rPr>
        <w:t>A</w:t>
      </w:r>
      <w:r w:rsidRPr="00C054BB">
        <w:rPr>
          <w:rFonts w:asciiTheme="minorHAnsi" w:hAnsiTheme="minorHAnsi"/>
        </w:rPr>
        <w:t xml:space="preserve">ssessment </w:t>
      </w:r>
      <w:r w:rsidR="008B5D9C" w:rsidRPr="00C054BB">
        <w:rPr>
          <w:rFonts w:asciiTheme="minorHAnsi" w:hAnsiTheme="minorHAnsi"/>
        </w:rPr>
        <w:t>P</w:t>
      </w:r>
      <w:r w:rsidRPr="00C054BB">
        <w:rPr>
          <w:rFonts w:asciiTheme="minorHAnsi" w:hAnsiTheme="minorHAnsi"/>
        </w:rPr>
        <w:t>eriod</w:t>
      </w:r>
    </w:p>
    <w:p w:rsidR="00236868" w:rsidRPr="00236868" w:rsidRDefault="00236868" w:rsidP="00236868">
      <w:pPr>
        <w:pStyle w:val="SchTableheading"/>
        <w:spacing w:after="0"/>
        <w:rPr>
          <w:b w:val="0"/>
          <w:sz w:val="20"/>
        </w:rPr>
      </w:pPr>
      <w:r w:rsidRPr="00C054BB">
        <w:rPr>
          <w:b w:val="0"/>
          <w:sz w:val="20"/>
        </w:rPr>
        <w:t>(All amounts in $000)</w:t>
      </w:r>
    </w:p>
    <w:tbl>
      <w:tblPr>
        <w:tblStyle w:val="SchTabletext"/>
        <w:tblW w:w="7879" w:type="dxa"/>
        <w:tblInd w:w="942" w:type="dxa"/>
        <w:tblLook w:val="04A0" w:firstRow="1" w:lastRow="0" w:firstColumn="1" w:lastColumn="0" w:noHBand="0" w:noVBand="1"/>
      </w:tblPr>
      <w:tblGrid>
        <w:gridCol w:w="1644"/>
        <w:gridCol w:w="1247"/>
        <w:gridCol w:w="1247"/>
        <w:gridCol w:w="1247"/>
        <w:gridCol w:w="1247"/>
        <w:gridCol w:w="1247"/>
      </w:tblGrid>
      <w:tr w:rsidR="008441EF" w:rsidTr="008441EF">
        <w:trPr>
          <w:cnfStyle w:val="100000000000" w:firstRow="1" w:lastRow="0" w:firstColumn="0" w:lastColumn="0" w:oddVBand="0" w:evenVBand="0" w:oddHBand="0" w:evenHBand="0" w:firstRowFirstColumn="0" w:firstRowLastColumn="0" w:lastRowFirstColumn="0" w:lastRowLastColumn="0"/>
          <w:trHeight w:val="373"/>
        </w:trPr>
        <w:tc>
          <w:tcPr>
            <w:cnfStyle w:val="001000000100" w:firstRow="0" w:lastRow="0" w:firstColumn="1" w:lastColumn="0" w:oddVBand="0" w:evenVBand="0" w:oddHBand="0" w:evenHBand="0" w:firstRowFirstColumn="1" w:firstRowLastColumn="0" w:lastRowFirstColumn="0" w:lastRowLastColumn="0"/>
            <w:tcW w:w="1644" w:type="dxa"/>
            <w:vMerge w:val="restart"/>
          </w:tcPr>
          <w:p w:rsidR="008441EF" w:rsidRDefault="008441EF" w:rsidP="008441EF">
            <w:pPr>
              <w:pStyle w:val="Tablebodytext"/>
              <w:jc w:val="center"/>
              <w:rPr>
                <w:sz w:val="20"/>
                <w:szCs w:val="20"/>
              </w:rPr>
            </w:pPr>
            <w:r>
              <w:rPr>
                <w:sz w:val="20"/>
                <w:szCs w:val="20"/>
              </w:rPr>
              <w:t>Non-exempt EDB</w:t>
            </w:r>
          </w:p>
        </w:tc>
        <w:tc>
          <w:tcPr>
            <w:tcW w:w="6235" w:type="dxa"/>
            <w:gridSpan w:val="5"/>
            <w:tcBorders>
              <w:bottom w:val="nil"/>
            </w:tcBorders>
          </w:tcPr>
          <w:p w:rsidR="008441EF" w:rsidRPr="008441EF" w:rsidRDefault="008441EF" w:rsidP="008441EF">
            <w:pPr>
              <w:pStyle w:val="Tablebodytext"/>
              <w:spacing w:after="0"/>
              <w:cnfStyle w:val="100000000000" w:firstRow="1" w:lastRow="0" w:firstColumn="0" w:lastColumn="0" w:oddVBand="0" w:evenVBand="0" w:oddHBand="0" w:evenHBand="0" w:firstRowFirstColumn="0" w:firstRowLastColumn="0" w:lastRowFirstColumn="0" w:lastRowLastColumn="0"/>
              <w:rPr>
                <w:sz w:val="20"/>
                <w:szCs w:val="20"/>
                <w:u w:val="single"/>
              </w:rPr>
            </w:pPr>
            <w:r w:rsidRPr="008441EF">
              <w:rPr>
                <w:color w:val="1F497D" w:themeColor="text2"/>
                <w:sz w:val="20"/>
                <w:szCs w:val="20"/>
                <w:u w:val="single"/>
              </w:rPr>
              <w:t>Assessment Period</w:t>
            </w:r>
          </w:p>
        </w:tc>
      </w:tr>
      <w:tr w:rsidR="008441EF" w:rsidTr="008441EF">
        <w:trPr>
          <w:trHeight w:val="392"/>
        </w:trPr>
        <w:tc>
          <w:tcPr>
            <w:cnfStyle w:val="001000000000" w:firstRow="0" w:lastRow="0" w:firstColumn="1" w:lastColumn="0" w:oddVBand="0" w:evenVBand="0" w:oddHBand="0" w:evenHBand="0" w:firstRowFirstColumn="0" w:firstRowLastColumn="0" w:lastRowFirstColumn="0" w:lastRowLastColumn="0"/>
            <w:tcW w:w="1644" w:type="dxa"/>
            <w:vMerge/>
            <w:vAlign w:val="bottom"/>
          </w:tcPr>
          <w:p w:rsidR="008441EF" w:rsidRPr="00E06A77" w:rsidRDefault="008441EF" w:rsidP="001A5B14">
            <w:pPr>
              <w:pStyle w:val="Tablebodytext"/>
              <w:jc w:val="center"/>
              <w:rPr>
                <w:sz w:val="20"/>
                <w:szCs w:val="20"/>
              </w:rPr>
            </w:pPr>
          </w:p>
        </w:tc>
        <w:tc>
          <w:tcPr>
            <w:tcW w:w="1247" w:type="dxa"/>
            <w:tcBorders>
              <w:top w:val="nil"/>
            </w:tcBorders>
          </w:tcPr>
          <w:p w:rsidR="008441EF" w:rsidRPr="00E06A77" w:rsidRDefault="008441EF" w:rsidP="008441EF">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2015/16</w:t>
            </w:r>
          </w:p>
        </w:tc>
        <w:tc>
          <w:tcPr>
            <w:tcW w:w="1247" w:type="dxa"/>
            <w:tcBorders>
              <w:top w:val="nil"/>
            </w:tcBorders>
          </w:tcPr>
          <w:p w:rsidR="008441EF" w:rsidRDefault="008441EF" w:rsidP="008441EF">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2016/17</w:t>
            </w:r>
          </w:p>
        </w:tc>
        <w:tc>
          <w:tcPr>
            <w:tcW w:w="1247" w:type="dxa"/>
            <w:tcBorders>
              <w:top w:val="nil"/>
            </w:tcBorders>
          </w:tcPr>
          <w:p w:rsidR="008441EF" w:rsidRDefault="008441EF" w:rsidP="008441EF">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2017/18</w:t>
            </w:r>
          </w:p>
        </w:tc>
        <w:tc>
          <w:tcPr>
            <w:tcW w:w="1247" w:type="dxa"/>
            <w:tcBorders>
              <w:top w:val="nil"/>
            </w:tcBorders>
          </w:tcPr>
          <w:p w:rsidR="008441EF" w:rsidRDefault="008441EF" w:rsidP="008441EF">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2018/19</w:t>
            </w:r>
          </w:p>
        </w:tc>
        <w:tc>
          <w:tcPr>
            <w:tcW w:w="1247" w:type="dxa"/>
            <w:tcBorders>
              <w:top w:val="nil"/>
            </w:tcBorders>
          </w:tcPr>
          <w:p w:rsidR="008441EF" w:rsidRDefault="008441EF" w:rsidP="008441EF">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2019/20</w:t>
            </w:r>
          </w:p>
        </w:tc>
      </w:tr>
      <w:tr w:rsidR="00CC285C" w:rsidRPr="002F54CC" w:rsidTr="00C32AD5">
        <w:trPr>
          <w:trHeight w:val="340"/>
        </w:trPr>
        <w:tc>
          <w:tcPr>
            <w:cnfStyle w:val="001000000000" w:firstRow="0" w:lastRow="0" w:firstColumn="1" w:lastColumn="0" w:oddVBand="0" w:evenVBand="0" w:oddHBand="0" w:evenHBand="0" w:firstRowFirstColumn="0" w:firstRowLastColumn="0" w:lastRowFirstColumn="0" w:lastRowLastColumn="0"/>
            <w:tcW w:w="1644" w:type="dxa"/>
            <w:vAlign w:val="top"/>
          </w:tcPr>
          <w:p w:rsidR="00CC285C" w:rsidRPr="001A5B14" w:rsidRDefault="00500195" w:rsidP="003C0120">
            <w:pPr>
              <w:pStyle w:val="Tabletext"/>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r>
      <w:tr w:rsidR="00CC285C" w:rsidRPr="002F54CC" w:rsidTr="00C32AD5">
        <w:trPr>
          <w:trHeight w:val="340"/>
        </w:trPr>
        <w:tc>
          <w:tcPr>
            <w:cnfStyle w:val="001000000000" w:firstRow="0" w:lastRow="0" w:firstColumn="1" w:lastColumn="0" w:oddVBand="0" w:evenVBand="0" w:oddHBand="0" w:evenHBand="0" w:firstRowFirstColumn="0" w:firstRowLastColumn="0" w:lastRowFirstColumn="0" w:lastRowLastColumn="0"/>
            <w:tcW w:w="1644" w:type="dxa"/>
            <w:vAlign w:val="top"/>
          </w:tcPr>
          <w:p w:rsidR="00CC285C" w:rsidRPr="001A5B14" w:rsidRDefault="00500195" w:rsidP="003C0120">
            <w:pPr>
              <w:pStyle w:val="Tabletext"/>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r>
      <w:tr w:rsidR="00CC285C" w:rsidRPr="002F54CC" w:rsidTr="00C32AD5">
        <w:trPr>
          <w:trHeight w:val="340"/>
        </w:trPr>
        <w:tc>
          <w:tcPr>
            <w:cnfStyle w:val="001000000000" w:firstRow="0" w:lastRow="0" w:firstColumn="1" w:lastColumn="0" w:oddVBand="0" w:evenVBand="0" w:oddHBand="0" w:evenHBand="0" w:firstRowFirstColumn="0" w:firstRowLastColumn="0" w:lastRowFirstColumn="0" w:lastRowLastColumn="0"/>
            <w:tcW w:w="1644" w:type="dxa"/>
            <w:vAlign w:val="top"/>
          </w:tcPr>
          <w:p w:rsidR="00CC285C" w:rsidRPr="001A5B14" w:rsidRDefault="00500195" w:rsidP="003C0120">
            <w:pPr>
              <w:pStyle w:val="Tabletext"/>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c>
          <w:tcPr>
            <w:tcW w:w="1247" w:type="dxa"/>
            <w:vAlign w:val="top"/>
          </w:tcPr>
          <w:p w:rsidR="00CC285C" w:rsidRPr="001A5B14" w:rsidRDefault="00500195"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szCs w:val="20"/>
              </w:rPr>
              <w:t>–</w:t>
            </w:r>
          </w:p>
        </w:tc>
      </w:tr>
    </w:tbl>
    <w:p w:rsidR="00CC285C" w:rsidRDefault="00CC285C">
      <w:pPr>
        <w:rPr>
          <w:i/>
          <w:szCs w:val="24"/>
        </w:rPr>
      </w:pPr>
    </w:p>
    <w:p w:rsidR="003F6229" w:rsidRDefault="003F6229">
      <w:pPr>
        <w:rPr>
          <w:b/>
        </w:rPr>
      </w:pPr>
      <w:r>
        <w:br w:type="page"/>
      </w:r>
    </w:p>
    <w:p w:rsidR="00CC285C" w:rsidRDefault="003F6229" w:rsidP="003F6229">
      <w:pPr>
        <w:pStyle w:val="Scheduletitles"/>
        <w:numPr>
          <w:ilvl w:val="0"/>
          <w:numId w:val="0"/>
        </w:numPr>
        <w:tabs>
          <w:tab w:val="left" w:pos="1418"/>
        </w:tabs>
        <w:ind w:left="1418" w:hanging="1418"/>
      </w:pPr>
      <w:r>
        <w:lastRenderedPageBreak/>
        <w:t>Schedule 5E:</w:t>
      </w:r>
      <w:r>
        <w:tab/>
      </w:r>
      <w:r w:rsidR="00FE0BAC">
        <w:t>Avoided transmission charges</w:t>
      </w:r>
    </w:p>
    <w:p w:rsidR="00CC285C" w:rsidRDefault="00CC285C" w:rsidP="00B87C77">
      <w:pPr>
        <w:pStyle w:val="Schnumberedtext"/>
        <w:numPr>
          <w:ilvl w:val="0"/>
          <w:numId w:val="66"/>
        </w:numPr>
        <w:ind w:hanging="720"/>
      </w:pPr>
      <w:r w:rsidRPr="002F54CC">
        <w:t xml:space="preserve">For the purposes of calculating </w:t>
      </w:r>
      <w:r w:rsidRPr="008441EF">
        <w:rPr>
          <w:strike/>
          <w:color w:val="1F497D" w:themeColor="text2"/>
        </w:rPr>
        <w:t>the</w:t>
      </w:r>
      <w:r w:rsidRPr="008441EF">
        <w:rPr>
          <w:color w:val="1F497D" w:themeColor="text2"/>
        </w:rPr>
        <w:t xml:space="preserve"> </w:t>
      </w:r>
      <w:r w:rsidR="00536995">
        <w:t xml:space="preserve">a Recoverable Cost under clause 3.1.3(1)(e) of the IM Determination, the amount of charge described in paragraph 3.1.3(1)(b) of the IM Determination that a Non-exempt EDB has avoided liability to pay as a result of the EDB having purchased </w:t>
      </w:r>
      <w:r w:rsidR="00B502DF">
        <w:t>System Fixed Assets</w:t>
      </w:r>
      <w:r w:rsidR="00536995">
        <w:t xml:space="preserve"> from Transpower is—</w:t>
      </w:r>
    </w:p>
    <w:p w:rsidR="00536995" w:rsidRDefault="00536995" w:rsidP="00536995">
      <w:pPr>
        <w:pStyle w:val="Para2"/>
        <w:tabs>
          <w:tab w:val="clear" w:pos="1418"/>
        </w:tabs>
        <w:ind w:left="1429"/>
      </w:pPr>
      <w:r>
        <w:t>(a)</w:t>
      </w:r>
      <w:r>
        <w:tab/>
      </w:r>
      <w:proofErr w:type="gramStart"/>
      <w:r>
        <w:t>for</w:t>
      </w:r>
      <w:proofErr w:type="gramEnd"/>
      <w:r>
        <w:t xml:space="preserve"> a purchase prior to 1 April 2015</w:t>
      </w:r>
      <w:r w:rsidR="008065B3">
        <w:t xml:space="preserve">, for </w:t>
      </w:r>
      <w:r w:rsidR="008065B3">
        <w:rPr>
          <w:color w:val="1F497D" w:themeColor="text2"/>
          <w:u w:val="single"/>
        </w:rPr>
        <w:t xml:space="preserve">each of the five </w:t>
      </w:r>
      <w:r w:rsidR="008065B3" w:rsidRPr="008441EF">
        <w:rPr>
          <w:color w:val="1F497D" w:themeColor="text2"/>
          <w:u w:val="single"/>
        </w:rPr>
        <w:t>Assessment Period</w:t>
      </w:r>
      <w:r w:rsidR="008065B3">
        <w:rPr>
          <w:color w:val="1F497D" w:themeColor="text2"/>
          <w:u w:val="single"/>
        </w:rPr>
        <w:t>s</w:t>
      </w:r>
      <w:r w:rsidR="008065B3" w:rsidRPr="008441EF">
        <w:rPr>
          <w:color w:val="1F497D" w:themeColor="text2"/>
          <w:u w:val="single"/>
        </w:rPr>
        <w:t xml:space="preserve"> </w:t>
      </w:r>
      <w:r w:rsidR="008065B3">
        <w:rPr>
          <w:color w:val="1F497D" w:themeColor="text2"/>
          <w:u w:val="single"/>
        </w:rPr>
        <w:t xml:space="preserve">immediately </w:t>
      </w:r>
      <w:r w:rsidR="008065B3" w:rsidRPr="008441EF">
        <w:rPr>
          <w:color w:val="1F497D" w:themeColor="text2"/>
          <w:u w:val="single"/>
        </w:rPr>
        <w:t xml:space="preserve">following the </w:t>
      </w:r>
      <w:r w:rsidR="008065B3">
        <w:rPr>
          <w:color w:val="1F497D" w:themeColor="text2"/>
          <w:u w:val="single"/>
        </w:rPr>
        <w:t xml:space="preserve">Assessment Period in which the </w:t>
      </w:r>
      <w:r w:rsidR="008065B3" w:rsidRPr="008441EF">
        <w:rPr>
          <w:color w:val="1F497D" w:themeColor="text2"/>
          <w:u w:val="single"/>
        </w:rPr>
        <w:t>purchase of the System Fixed Assets from Transpower</w:t>
      </w:r>
      <w:r w:rsidR="008065B3">
        <w:rPr>
          <w:color w:val="1F497D" w:themeColor="text2"/>
          <w:u w:val="single"/>
        </w:rPr>
        <w:t xml:space="preserve"> occurs</w:t>
      </w:r>
      <w:r w:rsidR="008065B3">
        <w:t xml:space="preserve"> </w:t>
      </w:r>
      <w:r>
        <w:t>—</w:t>
      </w:r>
    </w:p>
    <w:p w:rsidR="00536995" w:rsidRDefault="00536995" w:rsidP="00536995">
      <w:pPr>
        <w:pStyle w:val="Para2"/>
        <w:tabs>
          <w:tab w:val="clear" w:pos="1418"/>
        </w:tabs>
        <w:ind w:left="2127"/>
      </w:pPr>
      <w:r>
        <w:t>(</w:t>
      </w:r>
      <w:proofErr w:type="spellStart"/>
      <w:r>
        <w:t>i</w:t>
      </w:r>
      <w:proofErr w:type="spellEnd"/>
      <w:r>
        <w:t>)</w:t>
      </w:r>
      <w:r>
        <w:tab/>
      </w:r>
      <w:r w:rsidRPr="000F5804">
        <w:t xml:space="preserve">the amount that would have been charged by Transpower for the use of the </w:t>
      </w:r>
      <w:r w:rsidR="00B502DF">
        <w:t>System Fixed A</w:t>
      </w:r>
      <w:r w:rsidRPr="000F5804">
        <w:t xml:space="preserve">ssets transferred to the Non-exempt EDB as specified in a pricing schedule determined by Transpower for the year immediately preceding the Assessment Period in which the </w:t>
      </w:r>
      <w:r w:rsidRPr="008441EF">
        <w:rPr>
          <w:strike/>
          <w:color w:val="1F497D" w:themeColor="text2"/>
        </w:rPr>
        <w:t xml:space="preserve">charge </w:t>
      </w:r>
      <w:r w:rsidR="00B502DF" w:rsidRPr="008441EF">
        <w:rPr>
          <w:strike/>
          <w:color w:val="1F497D" w:themeColor="text2"/>
        </w:rPr>
        <w:t>wa</w:t>
      </w:r>
      <w:r w:rsidRPr="008441EF">
        <w:rPr>
          <w:strike/>
          <w:color w:val="1F497D" w:themeColor="text2"/>
        </w:rPr>
        <w:t>s first recovered</w:t>
      </w:r>
      <w:r w:rsidR="008441EF">
        <w:t xml:space="preserve"> </w:t>
      </w:r>
      <w:r w:rsidR="008441EF" w:rsidRPr="008441EF">
        <w:rPr>
          <w:color w:val="1F497D" w:themeColor="text2"/>
          <w:u w:val="single"/>
        </w:rPr>
        <w:t>purchase occurred</w:t>
      </w:r>
      <w:r>
        <w:t>, or</w:t>
      </w:r>
    </w:p>
    <w:p w:rsidR="00536995" w:rsidRDefault="00536995" w:rsidP="00536995">
      <w:pPr>
        <w:pStyle w:val="Para2"/>
        <w:tabs>
          <w:tab w:val="clear" w:pos="1418"/>
        </w:tabs>
        <w:ind w:left="2127"/>
      </w:pPr>
      <w:r>
        <w:t>(ii)</w:t>
      </w:r>
      <w:r>
        <w:tab/>
        <w:t xml:space="preserve">the </w:t>
      </w:r>
      <w:r w:rsidR="00B502DF" w:rsidRPr="008065B3">
        <w:rPr>
          <w:strike/>
          <w:color w:val="1F497D" w:themeColor="text2"/>
        </w:rPr>
        <w:t>adjusted</w:t>
      </w:r>
      <w:r w:rsidR="00B502DF" w:rsidRPr="008065B3">
        <w:rPr>
          <w:color w:val="1F497D" w:themeColor="text2"/>
        </w:rPr>
        <w:t xml:space="preserve"> </w:t>
      </w:r>
      <w:r>
        <w:t>amount determined in accordance with (</w:t>
      </w:r>
      <w:proofErr w:type="spellStart"/>
      <w:r>
        <w:t>i</w:t>
      </w:r>
      <w:proofErr w:type="spellEnd"/>
      <w:r>
        <w:t>)</w:t>
      </w:r>
      <w:r w:rsidRPr="000F5804">
        <w:t xml:space="preserve"> </w:t>
      </w:r>
      <w:r w:rsidR="008065B3" w:rsidRPr="008065B3">
        <w:rPr>
          <w:color w:val="1F497D" w:themeColor="text2"/>
          <w:u w:val="single"/>
        </w:rPr>
        <w:t>adjusted</w:t>
      </w:r>
      <w:r w:rsidR="008065B3">
        <w:t xml:space="preserve"> </w:t>
      </w:r>
      <w:r w:rsidRPr="000F5804">
        <w:t>where an Non-exempt EDB can demonstrate to the Commission that the Non-exempt EDB has made adjustments using a method consistent with the T</w:t>
      </w:r>
      <w:r w:rsidR="00B502DF">
        <w:t>ransmission Pricing Methodology; or</w:t>
      </w:r>
    </w:p>
    <w:p w:rsidR="00B502DF" w:rsidRDefault="00B502DF" w:rsidP="00B502DF">
      <w:pPr>
        <w:pStyle w:val="Para2"/>
        <w:tabs>
          <w:tab w:val="clear" w:pos="1418"/>
        </w:tabs>
      </w:pPr>
      <w:r>
        <w:t>(b)</w:t>
      </w:r>
      <w:r>
        <w:tab/>
      </w:r>
      <w:proofErr w:type="gramStart"/>
      <w:r>
        <w:t>for</w:t>
      </w:r>
      <w:proofErr w:type="gramEnd"/>
      <w:r>
        <w:t xml:space="preserve"> a purchase made on or after 1 April 2015 —</w:t>
      </w:r>
    </w:p>
    <w:p w:rsidR="00B502DF" w:rsidRDefault="00B502DF" w:rsidP="00B502DF">
      <w:pPr>
        <w:pStyle w:val="Subclause2"/>
        <w:numPr>
          <w:ilvl w:val="0"/>
          <w:numId w:val="0"/>
        </w:numPr>
        <w:ind w:left="2127" w:hanging="709"/>
      </w:pPr>
      <w:r>
        <w:t>(</w:t>
      </w:r>
      <w:proofErr w:type="spellStart"/>
      <w:r>
        <w:t>i</w:t>
      </w:r>
      <w:proofErr w:type="spellEnd"/>
      <w:r>
        <w:t>)</w:t>
      </w:r>
      <w:r>
        <w:tab/>
      </w:r>
      <w:r w:rsidRPr="002F54CC">
        <w:t>in the first Assessment Period following the purchase of the System Fixed Assets from Transpower, the difference between the costs of transmission payable to Transpower for th</w:t>
      </w:r>
      <w:r>
        <w:t xml:space="preserve">e first full Assessment Period </w:t>
      </w:r>
      <w:r w:rsidRPr="002F54CC">
        <w:t>following the transfer of the System Fixed Assets and the costs of transmission that would have been payable to Transpower for the Assessment Period in question had the transfer of System Fixed Assets not occurred;</w:t>
      </w:r>
      <w:r>
        <w:t xml:space="preserve"> and</w:t>
      </w:r>
    </w:p>
    <w:p w:rsidR="00B502DF" w:rsidRDefault="00B502DF" w:rsidP="00B502DF">
      <w:pPr>
        <w:pStyle w:val="Subclause2"/>
        <w:numPr>
          <w:ilvl w:val="0"/>
          <w:numId w:val="0"/>
        </w:numPr>
        <w:ind w:left="2127" w:hanging="709"/>
      </w:pPr>
      <w:r>
        <w:t>(ii)</w:t>
      </w:r>
      <w:r>
        <w:tab/>
      </w:r>
      <w:r w:rsidRPr="002F54CC">
        <w:t xml:space="preserve">in each of the four following Assessment Periods after the first Assessment Period for which an amount is calculated, the amount calculated in accordance with </w:t>
      </w:r>
      <w:r>
        <w:t>(</w:t>
      </w:r>
      <w:proofErr w:type="spellStart"/>
      <w:r>
        <w:t>i</w:t>
      </w:r>
      <w:proofErr w:type="spellEnd"/>
      <w:r>
        <w:t>)</w:t>
      </w:r>
      <w:r w:rsidRPr="00C054BB">
        <w:t>,</w:t>
      </w:r>
      <w:r w:rsidRPr="002F54CC">
        <w:t xml:space="preserve"> in constant nominal terms.</w:t>
      </w:r>
    </w:p>
    <w:p w:rsidR="00B502DF" w:rsidRPr="000F5804" w:rsidRDefault="00B502DF" w:rsidP="00B502DF">
      <w:pPr>
        <w:pStyle w:val="Para2"/>
        <w:tabs>
          <w:tab w:val="clear" w:pos="1418"/>
        </w:tabs>
      </w:pPr>
    </w:p>
    <w:p w:rsidR="003F6229" w:rsidRDefault="003F6229">
      <w:pPr>
        <w:rPr>
          <w:b/>
        </w:rPr>
      </w:pPr>
      <w:r>
        <w:br w:type="page"/>
      </w:r>
    </w:p>
    <w:p w:rsidR="00CC285C" w:rsidRDefault="003F6229" w:rsidP="003F6229">
      <w:pPr>
        <w:pStyle w:val="Scheduletitles"/>
        <w:numPr>
          <w:ilvl w:val="0"/>
          <w:numId w:val="0"/>
        </w:numPr>
        <w:tabs>
          <w:tab w:val="left" w:pos="1418"/>
        </w:tabs>
        <w:ind w:left="1418" w:hanging="1418"/>
      </w:pPr>
      <w:r>
        <w:lastRenderedPageBreak/>
        <w:t>Schedule 5F:</w:t>
      </w:r>
      <w:r>
        <w:tab/>
      </w:r>
      <w:r w:rsidR="00CC285C">
        <w:t>Transmission Asset Wash-up Adjustment</w:t>
      </w:r>
      <w:r w:rsidR="006356F1">
        <w:t>s</w:t>
      </w:r>
    </w:p>
    <w:p w:rsidR="00CC285C" w:rsidRPr="00B0730A" w:rsidRDefault="00CC285C" w:rsidP="00B87C77">
      <w:pPr>
        <w:pStyle w:val="Schnumberedtext"/>
        <w:numPr>
          <w:ilvl w:val="0"/>
          <w:numId w:val="67"/>
        </w:numPr>
        <w:ind w:hanging="720"/>
      </w:pPr>
      <w:r w:rsidRPr="002F54CC">
        <w:t xml:space="preserve">The Transmission Asset Wash-up Adjustment for </w:t>
      </w:r>
      <w:r w:rsidR="00AB63BF">
        <w:t>Eastland Network Limited</w:t>
      </w:r>
      <w:r w:rsidRPr="002F54CC">
        <w:t xml:space="preserve"> for the Regulatory Period </w:t>
      </w:r>
      <w:r w:rsidR="00514147">
        <w:t>1 April 2015 to 31 March 2020</w:t>
      </w:r>
      <w:r w:rsidR="00AB63BF">
        <w:t xml:space="preserve">, and the </w:t>
      </w:r>
      <w:r w:rsidR="0032305C">
        <w:t>transmission assets forecast to be purchased in the period 1 April 2014 to 31 March 2015 to which the amount</w:t>
      </w:r>
      <w:r w:rsidR="00AB63BF">
        <w:t xml:space="preserve"> relates, is </w:t>
      </w:r>
      <w:r w:rsidR="00095C2A" w:rsidRPr="00B0730A">
        <w:t>set out in Table 5</w:t>
      </w:r>
      <w:r w:rsidR="00514147">
        <w:t>F.1</w:t>
      </w:r>
      <w:r w:rsidR="00095C2A" w:rsidRPr="00B0730A">
        <w:t>.</w:t>
      </w:r>
    </w:p>
    <w:p w:rsidR="00EA3B24" w:rsidRDefault="00EA3B24" w:rsidP="00EA3B24">
      <w:pPr>
        <w:pStyle w:val="SchTableheading"/>
      </w:pPr>
      <w:r w:rsidRPr="00665EED">
        <w:t xml:space="preserve">Table </w:t>
      </w:r>
      <w:r w:rsidR="00D6656F" w:rsidRPr="00665EED">
        <w:t>5</w:t>
      </w:r>
      <w:r w:rsidR="008370F1">
        <w:t>F.1</w:t>
      </w:r>
      <w:r w:rsidRPr="00665EED">
        <w:t>: Transmission</w:t>
      </w:r>
      <w:r>
        <w:t xml:space="preserve"> Asset Wash-up for </w:t>
      </w:r>
      <w:r w:rsidR="00C054BB">
        <w:br/>
      </w:r>
      <w:r w:rsidR="00AB63BF">
        <w:t>Eastland Network Limited</w:t>
      </w:r>
    </w:p>
    <w:p w:rsidR="003A6C47" w:rsidRPr="00C054BB" w:rsidRDefault="003A6C47" w:rsidP="00C054BB">
      <w:pPr>
        <w:pStyle w:val="SchTableheading"/>
        <w:spacing w:after="0"/>
        <w:rPr>
          <w:b w:val="0"/>
          <w:sz w:val="20"/>
        </w:rPr>
      </w:pPr>
      <w:r w:rsidRPr="00C054BB">
        <w:rPr>
          <w:b w:val="0"/>
          <w:sz w:val="20"/>
        </w:rPr>
        <w:t>(Amounts in $000)</w:t>
      </w:r>
    </w:p>
    <w:tbl>
      <w:tblPr>
        <w:tblStyle w:val="SchTabletext"/>
        <w:tblW w:w="0" w:type="auto"/>
        <w:tblLook w:val="04A0" w:firstRow="1" w:lastRow="0" w:firstColumn="1" w:lastColumn="0" w:noHBand="0" w:noVBand="1"/>
      </w:tblPr>
      <w:tblGrid>
        <w:gridCol w:w="1985"/>
        <w:gridCol w:w="5172"/>
      </w:tblGrid>
      <w:tr w:rsidR="003462AD" w:rsidTr="003462AD">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1985" w:type="dxa"/>
          </w:tcPr>
          <w:p w:rsidR="003462AD" w:rsidRPr="00C054BB" w:rsidRDefault="003462AD" w:rsidP="00C32AD5">
            <w:pPr>
              <w:pStyle w:val="Tableheading"/>
              <w:rPr>
                <w:b/>
                <w:sz w:val="20"/>
              </w:rPr>
            </w:pPr>
            <w:r w:rsidRPr="00C054BB">
              <w:rPr>
                <w:b/>
                <w:sz w:val="20"/>
              </w:rPr>
              <w:t>Asset</w:t>
            </w:r>
          </w:p>
        </w:tc>
        <w:tc>
          <w:tcPr>
            <w:tcW w:w="5172" w:type="dxa"/>
          </w:tcPr>
          <w:p w:rsidR="003462AD" w:rsidRPr="00C054BB" w:rsidRDefault="003462AD" w:rsidP="003462AD">
            <w:pPr>
              <w:pStyle w:val="Tableheading"/>
              <w:cnfStyle w:val="100000000000" w:firstRow="1" w:lastRow="0" w:firstColumn="0" w:lastColumn="0" w:oddVBand="0" w:evenVBand="0" w:oddHBand="0" w:evenHBand="0" w:firstRowFirstColumn="0" w:firstRowLastColumn="0" w:lastRowFirstColumn="0" w:lastRowLastColumn="0"/>
              <w:rPr>
                <w:b/>
                <w:sz w:val="20"/>
              </w:rPr>
            </w:pPr>
            <w:r>
              <w:rPr>
                <w:b/>
                <w:sz w:val="20"/>
              </w:rPr>
              <w:t>Transmission asset wash-up adjustment</w:t>
            </w:r>
          </w:p>
        </w:tc>
      </w:tr>
      <w:tr w:rsidR="003462AD" w:rsidTr="003462AD">
        <w:trPr>
          <w:trHeight w:val="340"/>
        </w:trPr>
        <w:tc>
          <w:tcPr>
            <w:cnfStyle w:val="001000000000" w:firstRow="0" w:lastRow="0" w:firstColumn="1" w:lastColumn="0" w:oddVBand="0" w:evenVBand="0" w:oddHBand="0" w:evenHBand="0" w:firstRowFirstColumn="0" w:firstRowLastColumn="0" w:lastRowFirstColumn="0" w:lastRowLastColumn="0"/>
            <w:tcW w:w="1985" w:type="dxa"/>
          </w:tcPr>
          <w:p w:rsidR="003462AD" w:rsidRPr="00C054BB" w:rsidRDefault="003462AD" w:rsidP="00C32AD5">
            <w:pPr>
              <w:pStyle w:val="Schnumberedtext"/>
              <w:numPr>
                <w:ilvl w:val="0"/>
                <w:numId w:val="0"/>
              </w:numPr>
              <w:spacing w:after="0"/>
              <w:jc w:val="center"/>
              <w:rPr>
                <w:sz w:val="20"/>
              </w:rPr>
            </w:pPr>
            <w:r w:rsidRPr="00C054BB">
              <w:rPr>
                <w:rFonts w:asciiTheme="minorHAnsi" w:hAnsiTheme="minorHAnsi"/>
                <w:sz w:val="20"/>
              </w:rPr>
              <w:t>Eastland Spur Asset 1</w:t>
            </w:r>
          </w:p>
        </w:tc>
        <w:tc>
          <w:tcPr>
            <w:tcW w:w="5172" w:type="dxa"/>
          </w:tcPr>
          <w:p w:rsidR="003462AD" w:rsidRPr="00C054BB" w:rsidRDefault="003462AD" w:rsidP="003462AD">
            <w:pPr>
              <w:pStyle w:val="Schnumberedtext"/>
              <w:numPr>
                <w:ilvl w:val="0"/>
                <w:numId w:val="0"/>
              </w:numPr>
              <w:spacing w:after="0"/>
              <w:cnfStyle w:val="000000000000" w:firstRow="0" w:lastRow="0" w:firstColumn="0" w:lastColumn="0" w:oddVBand="0" w:evenVBand="0" w:oddHBand="0" w:evenHBand="0" w:firstRowFirstColumn="0" w:firstRowLastColumn="0" w:lastRowFirstColumn="0" w:lastRowLastColumn="0"/>
              <w:rPr>
                <w:sz w:val="20"/>
              </w:rPr>
            </w:pPr>
            <w:r>
              <w:rPr>
                <w:rFonts w:asciiTheme="minorHAnsi" w:hAnsiTheme="minorHAnsi"/>
                <w:sz w:val="20"/>
                <w:szCs w:val="20"/>
              </w:rPr>
              <w:t>–</w:t>
            </w:r>
          </w:p>
        </w:tc>
      </w:tr>
    </w:tbl>
    <w:p w:rsidR="005E0202" w:rsidRDefault="005E0202" w:rsidP="006A59F0">
      <w:pPr>
        <w:pStyle w:val="Schnumberedtext"/>
        <w:numPr>
          <w:ilvl w:val="0"/>
          <w:numId w:val="0"/>
        </w:numPr>
        <w:spacing w:before="240"/>
        <w:ind w:left="709" w:hanging="709"/>
      </w:pPr>
      <w:r>
        <w:tab/>
      </w:r>
      <w:proofErr w:type="gramStart"/>
      <w:r>
        <w:t>where</w:t>
      </w:r>
      <w:proofErr w:type="gramEnd"/>
      <w:r w:rsidR="0032305C">
        <w:t xml:space="preserve"> </w:t>
      </w:r>
      <w:r>
        <w:t xml:space="preserve">the </w:t>
      </w:r>
      <w:r w:rsidR="00AB63BF">
        <w:t>Eastland Spur Asset 1 consists of the following</w:t>
      </w:r>
      <w:r w:rsidR="0032305C">
        <w:t xml:space="preserve"> assets</w:t>
      </w:r>
      <w:r w:rsidR="00AB63BF">
        <w:t xml:space="preserve">: </w:t>
      </w:r>
      <w:r>
        <w:t>Transmission Line GIS-TUI-A</w:t>
      </w:r>
      <w:r w:rsidR="00AE76BA">
        <w:t xml:space="preserve">, </w:t>
      </w:r>
      <w:r>
        <w:t>Transmission Line GIS-TOB-A</w:t>
      </w:r>
      <w:r w:rsidR="00AE76BA">
        <w:t xml:space="preserve">, </w:t>
      </w:r>
      <w:r>
        <w:t>Transmission Line TUI-WRA-A</w:t>
      </w:r>
      <w:r w:rsidR="00AE76BA">
        <w:t>, and any associated substation assets</w:t>
      </w:r>
      <w:r w:rsidR="00027ACA">
        <w:t>.</w:t>
      </w:r>
    </w:p>
    <w:p w:rsidR="00AB63BF" w:rsidRPr="00B0730A" w:rsidRDefault="00AB63BF" w:rsidP="00AB63BF">
      <w:pPr>
        <w:pStyle w:val="Schnumberedtext"/>
        <w:ind w:left="709" w:hanging="709"/>
      </w:pPr>
      <w:r w:rsidRPr="002F54CC">
        <w:t xml:space="preserve">The Transmission Asset Wash-up Adjustment for </w:t>
      </w:r>
      <w:proofErr w:type="spellStart"/>
      <w:r w:rsidR="0032305C">
        <w:t>Powerco</w:t>
      </w:r>
      <w:proofErr w:type="spellEnd"/>
      <w:r w:rsidR="0032305C">
        <w:t xml:space="preserve"> Limited</w:t>
      </w:r>
      <w:r w:rsidRPr="002F54CC">
        <w:t xml:space="preserve"> for the Regulatory Period </w:t>
      </w:r>
      <w:r w:rsidR="00514147">
        <w:t>1 April 2015 to 31 March 2020</w:t>
      </w:r>
      <w:r w:rsidR="0032305C">
        <w:t xml:space="preserve">, and the transmission assets forecast to be purchased in the period 1 April 2014 to 31 March 2015 to which the </w:t>
      </w:r>
      <w:r w:rsidR="0032305C" w:rsidRPr="00B0730A">
        <w:t>amount relates, is</w:t>
      </w:r>
      <w:r w:rsidRPr="00B0730A">
        <w:t xml:space="preserve"> set out in Table 5</w:t>
      </w:r>
      <w:r w:rsidR="00514147">
        <w:t>F.2</w:t>
      </w:r>
      <w:r w:rsidRPr="00B0730A">
        <w:t>.</w:t>
      </w:r>
    </w:p>
    <w:p w:rsidR="0032305C" w:rsidRDefault="0032305C" w:rsidP="0032305C">
      <w:pPr>
        <w:pStyle w:val="SchTableheading"/>
      </w:pPr>
      <w:r w:rsidRPr="0032305C">
        <w:t>Table 5</w:t>
      </w:r>
      <w:r w:rsidR="008370F1">
        <w:t>F.2</w:t>
      </w:r>
      <w:r>
        <w:t xml:space="preserve">: Transmission Asset Wash-up for </w:t>
      </w:r>
      <w:proofErr w:type="spellStart"/>
      <w:r>
        <w:t>Powerco</w:t>
      </w:r>
      <w:proofErr w:type="spellEnd"/>
      <w:r>
        <w:t xml:space="preserve"> Limited</w:t>
      </w:r>
      <w:r w:rsidR="008370F1">
        <w:t xml:space="preserve"> </w:t>
      </w:r>
    </w:p>
    <w:p w:rsidR="0032305C" w:rsidRPr="00C054BB" w:rsidRDefault="0032305C" w:rsidP="00C054BB">
      <w:pPr>
        <w:pStyle w:val="SchTableheading"/>
        <w:spacing w:after="0"/>
        <w:rPr>
          <w:b w:val="0"/>
          <w:sz w:val="20"/>
        </w:rPr>
      </w:pPr>
      <w:r w:rsidRPr="00C054BB">
        <w:rPr>
          <w:b w:val="0"/>
          <w:sz w:val="20"/>
        </w:rPr>
        <w:t xml:space="preserve">(Amounts </w:t>
      </w:r>
      <w:r w:rsidR="003A6C47" w:rsidRPr="00C054BB">
        <w:rPr>
          <w:b w:val="0"/>
          <w:sz w:val="20"/>
        </w:rPr>
        <w:t>in</w:t>
      </w:r>
      <w:r w:rsidRPr="00C054BB">
        <w:rPr>
          <w:b w:val="0"/>
          <w:sz w:val="20"/>
        </w:rPr>
        <w:t xml:space="preserve"> $000)</w:t>
      </w:r>
    </w:p>
    <w:tbl>
      <w:tblPr>
        <w:tblStyle w:val="SchTabletext"/>
        <w:tblW w:w="0" w:type="auto"/>
        <w:tblLook w:val="04A0" w:firstRow="1" w:lastRow="0" w:firstColumn="1" w:lastColumn="0" w:noHBand="0" w:noVBand="1"/>
      </w:tblPr>
      <w:tblGrid>
        <w:gridCol w:w="2110"/>
        <w:gridCol w:w="5172"/>
      </w:tblGrid>
      <w:tr w:rsidR="003462AD" w:rsidTr="003462AD">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110" w:type="dxa"/>
          </w:tcPr>
          <w:p w:rsidR="003462AD" w:rsidRPr="00C054BB" w:rsidRDefault="003462AD" w:rsidP="00B87EFC">
            <w:pPr>
              <w:pStyle w:val="Tableheading"/>
              <w:rPr>
                <w:b/>
                <w:sz w:val="20"/>
                <w:szCs w:val="20"/>
              </w:rPr>
            </w:pPr>
            <w:r w:rsidRPr="00C054BB">
              <w:rPr>
                <w:b/>
                <w:sz w:val="20"/>
                <w:szCs w:val="20"/>
              </w:rPr>
              <w:t>Asset</w:t>
            </w:r>
          </w:p>
        </w:tc>
        <w:tc>
          <w:tcPr>
            <w:tcW w:w="5172" w:type="dxa"/>
          </w:tcPr>
          <w:p w:rsidR="003462AD" w:rsidRPr="00C054BB" w:rsidRDefault="003462AD" w:rsidP="00B87EFC">
            <w:pPr>
              <w:pStyle w:val="Tableheading"/>
              <w:cnfStyle w:val="100000000000" w:firstRow="1" w:lastRow="0" w:firstColumn="0" w:lastColumn="0" w:oddVBand="0" w:evenVBand="0" w:oddHBand="0" w:evenHBand="0" w:firstRowFirstColumn="0" w:firstRowLastColumn="0" w:lastRowFirstColumn="0" w:lastRowLastColumn="0"/>
              <w:rPr>
                <w:b/>
                <w:sz w:val="20"/>
                <w:szCs w:val="20"/>
              </w:rPr>
            </w:pPr>
            <w:r>
              <w:rPr>
                <w:b/>
                <w:sz w:val="20"/>
              </w:rPr>
              <w:t>Transmission asset wash-up adjustment</w:t>
            </w:r>
          </w:p>
        </w:tc>
      </w:tr>
      <w:tr w:rsidR="003462AD" w:rsidTr="003462AD">
        <w:trPr>
          <w:trHeight w:val="340"/>
        </w:trPr>
        <w:tc>
          <w:tcPr>
            <w:cnfStyle w:val="001000000000" w:firstRow="0" w:lastRow="0" w:firstColumn="1" w:lastColumn="0" w:oddVBand="0" w:evenVBand="0" w:oddHBand="0" w:evenHBand="0" w:firstRowFirstColumn="0" w:firstRowLastColumn="0" w:lastRowFirstColumn="0" w:lastRowLastColumn="0"/>
            <w:tcW w:w="2110" w:type="dxa"/>
          </w:tcPr>
          <w:p w:rsidR="003462AD" w:rsidRPr="00C054BB" w:rsidRDefault="003462AD" w:rsidP="00C32AD5">
            <w:pPr>
              <w:pStyle w:val="Schnumberedtext"/>
              <w:numPr>
                <w:ilvl w:val="0"/>
                <w:numId w:val="0"/>
              </w:numPr>
              <w:spacing w:after="0"/>
              <w:jc w:val="center"/>
              <w:rPr>
                <w:sz w:val="20"/>
                <w:szCs w:val="20"/>
              </w:rPr>
            </w:pPr>
            <w:proofErr w:type="spellStart"/>
            <w:r w:rsidRPr="00C054BB">
              <w:rPr>
                <w:rFonts w:asciiTheme="minorHAnsi" w:hAnsiTheme="minorHAnsi"/>
                <w:sz w:val="20"/>
                <w:szCs w:val="20"/>
              </w:rPr>
              <w:t>Powerco</w:t>
            </w:r>
            <w:proofErr w:type="spellEnd"/>
            <w:r w:rsidRPr="00C054BB">
              <w:rPr>
                <w:rFonts w:asciiTheme="minorHAnsi" w:hAnsiTheme="minorHAnsi"/>
                <w:sz w:val="20"/>
                <w:szCs w:val="20"/>
              </w:rPr>
              <w:t xml:space="preserve"> Spur Asset  1</w:t>
            </w:r>
          </w:p>
        </w:tc>
        <w:tc>
          <w:tcPr>
            <w:tcW w:w="5172" w:type="dxa"/>
          </w:tcPr>
          <w:p w:rsidR="003462AD" w:rsidRPr="00C054BB" w:rsidRDefault="003462AD" w:rsidP="003462AD">
            <w:pPr>
              <w:pStyle w:val="Schnumberedtext"/>
              <w:numPr>
                <w:ilvl w:val="0"/>
                <w:numId w:val="0"/>
              </w:numPr>
              <w:spacing w:after="0"/>
              <w:cnfStyle w:val="000000000000" w:firstRow="0" w:lastRow="0" w:firstColumn="0" w:lastColumn="0" w:oddVBand="0" w:evenVBand="0" w:oddHBand="0" w:evenHBand="0" w:firstRowFirstColumn="0" w:firstRowLastColumn="0" w:lastRowFirstColumn="0" w:lastRowLastColumn="0"/>
              <w:rPr>
                <w:sz w:val="20"/>
                <w:szCs w:val="20"/>
              </w:rPr>
            </w:pPr>
            <w:r>
              <w:rPr>
                <w:rFonts w:asciiTheme="minorHAnsi" w:hAnsiTheme="minorHAnsi"/>
                <w:sz w:val="20"/>
                <w:szCs w:val="20"/>
              </w:rPr>
              <w:t>–</w:t>
            </w:r>
          </w:p>
        </w:tc>
      </w:tr>
    </w:tbl>
    <w:p w:rsidR="0032305C" w:rsidRDefault="0032305C" w:rsidP="006A59F0">
      <w:pPr>
        <w:pStyle w:val="Schnumberedtext"/>
        <w:numPr>
          <w:ilvl w:val="0"/>
          <w:numId w:val="0"/>
        </w:numPr>
        <w:spacing w:before="240"/>
        <w:ind w:left="709" w:hanging="709"/>
      </w:pPr>
      <w:r>
        <w:tab/>
      </w:r>
      <w:proofErr w:type="gramStart"/>
      <w:r>
        <w:t>where</w:t>
      </w:r>
      <w:proofErr w:type="gramEnd"/>
      <w:r>
        <w:t xml:space="preserve"> the </w:t>
      </w:r>
      <w:proofErr w:type="spellStart"/>
      <w:r>
        <w:t>Powerco</w:t>
      </w:r>
      <w:proofErr w:type="spellEnd"/>
      <w:r>
        <w:t xml:space="preserve"> Spur Asset 1 consists of the following assets: </w:t>
      </w:r>
      <w:proofErr w:type="spellStart"/>
      <w:r w:rsidR="003A6C47">
        <w:t>Hinuera</w:t>
      </w:r>
      <w:proofErr w:type="spellEnd"/>
      <w:r w:rsidR="003A6C47">
        <w:t xml:space="preserve"> substation and </w:t>
      </w:r>
      <w:proofErr w:type="spellStart"/>
      <w:r w:rsidR="003A6C47">
        <w:t>Hinuera</w:t>
      </w:r>
      <w:proofErr w:type="spellEnd"/>
      <w:r w:rsidR="003A6C47">
        <w:t xml:space="preserve"> to </w:t>
      </w:r>
      <w:proofErr w:type="spellStart"/>
      <w:r w:rsidR="003A6C47">
        <w:t>Karapiro</w:t>
      </w:r>
      <w:proofErr w:type="spellEnd"/>
      <w:r w:rsidR="003A6C47">
        <w:t xml:space="preserve"> Line A</w:t>
      </w:r>
      <w:r w:rsidR="00AE76BA">
        <w:t>.</w:t>
      </w:r>
    </w:p>
    <w:p w:rsidR="00F103D7" w:rsidRPr="00E07DE1" w:rsidRDefault="00AB63BF" w:rsidP="00E07DE1">
      <w:pPr>
        <w:pStyle w:val="Schnumberedtext"/>
        <w:ind w:left="709" w:hanging="709"/>
        <w:rPr>
          <w:rFonts w:cs="Arial"/>
          <w:b/>
          <w:szCs w:val="17"/>
        </w:rPr>
      </w:pPr>
      <w:r w:rsidRPr="002F54CC">
        <w:t xml:space="preserve">The Transmission Asset Wash-up Adjustment for </w:t>
      </w:r>
      <w:r w:rsidR="00B0730A">
        <w:t>Network Tasman Limited</w:t>
      </w:r>
      <w:r w:rsidRPr="002F54CC">
        <w:t xml:space="preserve"> for the Regulatory Period </w:t>
      </w:r>
      <w:r w:rsidR="00514147">
        <w:t>1 April 2015 to 31 March 2020</w:t>
      </w:r>
      <w:r w:rsidR="0032305C">
        <w:t xml:space="preserve">, and the transmission assets forecast to be purchased in the period 1 April 2014 to 31 March 2015 to which the </w:t>
      </w:r>
      <w:r w:rsidR="0032305C" w:rsidRPr="00B0730A">
        <w:t>amount relates, is</w:t>
      </w:r>
      <w:r w:rsidRPr="00B0730A">
        <w:t xml:space="preserve"> set out in Table 5</w:t>
      </w:r>
      <w:r w:rsidR="00514147">
        <w:t>F.3</w:t>
      </w:r>
      <w:r w:rsidRPr="00B0730A">
        <w:t>.</w:t>
      </w:r>
    </w:p>
    <w:p w:rsidR="003A6C47" w:rsidRDefault="003A6C47" w:rsidP="003A6C47">
      <w:pPr>
        <w:pStyle w:val="SchTableheading"/>
      </w:pPr>
      <w:r w:rsidRPr="0032305C">
        <w:t>Table 5</w:t>
      </w:r>
      <w:r w:rsidR="008370F1">
        <w:t>F.3</w:t>
      </w:r>
      <w:r>
        <w:t xml:space="preserve">: Transmission Asset Wash-up for </w:t>
      </w:r>
      <w:r w:rsidR="00AF4817">
        <w:br/>
      </w:r>
      <w:r w:rsidR="00B0730A">
        <w:t>Network Tasman</w:t>
      </w:r>
      <w:r>
        <w:t xml:space="preserve"> Limited</w:t>
      </w:r>
    </w:p>
    <w:p w:rsidR="003A6C47" w:rsidRPr="00C054BB" w:rsidRDefault="003A6C47" w:rsidP="00C054BB">
      <w:pPr>
        <w:pStyle w:val="SchTableheading"/>
        <w:spacing w:after="0"/>
        <w:rPr>
          <w:b w:val="0"/>
          <w:sz w:val="20"/>
        </w:rPr>
      </w:pPr>
      <w:r w:rsidRPr="00C054BB">
        <w:rPr>
          <w:b w:val="0"/>
          <w:sz w:val="20"/>
        </w:rPr>
        <w:t>(Amounts in $000)</w:t>
      </w:r>
    </w:p>
    <w:tbl>
      <w:tblPr>
        <w:tblStyle w:val="SchTabletext"/>
        <w:tblW w:w="0" w:type="auto"/>
        <w:tblLook w:val="04A0" w:firstRow="1" w:lastRow="0" w:firstColumn="1" w:lastColumn="0" w:noHBand="0" w:noVBand="1"/>
      </w:tblPr>
      <w:tblGrid>
        <w:gridCol w:w="1985"/>
        <w:gridCol w:w="5172"/>
      </w:tblGrid>
      <w:tr w:rsidR="003462AD" w:rsidTr="003462AD">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985" w:type="dxa"/>
          </w:tcPr>
          <w:p w:rsidR="003462AD" w:rsidRPr="00C054BB" w:rsidRDefault="003462AD" w:rsidP="00B87EFC">
            <w:pPr>
              <w:pStyle w:val="Tableheading"/>
              <w:rPr>
                <w:b/>
                <w:sz w:val="20"/>
              </w:rPr>
            </w:pPr>
            <w:r w:rsidRPr="00C054BB">
              <w:rPr>
                <w:b/>
                <w:sz w:val="20"/>
              </w:rPr>
              <w:t>Asset</w:t>
            </w:r>
          </w:p>
        </w:tc>
        <w:tc>
          <w:tcPr>
            <w:tcW w:w="5172" w:type="dxa"/>
          </w:tcPr>
          <w:p w:rsidR="003462AD" w:rsidRPr="00C054BB" w:rsidRDefault="003462AD" w:rsidP="00B87EFC">
            <w:pPr>
              <w:pStyle w:val="Tableheading"/>
              <w:cnfStyle w:val="100000000000" w:firstRow="1" w:lastRow="0" w:firstColumn="0" w:lastColumn="0" w:oddVBand="0" w:evenVBand="0" w:oddHBand="0" w:evenHBand="0" w:firstRowFirstColumn="0" w:firstRowLastColumn="0" w:lastRowFirstColumn="0" w:lastRowLastColumn="0"/>
              <w:rPr>
                <w:b/>
                <w:sz w:val="20"/>
              </w:rPr>
            </w:pPr>
            <w:r>
              <w:rPr>
                <w:b/>
                <w:sz w:val="20"/>
              </w:rPr>
              <w:t>Transmission asset wash-up adjustment</w:t>
            </w:r>
          </w:p>
        </w:tc>
      </w:tr>
      <w:tr w:rsidR="003462AD" w:rsidTr="003462AD">
        <w:trPr>
          <w:trHeight w:val="567"/>
        </w:trPr>
        <w:tc>
          <w:tcPr>
            <w:cnfStyle w:val="001000000000" w:firstRow="0" w:lastRow="0" w:firstColumn="1" w:lastColumn="0" w:oddVBand="0" w:evenVBand="0" w:oddHBand="0" w:evenHBand="0" w:firstRowFirstColumn="0" w:firstRowLastColumn="0" w:lastRowFirstColumn="0" w:lastRowLastColumn="0"/>
            <w:tcW w:w="1985" w:type="dxa"/>
          </w:tcPr>
          <w:p w:rsidR="003462AD" w:rsidRPr="00C054BB" w:rsidRDefault="003462AD" w:rsidP="00C32AD5">
            <w:pPr>
              <w:pStyle w:val="Schnumberedtext"/>
              <w:numPr>
                <w:ilvl w:val="0"/>
                <w:numId w:val="0"/>
              </w:numPr>
              <w:spacing w:after="0"/>
              <w:jc w:val="center"/>
              <w:rPr>
                <w:sz w:val="20"/>
              </w:rPr>
            </w:pPr>
            <w:r w:rsidRPr="00C054BB">
              <w:rPr>
                <w:rFonts w:asciiTheme="minorHAnsi" w:hAnsiTheme="minorHAnsi"/>
                <w:sz w:val="20"/>
              </w:rPr>
              <w:t>Network Tasman Spur Asset 1</w:t>
            </w:r>
          </w:p>
        </w:tc>
        <w:tc>
          <w:tcPr>
            <w:tcW w:w="5172" w:type="dxa"/>
          </w:tcPr>
          <w:p w:rsidR="003462AD" w:rsidRPr="00C054BB" w:rsidRDefault="003462AD" w:rsidP="003462AD">
            <w:pPr>
              <w:pStyle w:val="Schnumberedtext"/>
              <w:numPr>
                <w:ilvl w:val="0"/>
                <w:numId w:val="0"/>
              </w:numPr>
              <w:spacing w:after="0"/>
              <w:cnfStyle w:val="000000000000" w:firstRow="0" w:lastRow="0" w:firstColumn="0" w:lastColumn="0" w:oddVBand="0" w:evenVBand="0" w:oddHBand="0" w:evenHBand="0" w:firstRowFirstColumn="0" w:firstRowLastColumn="0" w:lastRowFirstColumn="0" w:lastRowLastColumn="0"/>
              <w:rPr>
                <w:sz w:val="20"/>
              </w:rPr>
            </w:pPr>
            <w:r>
              <w:rPr>
                <w:rFonts w:asciiTheme="minorHAnsi" w:hAnsiTheme="minorHAnsi"/>
                <w:sz w:val="20"/>
                <w:szCs w:val="20"/>
              </w:rPr>
              <w:t>–</w:t>
            </w:r>
          </w:p>
        </w:tc>
      </w:tr>
    </w:tbl>
    <w:p w:rsidR="003A6C47" w:rsidRDefault="003A6C47" w:rsidP="006A59F0">
      <w:pPr>
        <w:pStyle w:val="Schnumberedtext"/>
        <w:numPr>
          <w:ilvl w:val="0"/>
          <w:numId w:val="0"/>
        </w:numPr>
        <w:spacing w:before="240"/>
        <w:ind w:left="709" w:hanging="709"/>
      </w:pPr>
      <w:r>
        <w:lastRenderedPageBreak/>
        <w:tab/>
      </w:r>
      <w:proofErr w:type="gramStart"/>
      <w:r>
        <w:t>where</w:t>
      </w:r>
      <w:proofErr w:type="gramEnd"/>
      <w:r>
        <w:t xml:space="preserve"> the </w:t>
      </w:r>
      <w:r w:rsidR="00B0730A">
        <w:t>Network Tasman</w:t>
      </w:r>
      <w:r>
        <w:t xml:space="preserve"> Spur Asset 1 consists of the following assets: </w:t>
      </w:r>
      <w:proofErr w:type="spellStart"/>
      <w:r w:rsidR="00AE76BA">
        <w:t>Motueka</w:t>
      </w:r>
      <w:proofErr w:type="spellEnd"/>
      <w:r w:rsidR="00AE76BA">
        <w:t xml:space="preserve"> Substation, Upper </w:t>
      </w:r>
      <w:proofErr w:type="spellStart"/>
      <w:r w:rsidR="00AE76BA">
        <w:t>Takaka</w:t>
      </w:r>
      <w:proofErr w:type="spellEnd"/>
      <w:r w:rsidR="00AE76BA">
        <w:t xml:space="preserve"> Substation, </w:t>
      </w:r>
      <w:r w:rsidR="00B0730A">
        <w:t xml:space="preserve">Cobb </w:t>
      </w:r>
      <w:r w:rsidR="00AE76BA">
        <w:t xml:space="preserve">Substation, </w:t>
      </w:r>
      <w:r w:rsidR="00B0730A">
        <w:t xml:space="preserve">Upper </w:t>
      </w:r>
      <w:proofErr w:type="spellStart"/>
      <w:r w:rsidR="00B0730A">
        <w:t>Takaka_Motupipi</w:t>
      </w:r>
      <w:proofErr w:type="spellEnd"/>
      <w:r w:rsidR="00B0730A">
        <w:t xml:space="preserve"> 66kV Line (1)</w:t>
      </w:r>
      <w:r w:rsidR="00AE76BA">
        <w:t xml:space="preserve">, Stoke Upper </w:t>
      </w:r>
      <w:proofErr w:type="spellStart"/>
      <w:r w:rsidR="00AE76BA">
        <w:t>Takaka</w:t>
      </w:r>
      <w:proofErr w:type="spellEnd"/>
      <w:r w:rsidR="00AE76BA">
        <w:t xml:space="preserve"> Lines (2), </w:t>
      </w:r>
      <w:proofErr w:type="spellStart"/>
      <w:r w:rsidR="00B0730A">
        <w:t>Cobb_Upper</w:t>
      </w:r>
      <w:proofErr w:type="spellEnd"/>
      <w:r w:rsidR="00B0730A">
        <w:t xml:space="preserve"> </w:t>
      </w:r>
      <w:proofErr w:type="spellStart"/>
      <w:r w:rsidR="00B0730A">
        <w:t>Takaka</w:t>
      </w:r>
      <w:proofErr w:type="spellEnd"/>
      <w:r w:rsidR="00B0730A">
        <w:t xml:space="preserve"> Lines (2)</w:t>
      </w:r>
      <w:r w:rsidR="00AE76BA">
        <w:t>.</w:t>
      </w:r>
    </w:p>
    <w:p w:rsidR="003F6229" w:rsidRDefault="003F6229">
      <w:pPr>
        <w:rPr>
          <w:b/>
        </w:rPr>
      </w:pPr>
      <w:r>
        <w:br w:type="page"/>
      </w:r>
    </w:p>
    <w:p w:rsidR="00EA3B24" w:rsidRDefault="003F6229" w:rsidP="003F6229">
      <w:pPr>
        <w:pStyle w:val="Scheduletitles"/>
        <w:numPr>
          <w:ilvl w:val="0"/>
          <w:numId w:val="0"/>
        </w:numPr>
        <w:tabs>
          <w:tab w:val="left" w:pos="1418"/>
        </w:tabs>
        <w:ind w:left="1418" w:hanging="1418"/>
      </w:pPr>
      <w:r>
        <w:lastRenderedPageBreak/>
        <w:t>Schedule 5G:</w:t>
      </w:r>
      <w:r>
        <w:tab/>
      </w:r>
      <w:r w:rsidR="00EA3B24" w:rsidRPr="00EA3B24">
        <w:t>How to calculate recoverable costs for the incremental rolling incentive scheme</w:t>
      </w:r>
    </w:p>
    <w:p w:rsidR="00EA3B24" w:rsidRDefault="00EA3B24" w:rsidP="00B87C77">
      <w:pPr>
        <w:pStyle w:val="Schnumberedtext"/>
        <w:numPr>
          <w:ilvl w:val="0"/>
          <w:numId w:val="68"/>
        </w:numPr>
        <w:ind w:hanging="720"/>
      </w:pPr>
      <w:r w:rsidRPr="002F54CC">
        <w:t xml:space="preserve">For the purposes of calculating </w:t>
      </w:r>
      <w:r w:rsidRPr="00027ACA">
        <w:t>the Opex Incentive</w:t>
      </w:r>
      <w:r w:rsidRPr="002F54CC">
        <w:t xml:space="preserve"> </w:t>
      </w:r>
      <w:r w:rsidRPr="00D84470">
        <w:rPr>
          <w:strike/>
          <w:color w:val="1F497D" w:themeColor="text2"/>
        </w:rPr>
        <w:t>Adjustment</w:t>
      </w:r>
      <w:r w:rsidRPr="00D84470">
        <w:rPr>
          <w:color w:val="1F497D" w:themeColor="text2"/>
        </w:rPr>
        <w:t xml:space="preserve"> </w:t>
      </w:r>
      <w:r w:rsidR="00D84470" w:rsidRPr="00D84470">
        <w:rPr>
          <w:color w:val="1F497D" w:themeColor="text2"/>
          <w:u w:val="single"/>
        </w:rPr>
        <w:t>Amount</w:t>
      </w:r>
      <w:r w:rsidR="00D84470">
        <w:rPr>
          <w:color w:val="1F497D" w:themeColor="text2"/>
        </w:rPr>
        <w:t xml:space="preserve"> </w:t>
      </w:r>
      <w:r w:rsidRPr="002F54CC">
        <w:t xml:space="preserve">for each Non-exempt EDB </w:t>
      </w:r>
      <w:r w:rsidR="00514147">
        <w:t>for the Regulatory Period 1 April 2015 to 31 March 2020</w:t>
      </w:r>
      <w:r w:rsidRPr="002F54CC">
        <w:t>, the forecast operating expenditure,</w:t>
      </w:r>
      <w:r w:rsidR="00F62296">
        <w:t xml:space="preserve"> </w:t>
      </w:r>
      <w:r w:rsidRPr="002F54CC">
        <w:t>and the Assessment Period to which it a</w:t>
      </w:r>
      <w:r w:rsidR="00D6656F">
        <w:t xml:space="preserve">pplies, is as set out </w:t>
      </w:r>
      <w:r w:rsidR="00D6656F" w:rsidRPr="00665EED">
        <w:t>in Table 5</w:t>
      </w:r>
      <w:r w:rsidR="003C4B79">
        <w:t>G.1</w:t>
      </w:r>
      <w:r w:rsidRPr="00665EED">
        <w:t>.</w:t>
      </w:r>
    </w:p>
    <w:p w:rsidR="00EA3B24" w:rsidRDefault="00D6656F" w:rsidP="00EA3B24">
      <w:pPr>
        <w:pStyle w:val="SchTableheading"/>
      </w:pPr>
      <w:r w:rsidRPr="00665EED">
        <w:t>Table 5</w:t>
      </w:r>
      <w:r w:rsidR="003C4B79">
        <w:t>G.1</w:t>
      </w:r>
      <w:r w:rsidR="00EA3B24">
        <w:t xml:space="preserve">: </w:t>
      </w:r>
      <w:r w:rsidR="00AF0407">
        <w:t>F</w:t>
      </w:r>
      <w:r w:rsidR="00EA3B24" w:rsidRPr="00EA3B24">
        <w:t xml:space="preserve">orecast operating expenditure for Non-exempt EDBs for the Regulatory Period </w:t>
      </w:r>
      <w:r w:rsidR="00EA3B24" w:rsidRPr="00B15F45">
        <w:rPr>
          <w:strike/>
          <w:color w:val="1F497D" w:themeColor="text2"/>
        </w:rPr>
        <w:t>2015-2020</w:t>
      </w:r>
      <w:r w:rsidR="00B15F45">
        <w:rPr>
          <w:strike/>
          <w:color w:val="1F497D" w:themeColor="text2"/>
        </w:rPr>
        <w:t xml:space="preserve"> </w:t>
      </w:r>
      <w:r w:rsidR="00B15F45" w:rsidRPr="00B15F45">
        <w:rPr>
          <w:color w:val="1F497D" w:themeColor="text2"/>
          <w:u w:val="single"/>
        </w:rPr>
        <w:t>1 April 2015 – 31 March 2020</w:t>
      </w:r>
    </w:p>
    <w:p w:rsidR="00D17757" w:rsidRPr="00C054BB" w:rsidRDefault="00D17757" w:rsidP="00D17757">
      <w:pPr>
        <w:pStyle w:val="SchTableheading"/>
        <w:spacing w:after="0"/>
        <w:rPr>
          <w:b w:val="0"/>
          <w:sz w:val="20"/>
        </w:rPr>
      </w:pPr>
      <w:r w:rsidRPr="00C054BB">
        <w:rPr>
          <w:b w:val="0"/>
          <w:sz w:val="20"/>
        </w:rPr>
        <w:t>(All amounts in $000)</w:t>
      </w:r>
    </w:p>
    <w:tbl>
      <w:tblPr>
        <w:tblStyle w:val="SchTabletext"/>
        <w:tblW w:w="7879" w:type="dxa"/>
        <w:tblInd w:w="942" w:type="dxa"/>
        <w:tblLook w:val="04A0" w:firstRow="1" w:lastRow="0" w:firstColumn="1" w:lastColumn="0" w:noHBand="0" w:noVBand="1"/>
      </w:tblPr>
      <w:tblGrid>
        <w:gridCol w:w="1644"/>
        <w:gridCol w:w="1247"/>
        <w:gridCol w:w="1247"/>
        <w:gridCol w:w="1247"/>
        <w:gridCol w:w="1247"/>
        <w:gridCol w:w="1247"/>
      </w:tblGrid>
      <w:tr w:rsidR="00B15F45" w:rsidTr="00B15F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44" w:type="dxa"/>
            <w:vMerge w:val="restart"/>
          </w:tcPr>
          <w:p w:rsidR="00B15F45" w:rsidRDefault="00B15F45" w:rsidP="003C0120">
            <w:pPr>
              <w:pStyle w:val="Tablebodytext"/>
              <w:jc w:val="center"/>
              <w:rPr>
                <w:sz w:val="20"/>
                <w:szCs w:val="20"/>
              </w:rPr>
            </w:pPr>
            <w:r>
              <w:rPr>
                <w:sz w:val="20"/>
                <w:szCs w:val="20"/>
              </w:rPr>
              <w:t>Non-exempt EDB</w:t>
            </w:r>
          </w:p>
        </w:tc>
        <w:tc>
          <w:tcPr>
            <w:tcW w:w="6235" w:type="dxa"/>
            <w:gridSpan w:val="5"/>
            <w:tcBorders>
              <w:bottom w:val="nil"/>
            </w:tcBorders>
          </w:tcPr>
          <w:p w:rsidR="00B15F45" w:rsidRPr="00B15F45" w:rsidRDefault="00B15F45" w:rsidP="00B15F45">
            <w:pPr>
              <w:pStyle w:val="Tablebodytext"/>
              <w:spacing w:after="120"/>
              <w:cnfStyle w:val="100000000000" w:firstRow="1" w:lastRow="0" w:firstColumn="0" w:lastColumn="0" w:oddVBand="0" w:evenVBand="0" w:oddHBand="0" w:evenHBand="0" w:firstRowFirstColumn="0" w:firstRowLastColumn="0" w:lastRowFirstColumn="0" w:lastRowLastColumn="0"/>
              <w:rPr>
                <w:sz w:val="20"/>
                <w:szCs w:val="20"/>
                <w:u w:val="single"/>
              </w:rPr>
            </w:pPr>
            <w:r w:rsidRPr="00B15F45">
              <w:rPr>
                <w:color w:val="1F497D" w:themeColor="text2"/>
                <w:sz w:val="20"/>
                <w:szCs w:val="20"/>
                <w:u w:val="single"/>
              </w:rPr>
              <w:t>Assessment Period</w:t>
            </w:r>
          </w:p>
        </w:tc>
      </w:tr>
      <w:tr w:rsidR="00B15F45" w:rsidTr="00B15F45">
        <w:tc>
          <w:tcPr>
            <w:cnfStyle w:val="001000000000" w:firstRow="0" w:lastRow="0" w:firstColumn="1" w:lastColumn="0" w:oddVBand="0" w:evenVBand="0" w:oddHBand="0" w:evenHBand="0" w:firstRowFirstColumn="0" w:firstRowLastColumn="0" w:lastRowFirstColumn="0" w:lastRowLastColumn="0"/>
            <w:tcW w:w="1644" w:type="dxa"/>
            <w:vMerge/>
          </w:tcPr>
          <w:p w:rsidR="00B15F45" w:rsidRPr="00E06A77" w:rsidRDefault="00B15F45" w:rsidP="003C0120">
            <w:pPr>
              <w:pStyle w:val="Tablebodytext"/>
              <w:jc w:val="center"/>
              <w:rPr>
                <w:sz w:val="20"/>
                <w:szCs w:val="20"/>
              </w:rPr>
            </w:pPr>
          </w:p>
        </w:tc>
        <w:tc>
          <w:tcPr>
            <w:tcW w:w="1247" w:type="dxa"/>
            <w:tcBorders>
              <w:top w:val="nil"/>
            </w:tcBorders>
          </w:tcPr>
          <w:p w:rsidR="00B15F45" w:rsidRPr="00E06A77" w:rsidRDefault="00B15F45" w:rsidP="00B15F45">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2015/16</w:t>
            </w:r>
          </w:p>
        </w:tc>
        <w:tc>
          <w:tcPr>
            <w:tcW w:w="1247" w:type="dxa"/>
            <w:tcBorders>
              <w:top w:val="nil"/>
            </w:tcBorders>
          </w:tcPr>
          <w:p w:rsidR="00B15F45" w:rsidRDefault="00B15F45" w:rsidP="00B15F45">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2016/17</w:t>
            </w:r>
          </w:p>
        </w:tc>
        <w:tc>
          <w:tcPr>
            <w:tcW w:w="1247" w:type="dxa"/>
            <w:tcBorders>
              <w:top w:val="nil"/>
            </w:tcBorders>
          </w:tcPr>
          <w:p w:rsidR="00B15F45" w:rsidRDefault="00B15F45" w:rsidP="00B15F45">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2017/18</w:t>
            </w:r>
          </w:p>
        </w:tc>
        <w:tc>
          <w:tcPr>
            <w:tcW w:w="1247" w:type="dxa"/>
            <w:tcBorders>
              <w:top w:val="nil"/>
            </w:tcBorders>
          </w:tcPr>
          <w:p w:rsidR="00B15F45" w:rsidRDefault="00B15F45" w:rsidP="00B15F45">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2018/19</w:t>
            </w:r>
          </w:p>
        </w:tc>
        <w:tc>
          <w:tcPr>
            <w:tcW w:w="1247" w:type="dxa"/>
            <w:tcBorders>
              <w:top w:val="nil"/>
            </w:tcBorders>
          </w:tcPr>
          <w:p w:rsidR="00B15F45" w:rsidRDefault="00B15F45" w:rsidP="00B15F45">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2019/20</w:t>
            </w:r>
          </w:p>
        </w:tc>
      </w:tr>
      <w:tr w:rsidR="00EA3B24" w:rsidRPr="002F54CC" w:rsidTr="003C0120">
        <w:trPr>
          <w:trHeight w:val="397"/>
        </w:trPr>
        <w:tc>
          <w:tcPr>
            <w:cnfStyle w:val="001000000000" w:firstRow="0" w:lastRow="0" w:firstColumn="1" w:lastColumn="0" w:oddVBand="0" w:evenVBand="0" w:oddHBand="0" w:evenHBand="0" w:firstRowFirstColumn="0" w:firstRowLastColumn="0" w:lastRowFirstColumn="0" w:lastRowLastColumn="0"/>
            <w:tcW w:w="1644" w:type="dxa"/>
            <w:vAlign w:val="top"/>
          </w:tcPr>
          <w:p w:rsidR="00EA3B24" w:rsidRPr="00027ACA" w:rsidRDefault="00514147" w:rsidP="003C0120">
            <w:pPr>
              <w:pStyle w:val="Tabletext"/>
              <w:rPr>
                <w:rFonts w:asciiTheme="minorHAnsi" w:hAnsiTheme="minorHAnsi"/>
                <w:sz w:val="24"/>
              </w:rPr>
            </w:pPr>
            <w:r>
              <w:rPr>
                <w:rFonts w:asciiTheme="minorHAnsi" w:hAnsiTheme="minorHAnsi"/>
                <w:sz w:val="24"/>
              </w:rPr>
              <w:t>–</w:t>
            </w:r>
          </w:p>
        </w:tc>
        <w:tc>
          <w:tcPr>
            <w:tcW w:w="1247" w:type="dxa"/>
            <w:vAlign w:val="top"/>
          </w:tcPr>
          <w:p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r>
      <w:tr w:rsidR="00EA3B24" w:rsidRPr="002F54CC" w:rsidTr="003C0120">
        <w:trPr>
          <w:trHeight w:val="397"/>
        </w:trPr>
        <w:tc>
          <w:tcPr>
            <w:cnfStyle w:val="001000000000" w:firstRow="0" w:lastRow="0" w:firstColumn="1" w:lastColumn="0" w:oddVBand="0" w:evenVBand="0" w:oddHBand="0" w:evenHBand="0" w:firstRowFirstColumn="0" w:firstRowLastColumn="0" w:lastRowFirstColumn="0" w:lastRowLastColumn="0"/>
            <w:tcW w:w="1644" w:type="dxa"/>
            <w:vAlign w:val="top"/>
          </w:tcPr>
          <w:p w:rsidR="00EA3B24" w:rsidRPr="00027ACA" w:rsidRDefault="00514147" w:rsidP="003C0120">
            <w:pPr>
              <w:pStyle w:val="Tabletext"/>
              <w:rPr>
                <w:rFonts w:asciiTheme="minorHAnsi" w:hAnsiTheme="minorHAnsi"/>
                <w:sz w:val="24"/>
              </w:rPr>
            </w:pPr>
            <w:r>
              <w:rPr>
                <w:rFonts w:asciiTheme="minorHAnsi" w:hAnsiTheme="minorHAnsi"/>
                <w:sz w:val="24"/>
              </w:rPr>
              <w:t>–</w:t>
            </w:r>
          </w:p>
        </w:tc>
        <w:tc>
          <w:tcPr>
            <w:tcW w:w="1247" w:type="dxa"/>
            <w:vAlign w:val="top"/>
          </w:tcPr>
          <w:p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rsidR="00EA3B24"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r>
    </w:tbl>
    <w:p w:rsidR="00EA3B24" w:rsidRDefault="00EA3B24" w:rsidP="00A444CF">
      <w:pPr>
        <w:pStyle w:val="Schnumberedtext"/>
        <w:spacing w:before="240"/>
        <w:ind w:left="709" w:hanging="709"/>
      </w:pPr>
      <w:r w:rsidRPr="002F54CC">
        <w:t xml:space="preserve">For the purposes of calculating the Capex Incentive </w:t>
      </w:r>
      <w:r w:rsidR="00D84470" w:rsidRPr="00D84470">
        <w:rPr>
          <w:strike/>
          <w:color w:val="1F497D" w:themeColor="text2"/>
        </w:rPr>
        <w:t>Adjustment</w:t>
      </w:r>
      <w:r w:rsidR="00D84470" w:rsidRPr="00D84470">
        <w:rPr>
          <w:color w:val="1F497D" w:themeColor="text2"/>
        </w:rPr>
        <w:t xml:space="preserve"> </w:t>
      </w:r>
      <w:r w:rsidR="00D84470" w:rsidRPr="00D84470">
        <w:rPr>
          <w:color w:val="1F497D" w:themeColor="text2"/>
          <w:u w:val="single"/>
        </w:rPr>
        <w:t>Amount</w:t>
      </w:r>
      <w:r w:rsidR="00D84470" w:rsidRPr="002F54CC">
        <w:t xml:space="preserve"> </w:t>
      </w:r>
      <w:r w:rsidRPr="002F54CC">
        <w:t>for each Non-exempt EDB</w:t>
      </w:r>
      <w:r w:rsidR="00514147" w:rsidRPr="00514147">
        <w:t xml:space="preserve"> </w:t>
      </w:r>
      <w:r w:rsidR="00514147" w:rsidRPr="002F54CC">
        <w:t>for the Regulatory Period 1 April 2015 to 31 March 2020</w:t>
      </w:r>
      <w:r w:rsidRPr="002F54CC">
        <w:t xml:space="preserve">, the forecast </w:t>
      </w:r>
      <w:r w:rsidR="005826CD" w:rsidRPr="005826CD">
        <w:rPr>
          <w:color w:val="1F497D" w:themeColor="text2"/>
          <w:u w:val="single"/>
        </w:rPr>
        <w:t>aggregate</w:t>
      </w:r>
      <w:r w:rsidR="005826CD">
        <w:t xml:space="preserve"> </w:t>
      </w:r>
      <w:r w:rsidR="00500195">
        <w:t>value of commissioned assets</w:t>
      </w:r>
      <w:r w:rsidR="002B7007">
        <w:t>,</w:t>
      </w:r>
      <w:r w:rsidR="00F62296">
        <w:t xml:space="preserve"> </w:t>
      </w:r>
      <w:r w:rsidR="002B7007">
        <w:t>and the Assessment Period to which it applies,</w:t>
      </w:r>
      <w:r w:rsidRPr="002F54CC">
        <w:t xml:space="preserve"> is as set out </w:t>
      </w:r>
      <w:r w:rsidRPr="00665EED">
        <w:t xml:space="preserve">in Table </w:t>
      </w:r>
      <w:r w:rsidR="00D6656F" w:rsidRPr="00665EED">
        <w:t>5</w:t>
      </w:r>
      <w:r w:rsidR="003C4B79">
        <w:t>G.2</w:t>
      </w:r>
      <w:r w:rsidRPr="00665EED">
        <w:t>.</w:t>
      </w:r>
    </w:p>
    <w:p w:rsidR="00EA3B24" w:rsidRDefault="00D6656F" w:rsidP="00EA3B24">
      <w:pPr>
        <w:pStyle w:val="SchTableheading"/>
      </w:pPr>
      <w:r w:rsidRPr="00665EED">
        <w:t>Table 5</w:t>
      </w:r>
      <w:r w:rsidR="003C4B79">
        <w:t>G.2</w:t>
      </w:r>
      <w:r w:rsidR="00EA3B24" w:rsidRPr="00665EED">
        <w:t xml:space="preserve">: </w:t>
      </w:r>
      <w:r w:rsidR="00AF0407">
        <w:t>F</w:t>
      </w:r>
      <w:r w:rsidR="00EA3B24" w:rsidRPr="00665EED">
        <w:t>orecast</w:t>
      </w:r>
      <w:r w:rsidR="00EA3B24" w:rsidRPr="00EA3B24">
        <w:t xml:space="preserve"> </w:t>
      </w:r>
      <w:r w:rsidR="005826CD" w:rsidRPr="005826CD">
        <w:rPr>
          <w:color w:val="1F497D" w:themeColor="text2"/>
          <w:u w:val="single"/>
        </w:rPr>
        <w:t>aggregate</w:t>
      </w:r>
      <w:r w:rsidR="005826CD">
        <w:t xml:space="preserve"> </w:t>
      </w:r>
      <w:r w:rsidR="00500195">
        <w:t>value of commissioned assets</w:t>
      </w:r>
      <w:r w:rsidR="00EA3B24" w:rsidRPr="00EA3B24">
        <w:t xml:space="preserve"> for Non-exempt EDBs for the Regulatory Period </w:t>
      </w:r>
      <w:r w:rsidR="00B15F45" w:rsidRPr="00B15F45">
        <w:rPr>
          <w:strike/>
          <w:color w:val="1F497D" w:themeColor="text2"/>
        </w:rPr>
        <w:t>2015-2020</w:t>
      </w:r>
      <w:r w:rsidR="00B15F45">
        <w:rPr>
          <w:strike/>
          <w:color w:val="1F497D" w:themeColor="text2"/>
        </w:rPr>
        <w:t xml:space="preserve"> </w:t>
      </w:r>
      <w:r w:rsidR="00B15F45" w:rsidRPr="00B15F45">
        <w:rPr>
          <w:color w:val="1F497D" w:themeColor="text2"/>
          <w:u w:val="single"/>
        </w:rPr>
        <w:t>1 April 2015 – 31 March 2020</w:t>
      </w:r>
    </w:p>
    <w:p w:rsidR="00D17757" w:rsidRPr="00C054BB" w:rsidRDefault="00D17757" w:rsidP="00D17757">
      <w:pPr>
        <w:pStyle w:val="SchTableheading"/>
        <w:spacing w:after="0"/>
        <w:rPr>
          <w:b w:val="0"/>
          <w:sz w:val="20"/>
        </w:rPr>
      </w:pPr>
      <w:r w:rsidRPr="00C054BB">
        <w:rPr>
          <w:b w:val="0"/>
          <w:sz w:val="20"/>
        </w:rPr>
        <w:t>(All amounts in $000)</w:t>
      </w:r>
    </w:p>
    <w:tbl>
      <w:tblPr>
        <w:tblStyle w:val="SchTabletext"/>
        <w:tblW w:w="7879" w:type="dxa"/>
        <w:tblInd w:w="942" w:type="dxa"/>
        <w:tblLook w:val="04A0" w:firstRow="1" w:lastRow="0" w:firstColumn="1" w:lastColumn="0" w:noHBand="0" w:noVBand="1"/>
      </w:tblPr>
      <w:tblGrid>
        <w:gridCol w:w="1644"/>
        <w:gridCol w:w="1247"/>
        <w:gridCol w:w="1247"/>
        <w:gridCol w:w="1247"/>
        <w:gridCol w:w="1247"/>
        <w:gridCol w:w="1247"/>
      </w:tblGrid>
      <w:tr w:rsidR="00B15F45" w:rsidTr="00B15F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44" w:type="dxa"/>
            <w:vMerge w:val="restart"/>
          </w:tcPr>
          <w:p w:rsidR="00B15F45" w:rsidRDefault="00B15F45" w:rsidP="003C0120">
            <w:pPr>
              <w:pStyle w:val="Tablebodytext"/>
              <w:jc w:val="center"/>
              <w:rPr>
                <w:sz w:val="20"/>
                <w:szCs w:val="20"/>
              </w:rPr>
            </w:pPr>
            <w:r>
              <w:rPr>
                <w:sz w:val="20"/>
                <w:szCs w:val="20"/>
              </w:rPr>
              <w:t>Non-exempt EDB</w:t>
            </w:r>
          </w:p>
        </w:tc>
        <w:tc>
          <w:tcPr>
            <w:tcW w:w="6235" w:type="dxa"/>
            <w:gridSpan w:val="5"/>
            <w:tcBorders>
              <w:bottom w:val="nil"/>
            </w:tcBorders>
          </w:tcPr>
          <w:p w:rsidR="00B15F45" w:rsidRDefault="00B15F45" w:rsidP="00B15F45">
            <w:pPr>
              <w:pStyle w:val="Tablebodytext"/>
              <w:spacing w:after="120"/>
              <w:cnfStyle w:val="100000000000" w:firstRow="1" w:lastRow="0" w:firstColumn="0" w:lastColumn="0" w:oddVBand="0" w:evenVBand="0" w:oddHBand="0" w:evenHBand="0" w:firstRowFirstColumn="0" w:firstRowLastColumn="0" w:lastRowFirstColumn="0" w:lastRowLastColumn="0"/>
              <w:rPr>
                <w:sz w:val="20"/>
                <w:szCs w:val="20"/>
              </w:rPr>
            </w:pPr>
            <w:r w:rsidRPr="00B15F45">
              <w:rPr>
                <w:color w:val="1F497D" w:themeColor="text2"/>
                <w:sz w:val="20"/>
                <w:szCs w:val="20"/>
                <w:u w:val="single"/>
              </w:rPr>
              <w:t>Assessment Period</w:t>
            </w:r>
          </w:p>
        </w:tc>
      </w:tr>
      <w:tr w:rsidR="00B15F45" w:rsidTr="00B15F45">
        <w:tc>
          <w:tcPr>
            <w:cnfStyle w:val="001000000000" w:firstRow="0" w:lastRow="0" w:firstColumn="1" w:lastColumn="0" w:oddVBand="0" w:evenVBand="0" w:oddHBand="0" w:evenHBand="0" w:firstRowFirstColumn="0" w:firstRowLastColumn="0" w:lastRowFirstColumn="0" w:lastRowLastColumn="0"/>
            <w:tcW w:w="1644" w:type="dxa"/>
            <w:vMerge/>
          </w:tcPr>
          <w:p w:rsidR="00B15F45" w:rsidRPr="00E06A77" w:rsidRDefault="00B15F45" w:rsidP="003C0120">
            <w:pPr>
              <w:pStyle w:val="Tablebodytext"/>
              <w:jc w:val="center"/>
              <w:rPr>
                <w:sz w:val="20"/>
                <w:szCs w:val="20"/>
              </w:rPr>
            </w:pPr>
          </w:p>
        </w:tc>
        <w:tc>
          <w:tcPr>
            <w:tcW w:w="1247" w:type="dxa"/>
            <w:tcBorders>
              <w:top w:val="nil"/>
            </w:tcBorders>
          </w:tcPr>
          <w:p w:rsidR="00B15F45" w:rsidRPr="00E06A77" w:rsidRDefault="00B15F45" w:rsidP="00B15F45">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2015/16</w:t>
            </w:r>
          </w:p>
        </w:tc>
        <w:tc>
          <w:tcPr>
            <w:tcW w:w="1247" w:type="dxa"/>
            <w:tcBorders>
              <w:top w:val="nil"/>
            </w:tcBorders>
          </w:tcPr>
          <w:p w:rsidR="00B15F45" w:rsidRDefault="00B15F45" w:rsidP="00B15F45">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2016/17</w:t>
            </w:r>
          </w:p>
        </w:tc>
        <w:tc>
          <w:tcPr>
            <w:tcW w:w="1247" w:type="dxa"/>
            <w:tcBorders>
              <w:top w:val="nil"/>
            </w:tcBorders>
          </w:tcPr>
          <w:p w:rsidR="00B15F45" w:rsidRDefault="00B15F45" w:rsidP="00B15F45">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2017/18</w:t>
            </w:r>
          </w:p>
        </w:tc>
        <w:tc>
          <w:tcPr>
            <w:tcW w:w="1247" w:type="dxa"/>
            <w:tcBorders>
              <w:top w:val="nil"/>
            </w:tcBorders>
          </w:tcPr>
          <w:p w:rsidR="00B15F45" w:rsidRDefault="00B15F45" w:rsidP="00B15F45">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2018/19</w:t>
            </w:r>
          </w:p>
        </w:tc>
        <w:tc>
          <w:tcPr>
            <w:tcW w:w="1247" w:type="dxa"/>
            <w:tcBorders>
              <w:top w:val="nil"/>
            </w:tcBorders>
          </w:tcPr>
          <w:p w:rsidR="00B15F45" w:rsidRDefault="00B15F45" w:rsidP="00B15F45">
            <w:pPr>
              <w:pStyle w:val="Tablebodytext"/>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2019/20</w:t>
            </w:r>
          </w:p>
        </w:tc>
      </w:tr>
      <w:tr w:rsidR="00095C2A" w:rsidRPr="002F54CC" w:rsidTr="003C0120">
        <w:trPr>
          <w:trHeight w:val="397"/>
        </w:trPr>
        <w:tc>
          <w:tcPr>
            <w:cnfStyle w:val="001000000000" w:firstRow="0" w:lastRow="0" w:firstColumn="1" w:lastColumn="0" w:oddVBand="0" w:evenVBand="0" w:oddHBand="0" w:evenHBand="0" w:firstRowFirstColumn="0" w:firstRowLastColumn="0" w:lastRowFirstColumn="0" w:lastRowLastColumn="0"/>
            <w:tcW w:w="1644" w:type="dxa"/>
            <w:vAlign w:val="top"/>
          </w:tcPr>
          <w:p w:rsidR="00095C2A" w:rsidRPr="00027ACA" w:rsidRDefault="00514147" w:rsidP="003C0120">
            <w:pPr>
              <w:pStyle w:val="Tabletext"/>
              <w:rPr>
                <w:rFonts w:asciiTheme="minorHAnsi" w:hAnsiTheme="minorHAnsi"/>
                <w:sz w:val="24"/>
              </w:rPr>
            </w:pPr>
            <w:r>
              <w:rPr>
                <w:rFonts w:asciiTheme="minorHAnsi" w:hAnsiTheme="minorHAnsi"/>
                <w:sz w:val="24"/>
              </w:rPr>
              <w:t>–</w:t>
            </w:r>
          </w:p>
        </w:tc>
        <w:tc>
          <w:tcPr>
            <w:tcW w:w="1247" w:type="dxa"/>
            <w:vAlign w:val="top"/>
          </w:tcPr>
          <w:p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r>
      <w:tr w:rsidR="00095C2A" w:rsidRPr="002F54CC" w:rsidTr="003C0120">
        <w:trPr>
          <w:trHeight w:val="397"/>
        </w:trPr>
        <w:tc>
          <w:tcPr>
            <w:cnfStyle w:val="001000000000" w:firstRow="0" w:lastRow="0" w:firstColumn="1" w:lastColumn="0" w:oddVBand="0" w:evenVBand="0" w:oddHBand="0" w:evenHBand="0" w:firstRowFirstColumn="0" w:firstRowLastColumn="0" w:lastRowFirstColumn="0" w:lastRowLastColumn="0"/>
            <w:tcW w:w="1644" w:type="dxa"/>
            <w:vAlign w:val="top"/>
          </w:tcPr>
          <w:p w:rsidR="00095C2A" w:rsidRPr="00027ACA" w:rsidRDefault="00514147" w:rsidP="003C0120">
            <w:pPr>
              <w:pStyle w:val="Tabletext"/>
              <w:rPr>
                <w:rFonts w:asciiTheme="minorHAnsi" w:hAnsiTheme="minorHAnsi"/>
                <w:sz w:val="24"/>
              </w:rPr>
            </w:pPr>
            <w:r>
              <w:rPr>
                <w:rFonts w:asciiTheme="minorHAnsi" w:hAnsiTheme="minorHAnsi"/>
                <w:sz w:val="24"/>
              </w:rPr>
              <w:t>–</w:t>
            </w:r>
          </w:p>
        </w:tc>
        <w:tc>
          <w:tcPr>
            <w:tcW w:w="1247" w:type="dxa"/>
            <w:vAlign w:val="top"/>
          </w:tcPr>
          <w:p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c>
          <w:tcPr>
            <w:tcW w:w="1247" w:type="dxa"/>
            <w:vAlign w:val="top"/>
          </w:tcPr>
          <w:p w:rsidR="00095C2A" w:rsidRPr="00027ACA" w:rsidRDefault="00514147" w:rsidP="003C0120">
            <w:pPr>
              <w:pStyle w:val="Tabletext-Centred"/>
              <w:numPr>
                <w:ilvl w:val="0"/>
                <w:numId w:val="0"/>
              </w:numPr>
              <w:tabs>
                <w:tab w:val="decimal" w:pos="713"/>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w:t>
            </w:r>
          </w:p>
        </w:tc>
      </w:tr>
    </w:tbl>
    <w:p w:rsidR="00EA3B24" w:rsidRPr="00956448" w:rsidRDefault="00EA3B24" w:rsidP="00956448">
      <w:pPr>
        <w:pStyle w:val="Schnumberedtext"/>
        <w:spacing w:before="240"/>
        <w:ind w:hanging="720"/>
      </w:pPr>
      <w:r w:rsidRPr="002F54CC">
        <w:t xml:space="preserve">For the purposes of calculating the Capex Incentive Adjustment for each Non-exempt EDB </w:t>
      </w:r>
      <w:r w:rsidR="00514147" w:rsidRPr="002F54CC">
        <w:t>for the Regulatory Period 1 April 2015 to 31 March 2020</w:t>
      </w:r>
      <w:r w:rsidRPr="002F54CC">
        <w:t xml:space="preserve">, the </w:t>
      </w:r>
      <w:proofErr w:type="spellStart"/>
      <w:r w:rsidRPr="00B15F45">
        <w:rPr>
          <w:strike/>
          <w:color w:val="1F497D" w:themeColor="text2"/>
        </w:rPr>
        <w:t>r</w:t>
      </w:r>
      <w:r w:rsidR="00B15F45" w:rsidRPr="00B15F45">
        <w:rPr>
          <w:color w:val="1F497D" w:themeColor="text2"/>
          <w:u w:val="single"/>
        </w:rPr>
        <w:t>R</w:t>
      </w:r>
      <w:r w:rsidRPr="002F54CC">
        <w:t>etention</w:t>
      </w:r>
      <w:proofErr w:type="spellEnd"/>
      <w:r w:rsidRPr="002F54CC">
        <w:t xml:space="preserve"> </w:t>
      </w:r>
      <w:proofErr w:type="spellStart"/>
      <w:r w:rsidRPr="00B15F45">
        <w:rPr>
          <w:strike/>
          <w:color w:val="1F497D" w:themeColor="text2"/>
        </w:rPr>
        <w:t>f</w:t>
      </w:r>
      <w:r w:rsidR="00B15F45" w:rsidRPr="00B15F45">
        <w:rPr>
          <w:color w:val="1F497D" w:themeColor="text2"/>
          <w:u w:val="single"/>
        </w:rPr>
        <w:t>F</w:t>
      </w:r>
      <w:r w:rsidRPr="002F54CC">
        <w:t>actor</w:t>
      </w:r>
      <w:proofErr w:type="spellEnd"/>
      <w:r w:rsidRPr="002F54CC">
        <w:t xml:space="preserve"> </w:t>
      </w:r>
      <w:r w:rsidRPr="00027ACA">
        <w:t xml:space="preserve">is </w:t>
      </w:r>
      <w:r w:rsidR="00490F6B">
        <w:t>[</w:t>
      </w:r>
      <w:r w:rsidR="006B1165">
        <w:t>–</w:t>
      </w:r>
      <w:r w:rsidR="00490F6B">
        <w:t>]</w:t>
      </w:r>
      <w:r w:rsidRPr="00027ACA">
        <w:t>.</w:t>
      </w:r>
    </w:p>
    <w:p w:rsidR="00EA3B24" w:rsidRDefault="00EA3B24" w:rsidP="00EA3B24">
      <w:pPr>
        <w:pStyle w:val="Scheduletext"/>
        <w:ind w:left="709"/>
      </w:pPr>
    </w:p>
    <w:p w:rsidR="00EA3B24" w:rsidRDefault="00EA3B24">
      <w:r>
        <w:br w:type="page"/>
      </w:r>
    </w:p>
    <w:p w:rsidR="00DB1C48" w:rsidRPr="008333C1" w:rsidRDefault="00DB1C48" w:rsidP="00DB1C48">
      <w:pPr>
        <w:pStyle w:val="Scheduletitles"/>
        <w:numPr>
          <w:ilvl w:val="0"/>
          <w:numId w:val="0"/>
        </w:numPr>
        <w:tabs>
          <w:tab w:val="left" w:pos="1418"/>
        </w:tabs>
        <w:ind w:left="1418" w:hanging="1418"/>
      </w:pPr>
      <w:r>
        <w:lastRenderedPageBreak/>
        <w:t>Schedule 5H:</w:t>
      </w:r>
      <w:r>
        <w:tab/>
      </w:r>
      <w:r w:rsidRPr="008333C1">
        <w:t xml:space="preserve">Approval of </w:t>
      </w:r>
      <w:r>
        <w:t>Extended Reserves Allowance</w:t>
      </w:r>
      <w:r w:rsidR="006356F1">
        <w:t>s</w:t>
      </w:r>
    </w:p>
    <w:p w:rsidR="00DB1C48" w:rsidRDefault="00DB1C48" w:rsidP="00B87C77">
      <w:pPr>
        <w:pStyle w:val="Schnumberedtext"/>
        <w:numPr>
          <w:ilvl w:val="0"/>
          <w:numId w:val="81"/>
        </w:numPr>
        <w:ind w:hanging="720"/>
      </w:pPr>
      <w:r>
        <w:t xml:space="preserve">A Non-exempt EDBs must, no later than 50 Working Days following the end of </w:t>
      </w:r>
      <w:r w:rsidR="00B21475">
        <w:t>an</w:t>
      </w:r>
      <w:r>
        <w:t xml:space="preserve"> Assessment Period, submit an application for approval of an Extended Reserves Allowance</w:t>
      </w:r>
      <w:r w:rsidR="00B21475">
        <w:t xml:space="preserve"> if any amounts were incurred or received in relation to any </w:t>
      </w:r>
      <w:r w:rsidR="00B21475" w:rsidRPr="005C1208">
        <w:t>extended reserves regulation</w:t>
      </w:r>
      <w:r w:rsidR="00B21475">
        <w:t>s</w:t>
      </w:r>
      <w:r w:rsidR="00B21475" w:rsidRPr="005C1208">
        <w:t xml:space="preserve"> made under the Electricity Industry Act 2010</w:t>
      </w:r>
      <w:r>
        <w:t>.</w:t>
      </w:r>
    </w:p>
    <w:p w:rsidR="00DB1C48" w:rsidRDefault="00DB1C48" w:rsidP="00DB1C48">
      <w:pPr>
        <w:pStyle w:val="Schnumberedtext"/>
        <w:ind w:left="709" w:hanging="709"/>
      </w:pPr>
      <w:r w:rsidRPr="002F54CC">
        <w:t>The application for approval must include:</w:t>
      </w:r>
    </w:p>
    <w:p w:rsidR="00DB1C48" w:rsidRDefault="00DB1C48" w:rsidP="00B87C77">
      <w:pPr>
        <w:pStyle w:val="Subclause2"/>
        <w:numPr>
          <w:ilvl w:val="0"/>
          <w:numId w:val="80"/>
        </w:numPr>
        <w:ind w:left="1418" w:hanging="709"/>
      </w:pPr>
      <w:r>
        <w:t xml:space="preserve">all </w:t>
      </w:r>
      <w:r w:rsidRPr="006E0BDF">
        <w:t xml:space="preserve">compensation payments </w:t>
      </w:r>
      <w:r>
        <w:t>made by</w:t>
      </w:r>
      <w:r w:rsidRPr="006E0BDF">
        <w:t xml:space="preserve"> </w:t>
      </w:r>
      <w:r>
        <w:t>the Non-exempt</w:t>
      </w:r>
      <w:r w:rsidRPr="00DB1C48">
        <w:t xml:space="preserve"> EDB</w:t>
      </w:r>
      <w:r w:rsidRPr="006E0BDF">
        <w:t xml:space="preserve"> </w:t>
      </w:r>
      <w:r>
        <w:t xml:space="preserve">in the Assessment Period </w:t>
      </w:r>
      <w:r w:rsidRPr="00B15F45">
        <w:rPr>
          <w:strike/>
          <w:color w:val="1F497D" w:themeColor="text2"/>
        </w:rPr>
        <w:t>under the extended reserves regime</w:t>
      </w:r>
      <w:r w:rsidR="00B15F45" w:rsidRPr="00B15F45">
        <w:t xml:space="preserve"> </w:t>
      </w:r>
      <w:r w:rsidR="00B15F45" w:rsidRPr="00B15F45">
        <w:rPr>
          <w:color w:val="1F497D" w:themeColor="text2"/>
          <w:u w:val="single"/>
        </w:rPr>
        <w:t>in relation to any extended reserves regulations made under the Electricity Industry Act 2010</w:t>
      </w:r>
      <w:r>
        <w:t>;</w:t>
      </w:r>
    </w:p>
    <w:p w:rsidR="00DB1C48" w:rsidRDefault="00DB1C48" w:rsidP="00B87C77">
      <w:pPr>
        <w:pStyle w:val="Subclause2"/>
        <w:numPr>
          <w:ilvl w:val="0"/>
          <w:numId w:val="80"/>
        </w:numPr>
        <w:ind w:left="1418" w:hanging="709"/>
      </w:pPr>
      <w:r>
        <w:t xml:space="preserve">all compensation payments and revenue received by the Non-exempt EDB in the Assessment Period </w:t>
      </w:r>
      <w:r w:rsidR="00B15F45" w:rsidRPr="00B15F45">
        <w:rPr>
          <w:strike/>
          <w:color w:val="1F497D" w:themeColor="text2"/>
        </w:rPr>
        <w:t>under the extended reserves regime</w:t>
      </w:r>
      <w:r w:rsidR="00B15F45" w:rsidRPr="00B15F45">
        <w:t xml:space="preserve"> </w:t>
      </w:r>
      <w:r w:rsidR="00B15F45" w:rsidRPr="00B15F45">
        <w:rPr>
          <w:color w:val="1F497D" w:themeColor="text2"/>
          <w:u w:val="single"/>
        </w:rPr>
        <w:t>in relation to any extended reserves regulations made under the Electricity Industry Act 2010</w:t>
      </w:r>
      <w:r>
        <w:t>;</w:t>
      </w:r>
    </w:p>
    <w:p w:rsidR="00DB1C48" w:rsidRDefault="00DB1C48" w:rsidP="00B87C77">
      <w:pPr>
        <w:pStyle w:val="Subclause2"/>
        <w:numPr>
          <w:ilvl w:val="0"/>
          <w:numId w:val="80"/>
        </w:numPr>
        <w:ind w:left="1418" w:hanging="709"/>
      </w:pPr>
      <w:r>
        <w:t xml:space="preserve">an estimate of the compensation payments and revenue received by the Non-exempt EDB in the Assessment Period </w:t>
      </w:r>
      <w:r w:rsidR="00B15F45" w:rsidRPr="00B15F45">
        <w:rPr>
          <w:strike/>
          <w:color w:val="1F497D" w:themeColor="text2"/>
        </w:rPr>
        <w:t>under the extended reserves regime</w:t>
      </w:r>
      <w:r w:rsidR="00B15F45" w:rsidRPr="00B15F45">
        <w:t xml:space="preserve"> </w:t>
      </w:r>
      <w:r w:rsidR="00B15F45" w:rsidRPr="00B15F45">
        <w:rPr>
          <w:color w:val="1F497D" w:themeColor="text2"/>
          <w:u w:val="single"/>
        </w:rPr>
        <w:t>in relation to any extended reserves regulations made under the Electricity Industry Act 2010</w:t>
      </w:r>
      <w:r w:rsidR="00B15F45">
        <w:rPr>
          <w:color w:val="1F497D" w:themeColor="text2"/>
          <w:u w:val="single"/>
        </w:rPr>
        <w:t xml:space="preserve"> </w:t>
      </w:r>
      <w:r>
        <w:t xml:space="preserve">that should be treated as </w:t>
      </w:r>
      <w:r w:rsidRPr="004C206E">
        <w:rPr>
          <w:strike/>
          <w:color w:val="1F497D" w:themeColor="text2"/>
        </w:rPr>
        <w:t>unregulated income</w:t>
      </w:r>
      <w:r w:rsidR="004C206E">
        <w:t xml:space="preserve"> </w:t>
      </w:r>
      <w:r w:rsidR="004C206E" w:rsidRPr="004C206E">
        <w:rPr>
          <w:color w:val="1F497D" w:themeColor="text2"/>
          <w:u w:val="single"/>
        </w:rPr>
        <w:t xml:space="preserve">associated with </w:t>
      </w:r>
      <w:r w:rsidR="00BA0E3E">
        <w:rPr>
          <w:color w:val="1F497D" w:themeColor="text2"/>
          <w:u w:val="single"/>
        </w:rPr>
        <w:t>U</w:t>
      </w:r>
      <w:r w:rsidR="004C206E" w:rsidRPr="00BA0E3E">
        <w:rPr>
          <w:color w:val="1F497D" w:themeColor="text2"/>
          <w:u w:val="single"/>
        </w:rPr>
        <w:t xml:space="preserve">nregulated </w:t>
      </w:r>
      <w:r w:rsidR="00BA0E3E">
        <w:rPr>
          <w:color w:val="1F497D" w:themeColor="text2"/>
          <w:u w:val="single"/>
        </w:rPr>
        <w:t>S</w:t>
      </w:r>
      <w:r w:rsidR="004C206E" w:rsidRPr="00BA0E3E">
        <w:rPr>
          <w:color w:val="1F497D" w:themeColor="text2"/>
          <w:u w:val="single"/>
        </w:rPr>
        <w:t>ervices</w:t>
      </w:r>
      <w:r>
        <w:t>, along with reasons for such treatment;</w:t>
      </w:r>
      <w:r w:rsidR="00F11DE1">
        <w:t xml:space="preserve"> and</w:t>
      </w:r>
    </w:p>
    <w:p w:rsidR="00DB1C48" w:rsidRDefault="00DB1C48" w:rsidP="00B87C77">
      <w:pPr>
        <w:pStyle w:val="Subclause2"/>
        <w:numPr>
          <w:ilvl w:val="0"/>
          <w:numId w:val="80"/>
        </w:numPr>
        <w:ind w:left="1418" w:hanging="709"/>
      </w:pPr>
      <w:proofErr w:type="gramStart"/>
      <w:r>
        <w:t>any</w:t>
      </w:r>
      <w:proofErr w:type="gramEnd"/>
      <w:r>
        <w:t xml:space="preserve"> other explanatory material or supporting information </w:t>
      </w:r>
      <w:r w:rsidR="00B21475">
        <w:t xml:space="preserve">reasonably necessary to demonstrate costs incurred and amounts payable or receivable </w:t>
      </w:r>
      <w:r w:rsidR="00B15F45" w:rsidRPr="00B15F45">
        <w:rPr>
          <w:strike/>
          <w:color w:val="1F497D" w:themeColor="text2"/>
        </w:rPr>
        <w:t>under the extended reserves regime</w:t>
      </w:r>
      <w:r w:rsidR="00B15F45" w:rsidRPr="00B15F45">
        <w:t xml:space="preserve"> </w:t>
      </w:r>
      <w:r w:rsidR="00B15F45" w:rsidRPr="00B15F45">
        <w:rPr>
          <w:color w:val="1F497D" w:themeColor="text2"/>
          <w:u w:val="single"/>
        </w:rPr>
        <w:t>in relation to any extended reserves regulations made under the Electricity Industry Act 2010</w:t>
      </w:r>
      <w:r w:rsidR="00B21475">
        <w:t>.</w:t>
      </w:r>
    </w:p>
    <w:p w:rsidR="00DB1C48" w:rsidRDefault="00DB1C48" w:rsidP="00DB1C48">
      <w:pPr>
        <w:pStyle w:val="Schnumberedtext"/>
        <w:ind w:left="709" w:hanging="709"/>
      </w:pPr>
      <w:r>
        <w:t>The Commission may request additional information, independent evidence, director certificates, or audit statements relating to the information provided in the application.</w:t>
      </w:r>
      <w:r w:rsidR="00B15F45">
        <w:t xml:space="preserve"> </w:t>
      </w:r>
      <w:r w:rsidR="00B15F45" w:rsidRPr="00561958">
        <w:rPr>
          <w:color w:val="1F497D" w:themeColor="text2"/>
          <w:u w:val="single"/>
        </w:rPr>
        <w:t>Such requests shall take into account the likely cost of providing the information relative to the extent of the benefits identified.</w:t>
      </w:r>
    </w:p>
    <w:p w:rsidR="00DB1C48" w:rsidRDefault="00DB1C48" w:rsidP="00DB1C48">
      <w:pPr>
        <w:pStyle w:val="Schnumberedtext"/>
        <w:ind w:left="709" w:hanging="709"/>
      </w:pPr>
      <w:r w:rsidRPr="002F54CC">
        <w:t>The Commission may approve by notice in writing to the Non-exempt ED</w:t>
      </w:r>
      <w:r w:rsidR="00B21475">
        <w:t>B</w:t>
      </w:r>
      <w:r w:rsidR="00B21475" w:rsidRPr="002F54CC">
        <w:t>,</w:t>
      </w:r>
      <w:r w:rsidR="00B21475">
        <w:t xml:space="preserve"> subject to </w:t>
      </w:r>
      <w:r w:rsidR="00B21475" w:rsidRPr="00B15F45">
        <w:rPr>
          <w:strike/>
          <w:color w:val="1F497D" w:themeColor="text2"/>
        </w:rPr>
        <w:t>clause 3.1.3(7) of the IM Determination</w:t>
      </w:r>
      <w:r w:rsidR="00B15F45">
        <w:t xml:space="preserve"> </w:t>
      </w:r>
      <w:r w:rsidR="00B15F45" w:rsidRPr="00B15F45">
        <w:rPr>
          <w:color w:val="1F497D" w:themeColor="text2"/>
          <w:u w:val="single"/>
        </w:rPr>
        <w:t>paragraph 5</w:t>
      </w:r>
      <w:r w:rsidR="00B21475">
        <w:t>,</w:t>
      </w:r>
      <w:r w:rsidRPr="002D6B87">
        <w:t xml:space="preserve"> </w:t>
      </w:r>
      <w:r w:rsidR="00B21475">
        <w:t xml:space="preserve">a </w:t>
      </w:r>
      <w:r w:rsidR="00B21475" w:rsidRPr="005C1208">
        <w:t xml:space="preserve">positive allowance for costs incurred and amounts payable, or </w:t>
      </w:r>
      <w:r w:rsidR="00B21475">
        <w:t xml:space="preserve">a </w:t>
      </w:r>
      <w:r w:rsidR="00B21475" w:rsidRPr="005C1208">
        <w:t>negative allowance for amounts receivable,</w:t>
      </w:r>
      <w:r w:rsidR="00B21475">
        <w:t xml:space="preserve"> under</w:t>
      </w:r>
      <w:r w:rsidR="00B21475" w:rsidRPr="005C1208">
        <w:t xml:space="preserve"> any extended reserves regulation</w:t>
      </w:r>
      <w:r w:rsidR="00B21475">
        <w:t>s</w:t>
      </w:r>
      <w:r w:rsidR="00B21475" w:rsidRPr="005C1208">
        <w:t xml:space="preserve"> made under the Electricity Industry Act 2010</w:t>
      </w:r>
      <w:r w:rsidR="00B21475">
        <w:t>,</w:t>
      </w:r>
      <w:r w:rsidR="00B21475" w:rsidRPr="00B21475">
        <w:t xml:space="preserve"> </w:t>
      </w:r>
      <w:r w:rsidR="00B21475">
        <w:t>as determined by the Commission</w:t>
      </w:r>
      <w:r w:rsidR="00B13982" w:rsidRPr="00B13982">
        <w:rPr>
          <w:color w:val="1F497D" w:themeColor="text2"/>
          <w:u w:val="single"/>
        </w:rPr>
        <w:t>, and adjusted for the time va</w:t>
      </w:r>
      <w:r w:rsidR="00BA0E3E">
        <w:rPr>
          <w:color w:val="1F497D" w:themeColor="text2"/>
          <w:u w:val="single"/>
        </w:rPr>
        <w:t>lue of money using the Cost of D</w:t>
      </w:r>
      <w:r w:rsidR="00B13982" w:rsidRPr="00B13982">
        <w:rPr>
          <w:color w:val="1F497D" w:themeColor="text2"/>
          <w:u w:val="single"/>
        </w:rPr>
        <w:t>ebt</w:t>
      </w:r>
      <w:r>
        <w:t>.</w:t>
      </w:r>
    </w:p>
    <w:p w:rsidR="00D870D0" w:rsidRPr="00CD4177" w:rsidRDefault="00D870D0" w:rsidP="00DB1C48">
      <w:pPr>
        <w:pStyle w:val="Schnumberedtext"/>
        <w:ind w:left="709" w:hanging="709"/>
        <w:rPr>
          <w:color w:val="1F497D" w:themeColor="text2"/>
          <w:u w:val="single"/>
        </w:rPr>
      </w:pPr>
      <w:r w:rsidRPr="00CD4177">
        <w:rPr>
          <w:color w:val="1F497D" w:themeColor="text2"/>
          <w:u w:val="single"/>
        </w:rPr>
        <w:t xml:space="preserve">For the purpose of giving approval under this Schedule, the Commission will have regard to any policy intent stated by the Electricity Authority as to whether- </w:t>
      </w:r>
    </w:p>
    <w:p w:rsidR="00D870D0" w:rsidRPr="00CD4177" w:rsidRDefault="00D870D0" w:rsidP="00B87C77">
      <w:pPr>
        <w:pStyle w:val="Subclause2"/>
        <w:numPr>
          <w:ilvl w:val="0"/>
          <w:numId w:val="83"/>
        </w:numPr>
        <w:ind w:left="1418" w:hanging="709"/>
        <w:rPr>
          <w:color w:val="1F497D" w:themeColor="text2"/>
          <w:u w:val="single"/>
        </w:rPr>
      </w:pPr>
      <w:r w:rsidRPr="00CD4177">
        <w:rPr>
          <w:color w:val="1F497D" w:themeColor="text2"/>
          <w:u w:val="single"/>
        </w:rPr>
        <w:t xml:space="preserve">some or all </w:t>
      </w:r>
      <w:r w:rsidRPr="00BA0E3E">
        <w:rPr>
          <w:color w:val="1F497D" w:themeColor="text2"/>
          <w:u w:val="single"/>
        </w:rPr>
        <w:t xml:space="preserve">compensation payments to be made by an </w:t>
      </w:r>
      <w:r w:rsidR="00BA0E3E">
        <w:rPr>
          <w:color w:val="1F497D" w:themeColor="text2"/>
          <w:u w:val="single"/>
        </w:rPr>
        <w:t xml:space="preserve">Non-exempt </w:t>
      </w:r>
      <w:r w:rsidRPr="00BA0E3E">
        <w:rPr>
          <w:color w:val="1F497D" w:themeColor="text2"/>
          <w:u w:val="single"/>
        </w:rPr>
        <w:t xml:space="preserve">EDB </w:t>
      </w:r>
      <w:r w:rsidR="00BA0E3E" w:rsidRPr="00B15F45">
        <w:rPr>
          <w:color w:val="1F497D" w:themeColor="text2"/>
          <w:u w:val="single"/>
        </w:rPr>
        <w:t>in relation to any extended reserves regulations made under the Electricity Industry Act 2010</w:t>
      </w:r>
      <w:r w:rsidR="00BA0E3E">
        <w:rPr>
          <w:color w:val="1F497D" w:themeColor="text2"/>
          <w:u w:val="single"/>
        </w:rPr>
        <w:t xml:space="preserve"> </w:t>
      </w:r>
      <w:r w:rsidRPr="00BA0E3E">
        <w:rPr>
          <w:color w:val="1F497D" w:themeColor="text2"/>
          <w:u w:val="single"/>
        </w:rPr>
        <w:t xml:space="preserve">would be expected to constitute negative </w:t>
      </w:r>
      <w:r w:rsidR="00BA0E3E">
        <w:rPr>
          <w:color w:val="1F497D" w:themeColor="text2"/>
          <w:u w:val="single"/>
        </w:rPr>
        <w:t>R</w:t>
      </w:r>
      <w:r w:rsidRPr="00BA0E3E">
        <w:rPr>
          <w:color w:val="1F497D" w:themeColor="text2"/>
          <w:u w:val="single"/>
        </w:rPr>
        <w:t xml:space="preserve">ecoverable </w:t>
      </w:r>
      <w:r w:rsidR="00BA0E3E">
        <w:rPr>
          <w:color w:val="1F497D" w:themeColor="text2"/>
          <w:u w:val="single"/>
        </w:rPr>
        <w:t>C</w:t>
      </w:r>
      <w:r w:rsidRPr="00BA0E3E">
        <w:rPr>
          <w:color w:val="1F497D" w:themeColor="text2"/>
          <w:u w:val="single"/>
        </w:rPr>
        <w:t xml:space="preserve">osts and be passed-through to consumers via corresponding reductions in </w:t>
      </w:r>
      <w:r w:rsidR="00BA0E3E">
        <w:rPr>
          <w:color w:val="1F497D" w:themeColor="text2"/>
          <w:u w:val="single"/>
        </w:rPr>
        <w:t>P</w:t>
      </w:r>
      <w:r w:rsidRPr="00BA0E3E">
        <w:rPr>
          <w:color w:val="1F497D" w:themeColor="text2"/>
          <w:u w:val="single"/>
        </w:rPr>
        <w:t>rices; and</w:t>
      </w:r>
      <w:r w:rsidRPr="00CD4177">
        <w:rPr>
          <w:color w:val="1F497D" w:themeColor="text2"/>
          <w:u w:val="single"/>
        </w:rPr>
        <w:t xml:space="preserve"> </w:t>
      </w:r>
    </w:p>
    <w:p w:rsidR="00D870D0" w:rsidRPr="00CD4177" w:rsidRDefault="00BA0E3E" w:rsidP="00B87C77">
      <w:pPr>
        <w:pStyle w:val="Subclause2"/>
        <w:numPr>
          <w:ilvl w:val="0"/>
          <w:numId w:val="83"/>
        </w:numPr>
        <w:ind w:left="1418" w:hanging="709"/>
        <w:rPr>
          <w:color w:val="1F497D" w:themeColor="text2"/>
          <w:u w:val="single"/>
        </w:rPr>
      </w:pPr>
      <w:proofErr w:type="gramStart"/>
      <w:r>
        <w:rPr>
          <w:color w:val="1F497D" w:themeColor="text2"/>
          <w:u w:val="single"/>
        </w:rPr>
        <w:lastRenderedPageBreak/>
        <w:t>revenues</w:t>
      </w:r>
      <w:proofErr w:type="gramEnd"/>
      <w:r>
        <w:rPr>
          <w:color w:val="1F497D" w:themeColor="text2"/>
          <w:u w:val="single"/>
        </w:rPr>
        <w:t xml:space="preserve"> that a Non-exempt</w:t>
      </w:r>
      <w:r w:rsidR="00D870D0" w:rsidRPr="00CD4177">
        <w:rPr>
          <w:color w:val="1F497D" w:themeColor="text2"/>
          <w:u w:val="single"/>
        </w:rPr>
        <w:t xml:space="preserve"> </w:t>
      </w:r>
      <w:r w:rsidR="00D870D0" w:rsidRPr="00BA0E3E">
        <w:rPr>
          <w:color w:val="1F497D" w:themeColor="text2"/>
          <w:u w:val="single"/>
        </w:rPr>
        <w:t xml:space="preserve">EDB may receive </w:t>
      </w:r>
      <w:r w:rsidRPr="00B15F45">
        <w:rPr>
          <w:color w:val="1F497D" w:themeColor="text2"/>
          <w:u w:val="single"/>
        </w:rPr>
        <w:t>in relation to any extended reserves regulations made under the Electricity Industry Act 2010</w:t>
      </w:r>
      <w:r>
        <w:rPr>
          <w:color w:val="1F497D" w:themeColor="text2"/>
          <w:u w:val="single"/>
        </w:rPr>
        <w:t xml:space="preserve"> </w:t>
      </w:r>
      <w:r w:rsidR="00D870D0" w:rsidRPr="00BA0E3E">
        <w:rPr>
          <w:color w:val="1F497D" w:themeColor="text2"/>
          <w:u w:val="single"/>
        </w:rPr>
        <w:t xml:space="preserve">would be expected to be treated as </w:t>
      </w:r>
      <w:r w:rsidR="004C206E" w:rsidRPr="00BA0E3E">
        <w:rPr>
          <w:color w:val="1F497D" w:themeColor="text2"/>
          <w:u w:val="single"/>
        </w:rPr>
        <w:t xml:space="preserve">associated with </w:t>
      </w:r>
      <w:r>
        <w:rPr>
          <w:color w:val="1F497D" w:themeColor="text2"/>
          <w:u w:val="single"/>
        </w:rPr>
        <w:t>U</w:t>
      </w:r>
      <w:r w:rsidR="004C206E" w:rsidRPr="00BA0E3E">
        <w:rPr>
          <w:color w:val="1F497D" w:themeColor="text2"/>
          <w:u w:val="single"/>
        </w:rPr>
        <w:t xml:space="preserve">nregulated </w:t>
      </w:r>
      <w:r>
        <w:rPr>
          <w:color w:val="1F497D" w:themeColor="text2"/>
          <w:u w:val="single"/>
        </w:rPr>
        <w:t>S</w:t>
      </w:r>
      <w:r w:rsidR="004C206E" w:rsidRPr="00BA0E3E">
        <w:rPr>
          <w:color w:val="1F497D" w:themeColor="text2"/>
          <w:u w:val="single"/>
        </w:rPr>
        <w:t>ervices</w:t>
      </w:r>
      <w:r w:rsidR="00D870D0" w:rsidRPr="00CD4177">
        <w:rPr>
          <w:color w:val="1F497D" w:themeColor="text2"/>
          <w:u w:val="single"/>
        </w:rPr>
        <w:t xml:space="preserve">. </w:t>
      </w:r>
    </w:p>
    <w:p w:rsidR="00DB1C48" w:rsidRPr="00E07DE1" w:rsidRDefault="00B21475" w:rsidP="00DB1C48">
      <w:pPr>
        <w:pStyle w:val="Schnumberedtext"/>
        <w:ind w:left="709" w:hanging="709"/>
        <w:rPr>
          <w:i/>
        </w:rPr>
      </w:pPr>
      <w:r>
        <w:t>T</w:t>
      </w:r>
      <w:r w:rsidR="00DB1C48" w:rsidRPr="002F54CC">
        <w:t>he amount approved by the Commission is an ‘</w:t>
      </w:r>
      <w:r w:rsidR="00DB1C48">
        <w:t>extended reserves</w:t>
      </w:r>
      <w:r w:rsidR="00DB1C48" w:rsidRPr="002F54CC">
        <w:t xml:space="preserve"> a</w:t>
      </w:r>
      <w:r w:rsidR="00DB1C48">
        <w:t>llowance</w:t>
      </w:r>
      <w:r w:rsidR="00DB1C48" w:rsidRPr="002F54CC">
        <w:t xml:space="preserve">’ Recoverable Cost under </w:t>
      </w:r>
      <w:proofErr w:type="spellStart"/>
      <w:r w:rsidR="00DB1C48" w:rsidRPr="00403BE7">
        <w:t>subclause</w:t>
      </w:r>
      <w:proofErr w:type="spellEnd"/>
      <w:r w:rsidR="00DB1C48" w:rsidRPr="00403BE7">
        <w:t xml:space="preserve"> 3.1.3(1</w:t>
      </w:r>
      <w:proofErr w:type="gramStart"/>
      <w:r w:rsidR="00DB1C48" w:rsidRPr="00403BE7">
        <w:t>)(</w:t>
      </w:r>
      <w:proofErr w:type="gramEnd"/>
      <w:r w:rsidR="00DB1C48">
        <w:t>o</w:t>
      </w:r>
      <w:r w:rsidR="00DB1C48" w:rsidRPr="00403BE7">
        <w:t>)</w:t>
      </w:r>
      <w:r w:rsidR="00DB1C48" w:rsidRPr="002F54CC">
        <w:t xml:space="preserve"> of the IM Determination</w:t>
      </w:r>
      <w:r w:rsidR="00DB1C48">
        <w:t xml:space="preserve"> in</w:t>
      </w:r>
      <w:r w:rsidR="00DB1C48" w:rsidRPr="002F54CC">
        <w:t xml:space="preserve"> the Assessment Period </w:t>
      </w:r>
      <w:r w:rsidRPr="00B13982">
        <w:rPr>
          <w:strike/>
          <w:color w:val="1F497D" w:themeColor="text2"/>
        </w:rPr>
        <w:t>to which the application relates</w:t>
      </w:r>
      <w:r w:rsidR="00B13982">
        <w:t xml:space="preserve"> </w:t>
      </w:r>
      <w:r w:rsidR="00B13982" w:rsidRPr="00B13982">
        <w:rPr>
          <w:color w:val="1F497D" w:themeColor="text2"/>
          <w:u w:val="single"/>
        </w:rPr>
        <w:t>following its approval</w:t>
      </w:r>
      <w:r w:rsidR="00DB1C48">
        <w:t>.</w:t>
      </w:r>
    </w:p>
    <w:p w:rsidR="00DB1C48" w:rsidRDefault="00DB1C48">
      <w:pPr>
        <w:rPr>
          <w:color w:val="000000"/>
          <w:szCs w:val="24"/>
          <w:lang w:eastAsia="en-NZ"/>
        </w:rPr>
      </w:pPr>
      <w:r>
        <w:rPr>
          <w:color w:val="000000"/>
          <w:szCs w:val="24"/>
          <w:lang w:eastAsia="en-NZ"/>
        </w:rPr>
        <w:br w:type="page"/>
      </w:r>
    </w:p>
    <w:p w:rsidR="00EA3B24" w:rsidRDefault="00EA3B24" w:rsidP="00A444CF">
      <w:pPr>
        <w:pStyle w:val="Scheduletitles"/>
      </w:pPr>
      <w:bookmarkStart w:id="44" w:name="_Ref392850257"/>
      <w:r>
        <w:lastRenderedPageBreak/>
        <w:t>Form of Director’s Certificat</w:t>
      </w:r>
      <w:bookmarkEnd w:id="44"/>
      <w:r w:rsidR="00CE1A07">
        <w:t>e</w:t>
      </w:r>
    </w:p>
    <w:p w:rsidR="00EA3B24" w:rsidRPr="000F5804" w:rsidRDefault="00EA3B24" w:rsidP="00EA3B24">
      <w:pPr>
        <w:pStyle w:val="BodyText"/>
        <w:ind w:left="709" w:right="662"/>
      </w:pPr>
      <w:r w:rsidRPr="000F5804">
        <w:t>I/We, [</w:t>
      </w:r>
      <w:r w:rsidRPr="000F5804">
        <w:rPr>
          <w:rStyle w:val="Emphasis-Italics"/>
        </w:rPr>
        <w:t>insert full name/s</w:t>
      </w:r>
      <w:r w:rsidRPr="000F5804">
        <w:t>], being director/s of [</w:t>
      </w:r>
      <w:r w:rsidRPr="000F5804">
        <w:rPr>
          <w:rStyle w:val="Emphasis-Italics"/>
        </w:rPr>
        <w:t>insert name of Non-exempt EDB</w:t>
      </w:r>
      <w:r w:rsidRPr="000F5804">
        <w:t>] certify that, having made all reasonable enquiry, to the best of my/our knowledge and belief, the attached Annual Compliance Statement of [</w:t>
      </w:r>
      <w:r w:rsidRPr="000F5804">
        <w:rPr>
          <w:rStyle w:val="Emphasis-Italics"/>
        </w:rPr>
        <w:t>name of Non-exempt EDB</w:t>
      </w:r>
      <w:r w:rsidRPr="000F5804">
        <w:t xml:space="preserve">], and related information, prepared for the purposes of the </w:t>
      </w:r>
      <w:r w:rsidRPr="000F5804">
        <w:rPr>
          <w:rStyle w:val="Emphasis-Italics"/>
        </w:rPr>
        <w:t xml:space="preserve">Electricity Distribution Services Default Price-Quality Path Determination </w:t>
      </w:r>
      <w:r w:rsidR="00E01D02" w:rsidRPr="000F5804">
        <w:rPr>
          <w:rStyle w:val="Emphasis-Italics"/>
        </w:rPr>
        <w:t>201</w:t>
      </w:r>
      <w:r w:rsidR="00E01D02">
        <w:rPr>
          <w:rStyle w:val="Emphasis-Italics"/>
        </w:rPr>
        <w:t>5</w:t>
      </w:r>
      <w:r w:rsidR="00E01D02" w:rsidRPr="000F5804">
        <w:t xml:space="preserve"> </w:t>
      </w:r>
      <w:r w:rsidRPr="000F5804">
        <w:t>are true and accurate</w:t>
      </w:r>
      <w:r w:rsidRPr="000F5804" w:rsidDel="00B7368C">
        <w:t xml:space="preserve"> </w:t>
      </w:r>
      <w:r w:rsidRPr="000F5804">
        <w:t>*[</w:t>
      </w:r>
      <w:r w:rsidRPr="000F5804">
        <w:rPr>
          <w:rStyle w:val="Emphasis-Italics"/>
        </w:rPr>
        <w:t>except in the following respects</w:t>
      </w:r>
      <w:r w:rsidRPr="000F5804">
        <w:t xml:space="preserve">].  </w:t>
      </w:r>
    </w:p>
    <w:p w:rsidR="00EA3B24" w:rsidRPr="000F5804" w:rsidRDefault="00EA3B24" w:rsidP="00EA3B24">
      <w:pPr>
        <w:pStyle w:val="BodyText"/>
        <w:ind w:left="709" w:right="662"/>
      </w:pPr>
      <w:r w:rsidRPr="000F5804">
        <w:t>*[</w:t>
      </w:r>
      <w:r w:rsidRPr="000F5804">
        <w:rPr>
          <w:rStyle w:val="Emphasis-Italics"/>
        </w:rPr>
        <w:t>insert description of non-compliance</w:t>
      </w:r>
      <w:r w:rsidRPr="000F5804">
        <w:t>]</w:t>
      </w:r>
    </w:p>
    <w:p w:rsidR="00EA3B24" w:rsidRPr="000F5804" w:rsidRDefault="00EA3B24" w:rsidP="00EA3B24">
      <w:pPr>
        <w:pStyle w:val="BodyText"/>
        <w:ind w:left="709" w:right="662"/>
      </w:pPr>
      <w:r w:rsidRPr="000F5804">
        <w:t>[</w:t>
      </w:r>
      <w:r w:rsidRPr="000F5804">
        <w:rPr>
          <w:rStyle w:val="Emphasis-Italics"/>
        </w:rPr>
        <w:t>Signatures of Directors</w:t>
      </w:r>
      <w:r w:rsidRPr="000F5804">
        <w:t xml:space="preserve">] </w:t>
      </w:r>
    </w:p>
    <w:p w:rsidR="00EA3B24" w:rsidRPr="000F5804" w:rsidRDefault="00EA3B24" w:rsidP="00EA3B24">
      <w:pPr>
        <w:pStyle w:val="BodyText"/>
        <w:ind w:left="709" w:right="662"/>
      </w:pPr>
      <w:r w:rsidRPr="000F5804">
        <w:t>[</w:t>
      </w:r>
      <w:r w:rsidRPr="000F5804">
        <w:rPr>
          <w:rStyle w:val="Emphasis-Italics"/>
        </w:rPr>
        <w:t>Date</w:t>
      </w:r>
      <w:r w:rsidRPr="000F5804">
        <w:t xml:space="preserve">] </w:t>
      </w:r>
    </w:p>
    <w:p w:rsidR="00EA3B24" w:rsidRPr="000F5804" w:rsidRDefault="00EA3B24" w:rsidP="00EA3B24">
      <w:pPr>
        <w:pStyle w:val="BodyText"/>
        <w:ind w:left="709" w:right="662"/>
      </w:pPr>
      <w:r w:rsidRPr="000F5804">
        <w:t>*Delete if inapplicable.</w:t>
      </w:r>
    </w:p>
    <w:p w:rsidR="00EA3B24" w:rsidRDefault="00EA3B24" w:rsidP="00EA3B24">
      <w:pPr>
        <w:pStyle w:val="BodyText"/>
        <w:ind w:left="709" w:right="662"/>
      </w:pPr>
      <w:r w:rsidRPr="000F5804">
        <w:t>Note: Section 103(2) of the Commerce Act 1986 provides that no person shall attempt to deceive or knowingly mislead the Commission in relation to any matter before it. It is an offence to contravene section 103(2) and any person who does so is liable on summary conviction to a fine not exceeding $10,000 in the case of an individual or $30,000 in the case of a body corporate.</w:t>
      </w:r>
      <w:r w:rsidRPr="0094429E">
        <w:t xml:space="preserve"> </w:t>
      </w:r>
    </w:p>
    <w:p w:rsidR="00EA3B24" w:rsidRDefault="00EA3B24">
      <w:pPr>
        <w:rPr>
          <w:color w:val="000000"/>
          <w:szCs w:val="24"/>
        </w:rPr>
      </w:pPr>
      <w:r>
        <w:br w:type="page"/>
      </w:r>
    </w:p>
    <w:p w:rsidR="00EA3B24" w:rsidRDefault="00D631C6" w:rsidP="003E538E">
      <w:pPr>
        <w:pStyle w:val="Scheduletitles"/>
      </w:pPr>
      <w:bookmarkStart w:id="45" w:name="_Ref392850261"/>
      <w:r>
        <w:lastRenderedPageBreak/>
        <w:t xml:space="preserve">Independent </w:t>
      </w:r>
      <w:r w:rsidR="00EA3B24" w:rsidRPr="00EA3B24">
        <w:t xml:space="preserve">Auditor’s report on </w:t>
      </w:r>
      <w:r w:rsidR="00C5316F">
        <w:t xml:space="preserve">Annual </w:t>
      </w:r>
      <w:r w:rsidR="00EA3B24" w:rsidRPr="00EA3B24">
        <w:t>Compliance Statement</w:t>
      </w:r>
      <w:bookmarkEnd w:id="45"/>
    </w:p>
    <w:p w:rsidR="00EA3B24" w:rsidRDefault="00EA3B24" w:rsidP="00B87C77">
      <w:pPr>
        <w:pStyle w:val="Schnumberedtext"/>
        <w:numPr>
          <w:ilvl w:val="0"/>
          <w:numId w:val="39"/>
        </w:numPr>
        <w:ind w:left="709" w:hanging="709"/>
      </w:pPr>
      <w:r w:rsidRPr="002F54CC">
        <w:t>Each Non-exempt EDB must</w:t>
      </w:r>
      <w:bookmarkStart w:id="46" w:name="_Ref279615954"/>
      <w:r w:rsidRPr="002F54CC">
        <w:t xml:space="preserve"> procure an assurance report by an </w:t>
      </w:r>
      <w:r w:rsidR="00D631C6">
        <w:t xml:space="preserve">Independent </w:t>
      </w:r>
      <w:r w:rsidRPr="002F54CC">
        <w:t xml:space="preserve">Auditor in respect of the </w:t>
      </w:r>
      <w:r w:rsidR="00C5316F">
        <w:t xml:space="preserve">Annual </w:t>
      </w:r>
      <w:r w:rsidRPr="002F54CC">
        <w:t xml:space="preserve">Compliance Statement that is prepared in accordance with Standard on Assurance Engagements 3100 – Compliance Engagements (SAE 3100) and International Standard on Assurance Engagements (New Zealand) 3000 (ISAE (NZ) 3000) or their successor standards, signed by the </w:t>
      </w:r>
      <w:r w:rsidR="00D631C6">
        <w:t xml:space="preserve">Independent </w:t>
      </w:r>
      <w:r w:rsidRPr="002F54CC">
        <w:t>Auditor (either in his or her own name or that of his or her firm), and that</w:t>
      </w:r>
      <w:bookmarkEnd w:id="46"/>
      <w:r w:rsidRPr="002F54CC">
        <w:t>-</w:t>
      </w:r>
    </w:p>
    <w:p w:rsidR="00EA3B24" w:rsidRDefault="00EA3B24" w:rsidP="00B87C77">
      <w:pPr>
        <w:pStyle w:val="Subclause2"/>
        <w:numPr>
          <w:ilvl w:val="0"/>
          <w:numId w:val="40"/>
        </w:numPr>
        <w:ind w:left="1418" w:hanging="709"/>
      </w:pPr>
      <w:r w:rsidRPr="002F54CC">
        <w:t>is addressed to the Directors of the Non-exempt EDB</w:t>
      </w:r>
      <w:r w:rsidRPr="002F54CC">
        <w:rPr>
          <w:b/>
        </w:rPr>
        <w:t xml:space="preserve"> </w:t>
      </w:r>
      <w:r w:rsidRPr="002F54CC">
        <w:t>and to the Commission</w:t>
      </w:r>
      <w:r w:rsidRPr="002F54CC">
        <w:rPr>
          <w:b/>
        </w:rPr>
        <w:t xml:space="preserve"> </w:t>
      </w:r>
      <w:r w:rsidRPr="002F54CC">
        <w:t>as the intended users of the assurance report;</w:t>
      </w:r>
    </w:p>
    <w:p w:rsidR="00EA3B24" w:rsidRDefault="00EA3B24" w:rsidP="00B87C77">
      <w:pPr>
        <w:pStyle w:val="Subclause2"/>
        <w:numPr>
          <w:ilvl w:val="0"/>
          <w:numId w:val="40"/>
        </w:numPr>
        <w:ind w:left="1418" w:hanging="709"/>
      </w:pPr>
      <w:r w:rsidRPr="002F54CC">
        <w:t>states–</w:t>
      </w:r>
    </w:p>
    <w:p w:rsidR="00EA3B24" w:rsidRDefault="00EA3B24" w:rsidP="00B87C77">
      <w:pPr>
        <w:pStyle w:val="Subclause3"/>
        <w:numPr>
          <w:ilvl w:val="0"/>
          <w:numId w:val="41"/>
        </w:numPr>
        <w:ind w:left="2127" w:right="0" w:hanging="709"/>
      </w:pPr>
      <w:r w:rsidRPr="002F54CC">
        <w:t>that it has been prepared in accordance with Standard on Assurance Engagements 3100 – Compliance Engagements (SAE 3100) and International Standard on Assurance Engagements (New Zealand) 3000 (ISAE (NZ) 3000) or their successor standards;</w:t>
      </w:r>
    </w:p>
    <w:p w:rsidR="00EA3B24" w:rsidRDefault="00EA3B24" w:rsidP="00B87C77">
      <w:pPr>
        <w:pStyle w:val="Subclause3"/>
        <w:numPr>
          <w:ilvl w:val="0"/>
          <w:numId w:val="41"/>
        </w:numPr>
        <w:ind w:left="2127" w:right="0" w:hanging="709"/>
      </w:pPr>
      <w:r w:rsidRPr="002F54CC">
        <w:t xml:space="preserve">the work done by the </w:t>
      </w:r>
      <w:r w:rsidR="00D631C6">
        <w:t xml:space="preserve">Independent </w:t>
      </w:r>
      <w:r w:rsidRPr="002F54CC">
        <w:t>Auditor;</w:t>
      </w:r>
    </w:p>
    <w:p w:rsidR="00EA3B24" w:rsidRDefault="00EA3B24" w:rsidP="00B87C77">
      <w:pPr>
        <w:pStyle w:val="Subclause3"/>
        <w:numPr>
          <w:ilvl w:val="0"/>
          <w:numId w:val="41"/>
        </w:numPr>
        <w:ind w:left="2127" w:right="0" w:hanging="709"/>
      </w:pPr>
      <w:r w:rsidRPr="002F54CC">
        <w:t>the scope and limitations of the assurance engagement;</w:t>
      </w:r>
    </w:p>
    <w:p w:rsidR="00EA3B24" w:rsidRDefault="00EA3B24" w:rsidP="00B87C77">
      <w:pPr>
        <w:pStyle w:val="Subclause3"/>
        <w:numPr>
          <w:ilvl w:val="0"/>
          <w:numId w:val="41"/>
        </w:numPr>
        <w:ind w:left="2127" w:right="0" w:hanging="709"/>
      </w:pPr>
      <w:r w:rsidRPr="002F54CC">
        <w:t xml:space="preserve">the existence of any relationship (other than that of auditor) which the </w:t>
      </w:r>
      <w:r w:rsidR="00D631C6">
        <w:t xml:space="preserve">Independent </w:t>
      </w:r>
      <w:r w:rsidRPr="002F54CC">
        <w:t xml:space="preserve">Auditor has with, or any interests which the </w:t>
      </w:r>
      <w:r w:rsidR="00D631C6">
        <w:t xml:space="preserve">Independent </w:t>
      </w:r>
      <w:r w:rsidRPr="002F54CC">
        <w:t>Auditor has in, the Non-exempt EDB or any of its subsidiaries;</w:t>
      </w:r>
    </w:p>
    <w:p w:rsidR="00EA3B24" w:rsidRDefault="00EA3B24" w:rsidP="00B87C77">
      <w:pPr>
        <w:pStyle w:val="Subclause3"/>
        <w:numPr>
          <w:ilvl w:val="0"/>
          <w:numId w:val="41"/>
        </w:numPr>
        <w:ind w:left="2127" w:right="0" w:hanging="709"/>
      </w:pPr>
      <w:r w:rsidRPr="002F54CC">
        <w:t xml:space="preserve">whether the </w:t>
      </w:r>
      <w:r w:rsidR="00D631C6">
        <w:t xml:space="preserve">Independent </w:t>
      </w:r>
      <w:r w:rsidRPr="002F54CC">
        <w:t>Auditor has obtained sufficient recorded evidence and explanations that he or she required and, if not, the information and explanations not obtained;</w:t>
      </w:r>
    </w:p>
    <w:p w:rsidR="00EA3B24" w:rsidRDefault="00EA3B24" w:rsidP="00B87C77">
      <w:pPr>
        <w:pStyle w:val="Subclause3"/>
        <w:numPr>
          <w:ilvl w:val="0"/>
          <w:numId w:val="41"/>
        </w:numPr>
        <w:ind w:left="2127" w:right="0" w:hanging="709"/>
      </w:pPr>
      <w:r w:rsidRPr="002F54CC">
        <w:t xml:space="preserve">whether, in the </w:t>
      </w:r>
      <w:r w:rsidR="00D631C6">
        <w:t xml:space="preserve">Independent </w:t>
      </w:r>
      <w:r w:rsidRPr="002F54CC">
        <w:t xml:space="preserve">Auditor’s opinion, as far as appears from an examination, the information used in the preparation of the </w:t>
      </w:r>
      <w:r w:rsidR="00C5316F">
        <w:t xml:space="preserve">Annual </w:t>
      </w:r>
      <w:r w:rsidRPr="002F54CC">
        <w:t xml:space="preserve">Compliance Statement has been properly extracted from the Non-exempt EDB’s accounting and other records, sourced from its financial and non-financial systems; </w:t>
      </w:r>
    </w:p>
    <w:p w:rsidR="00EA3B24" w:rsidRDefault="00EA3B24" w:rsidP="00B87C77">
      <w:pPr>
        <w:pStyle w:val="Subclause3"/>
        <w:numPr>
          <w:ilvl w:val="0"/>
          <w:numId w:val="41"/>
        </w:numPr>
        <w:ind w:left="2127" w:right="0" w:hanging="709"/>
      </w:pPr>
      <w:r w:rsidRPr="0067630A">
        <w:rPr>
          <w:strike/>
          <w:color w:val="1F497D" w:themeColor="text2"/>
        </w:rPr>
        <w:t xml:space="preserve">whether, in the </w:t>
      </w:r>
      <w:r w:rsidR="00D631C6" w:rsidRPr="0067630A">
        <w:rPr>
          <w:strike/>
          <w:color w:val="1F497D" w:themeColor="text2"/>
        </w:rPr>
        <w:t xml:space="preserve">Independent </w:t>
      </w:r>
      <w:r w:rsidRPr="0067630A">
        <w:rPr>
          <w:strike/>
          <w:color w:val="1F497D" w:themeColor="text2"/>
        </w:rPr>
        <w:t xml:space="preserve">Auditor’s opinion, as far as appears from an examination of them, proper records to enable the complete and accurate compilation of the </w:t>
      </w:r>
      <w:r w:rsidR="00C5316F" w:rsidRPr="0067630A">
        <w:rPr>
          <w:strike/>
          <w:color w:val="1F497D" w:themeColor="text2"/>
        </w:rPr>
        <w:t xml:space="preserve">Annual </w:t>
      </w:r>
      <w:r w:rsidRPr="0067630A">
        <w:rPr>
          <w:strike/>
          <w:color w:val="1F497D" w:themeColor="text2"/>
        </w:rPr>
        <w:t xml:space="preserve">Compliance Statement required by the </w:t>
      </w:r>
      <w:r w:rsidRPr="0067630A">
        <w:rPr>
          <w:i/>
          <w:strike/>
          <w:color w:val="1F497D" w:themeColor="text2"/>
        </w:rPr>
        <w:t xml:space="preserve">Electricity Distribution Services Default Price-Quality Path Determination </w:t>
      </w:r>
      <w:r w:rsidR="00053F4A" w:rsidRPr="0067630A">
        <w:rPr>
          <w:i/>
          <w:strike/>
          <w:color w:val="1F497D" w:themeColor="text2"/>
        </w:rPr>
        <w:t>2015</w:t>
      </w:r>
      <w:r w:rsidR="00053F4A" w:rsidRPr="0067630A">
        <w:rPr>
          <w:strike/>
          <w:color w:val="1F497D" w:themeColor="text2"/>
        </w:rPr>
        <w:t xml:space="preserve"> </w:t>
      </w:r>
      <w:r w:rsidRPr="0067630A">
        <w:rPr>
          <w:strike/>
          <w:color w:val="1F497D" w:themeColor="text2"/>
        </w:rPr>
        <w:t>have been kept by the Non-exempt EDB and, if not, the records not so kept;</w:t>
      </w:r>
      <w:r w:rsidRPr="0067630A">
        <w:rPr>
          <w:color w:val="1F497D" w:themeColor="text2"/>
        </w:rPr>
        <w:t xml:space="preserve"> </w:t>
      </w:r>
      <w:r w:rsidRPr="002F54CC">
        <w:t>and</w:t>
      </w:r>
    </w:p>
    <w:p w:rsidR="00EA3B24" w:rsidRDefault="006F37D1" w:rsidP="00C054BB">
      <w:pPr>
        <w:pStyle w:val="Subclause2"/>
        <w:ind w:left="1418" w:hanging="709"/>
      </w:pPr>
      <w:r w:rsidRPr="002F54CC">
        <w:t xml:space="preserve">states whether (and, if not, the respects in which it has not), in the </w:t>
      </w:r>
      <w:r w:rsidR="00D631C6">
        <w:t xml:space="preserve">Independent </w:t>
      </w:r>
      <w:r w:rsidRPr="002F54CC">
        <w:t>Auditor’s opinion, the Non-exempt EDB</w:t>
      </w:r>
      <w:r w:rsidRPr="002F54CC">
        <w:rPr>
          <w:b/>
        </w:rPr>
        <w:t xml:space="preserve"> </w:t>
      </w:r>
      <w:r w:rsidRPr="002F54CC">
        <w:t>has complied, in all material</w:t>
      </w:r>
      <w:r w:rsidRPr="006F37D1">
        <w:t xml:space="preserve"> </w:t>
      </w:r>
      <w:r w:rsidRPr="002F54CC">
        <w:t xml:space="preserve">respects, with the </w:t>
      </w:r>
      <w:r w:rsidRPr="002F54CC">
        <w:rPr>
          <w:i/>
        </w:rPr>
        <w:t>Electricity Distribution Services Default Price-Quality Path Determination 201</w:t>
      </w:r>
      <w:r w:rsidR="00053F4A">
        <w:rPr>
          <w:i/>
        </w:rPr>
        <w:t>5</w:t>
      </w:r>
      <w:r w:rsidRPr="002F54CC">
        <w:t xml:space="preserve"> in preparing the</w:t>
      </w:r>
      <w:r w:rsidR="00C5316F">
        <w:t xml:space="preserve"> Annual</w:t>
      </w:r>
      <w:r w:rsidRPr="002F54CC">
        <w:t xml:space="preserve"> Compliance Statement.</w:t>
      </w:r>
    </w:p>
    <w:p w:rsidR="006F37D1" w:rsidRPr="00EA3B24" w:rsidRDefault="006F37D1" w:rsidP="00A444CF">
      <w:pPr>
        <w:pStyle w:val="Schnumberedtext"/>
        <w:ind w:left="709" w:hanging="709"/>
      </w:pPr>
      <w:r w:rsidRPr="002F54CC">
        <w:lastRenderedPageBreak/>
        <w:t xml:space="preserve">The Non-exempt EDB must publicly disclose the </w:t>
      </w:r>
      <w:r w:rsidR="00D631C6">
        <w:t xml:space="preserve">Independent </w:t>
      </w:r>
      <w:r w:rsidRPr="002F54CC">
        <w:t xml:space="preserve">Auditor’s assurance report prepared in accordance with paragraph 1 above at the same time as the Non-exempt EDB publicly discloses the </w:t>
      </w:r>
      <w:r w:rsidR="00C5316F">
        <w:t xml:space="preserve">Annual </w:t>
      </w:r>
      <w:r w:rsidRPr="002F54CC">
        <w:t>Compliance Statement.</w:t>
      </w:r>
    </w:p>
    <w:sectPr w:rsidR="006F37D1" w:rsidRPr="00EA3B24" w:rsidSect="00940071">
      <w:headerReference w:type="even" r:id="rId52"/>
      <w:headerReference w:type="default" r:id="rId53"/>
      <w:footerReference w:type="even" r:id="rId54"/>
      <w:footerReference w:type="default" r:id="rId55"/>
      <w:headerReference w:type="first" r:id="rId56"/>
      <w:footerReference w:type="first" r:id="rId57"/>
      <w:pgSz w:w="11906" w:h="16838" w:code="9"/>
      <w:pgMar w:top="1440" w:right="1416"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0A" w:rsidRDefault="0067630A">
      <w:r>
        <w:separator/>
      </w:r>
    </w:p>
  </w:endnote>
  <w:endnote w:type="continuationSeparator" w:id="0">
    <w:p w:rsidR="0067630A" w:rsidRDefault="0067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0A" w:rsidRPr="00AC362E" w:rsidRDefault="0067630A" w:rsidP="00AC362E">
    <w:pPr>
      <w:pStyle w:val="Footer"/>
      <w:jc w:val="right"/>
      <w:rPr>
        <w:sz w:val="16"/>
      </w:rPr>
    </w:pPr>
    <w:r w:rsidRPr="00AC362E">
      <w:rPr>
        <w:sz w:val="16"/>
      </w:rPr>
      <w:t>1883953.1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0A" w:rsidRPr="00AC362E" w:rsidRDefault="0067630A" w:rsidP="00AC362E">
    <w:pPr>
      <w:pStyle w:val="Footer"/>
      <w:jc w:val="left"/>
      <w:rPr>
        <w:sz w:val="16"/>
      </w:rPr>
    </w:pPr>
    <w:r w:rsidRPr="00AC362E">
      <w:rPr>
        <w:sz w:val="16"/>
      </w:rPr>
      <w:t>1883953.1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0A" w:rsidRPr="00AC362E" w:rsidRDefault="0067630A" w:rsidP="00AC362E">
    <w:pPr>
      <w:pStyle w:val="Footer"/>
      <w:jc w:val="left"/>
      <w:rPr>
        <w:sz w:val="16"/>
        <w:szCs w:val="16"/>
      </w:rPr>
    </w:pPr>
    <w:r w:rsidRPr="00AC362E">
      <w:rPr>
        <w:sz w:val="16"/>
        <w:szCs w:val="16"/>
      </w:rPr>
      <w:t>1883953.1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0A" w:rsidRDefault="0067630A">
      <w:r>
        <w:separator/>
      </w:r>
    </w:p>
  </w:footnote>
  <w:footnote w:type="continuationSeparator" w:id="0">
    <w:p w:rsidR="0067630A" w:rsidRDefault="00676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0A" w:rsidRDefault="00676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0A" w:rsidRDefault="0067630A" w:rsidP="00CA5A20">
    <w:pPr>
      <w:pStyle w:val="Header"/>
    </w:pPr>
    <w:r>
      <w:rPr>
        <w:rStyle w:val="PageNumber"/>
      </w:rPr>
      <w:fldChar w:fldCharType="begin"/>
    </w:r>
    <w:r>
      <w:rPr>
        <w:rStyle w:val="PageNumber"/>
      </w:rPr>
      <w:instrText xml:space="preserve"> PAGE </w:instrText>
    </w:r>
    <w:r>
      <w:rPr>
        <w:rStyle w:val="PageNumber"/>
      </w:rPr>
      <w:fldChar w:fldCharType="separate"/>
    </w:r>
    <w:r w:rsidR="007F712B">
      <w:rPr>
        <w:rStyle w:val="PageNumber"/>
        <w:noProof/>
      </w:rPr>
      <w:t>39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0A" w:rsidRDefault="0067630A" w:rsidP="00770504">
    <w:pPr>
      <w:pStyle w:val="Header"/>
      <w:jc w:val="left"/>
    </w:pPr>
    <w:r>
      <w:rPr>
        <w:noProof/>
        <w:lang w:eastAsia="en-NZ"/>
      </w:rPr>
      <w:drawing>
        <wp:inline distT="0" distB="0" distL="0" distR="0" wp14:anchorId="4CDDA433" wp14:editId="6DF121F3">
          <wp:extent cx="1971675" cy="598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X-91-ComComNZ-CMYK.jpg"/>
                  <pic:cNvPicPr/>
                </pic:nvPicPr>
                <pic:blipFill>
                  <a:blip r:embed="rId1">
                    <a:extLst>
                      <a:ext uri="{28A0092B-C50C-407E-A947-70E740481C1C}">
                        <a14:useLocalDpi xmlns:a14="http://schemas.microsoft.com/office/drawing/2010/main" val="0"/>
                      </a:ext>
                    </a:extLst>
                  </a:blip>
                  <a:stretch>
                    <a:fillRect/>
                  </a:stretch>
                </pic:blipFill>
                <pic:spPr>
                  <a:xfrm>
                    <a:off x="0" y="0"/>
                    <a:ext cx="1978248" cy="6000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781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56CF0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462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2B4E9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2ECA6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AA70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8"/>
    <w:multiLevelType w:val="singleLevel"/>
    <w:tmpl w:val="EA7C3332"/>
    <w:lvl w:ilvl="0">
      <w:start w:val="1"/>
      <w:numFmt w:val="decimal"/>
      <w:pStyle w:val="ListNumber"/>
      <w:lvlText w:val="%1."/>
      <w:lvlJc w:val="left"/>
      <w:pPr>
        <w:tabs>
          <w:tab w:val="num" w:pos="360"/>
        </w:tabs>
        <w:ind w:left="360" w:hanging="360"/>
      </w:pPr>
    </w:lvl>
  </w:abstractNum>
  <w:abstractNum w:abstractNumId="7">
    <w:nsid w:val="049A4154"/>
    <w:multiLevelType w:val="multilevel"/>
    <w:tmpl w:val="B082F97C"/>
    <w:lvl w:ilvl="0">
      <w:start w:val="1"/>
      <w:numFmt w:val="lowerLetter"/>
      <w:lvlText w:val="(%1)"/>
      <w:lvlJc w:val="left"/>
      <w:pPr>
        <w:ind w:left="1069"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8">
    <w:nsid w:val="09286255"/>
    <w:multiLevelType w:val="multilevel"/>
    <w:tmpl w:val="B082F97C"/>
    <w:lvl w:ilvl="0">
      <w:start w:val="1"/>
      <w:numFmt w:val="lowerLetter"/>
      <w:lvlText w:val="(%1)"/>
      <w:lvlJc w:val="left"/>
      <w:pPr>
        <w:ind w:left="1069"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9">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11C23AF"/>
    <w:multiLevelType w:val="multilevel"/>
    <w:tmpl w:val="1FF454C4"/>
    <w:lvl w:ilvl="0">
      <w:start w:val="1"/>
      <w:numFmt w:val="lowerLetter"/>
      <w:pStyle w:val="Subclause2"/>
      <w:lvlText w:val="(%1)"/>
      <w:lvlJc w:val="left"/>
      <w:pPr>
        <w:ind w:left="1778" w:hanging="360"/>
      </w:pPr>
      <w:rPr>
        <w:rFonts w:hint="default"/>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pStyle w:val="Para5"/>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11">
    <w:nsid w:val="15EF34AD"/>
    <w:multiLevelType w:val="multilevel"/>
    <w:tmpl w:val="B082F97C"/>
    <w:lvl w:ilvl="0">
      <w:start w:val="1"/>
      <w:numFmt w:val="lowerLetter"/>
      <w:lvlText w:val="(%1)"/>
      <w:lvlJc w:val="left"/>
      <w:pPr>
        <w:ind w:left="1069"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2">
    <w:nsid w:val="18A36DC9"/>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1C011A76"/>
    <w:multiLevelType w:val="multilevel"/>
    <w:tmpl w:val="B082F97C"/>
    <w:lvl w:ilvl="0">
      <w:start w:val="1"/>
      <w:numFmt w:val="lowerLetter"/>
      <w:lvlText w:val="(%1)"/>
      <w:lvlJc w:val="left"/>
      <w:pPr>
        <w:ind w:left="1069"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5">
    <w:nsid w:val="24033E61"/>
    <w:multiLevelType w:val="multilevel"/>
    <w:tmpl w:val="74344A08"/>
    <w:lvl w:ilvl="0">
      <w:start w:val="1"/>
      <w:numFmt w:val="decimal"/>
      <w:pStyle w:val="NumberedL1-Indent"/>
      <w:lvlText w:val="%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33A62BAE"/>
    <w:multiLevelType w:val="multilevel"/>
    <w:tmpl w:val="2BA841E6"/>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33BB3920"/>
    <w:multiLevelType w:val="multilevel"/>
    <w:tmpl w:val="FF063994"/>
    <w:lvl w:ilvl="0">
      <w:start w:val="1"/>
      <w:numFmt w:val="lowerRoman"/>
      <w:pStyle w:val="Subclause3"/>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i/>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DCD25B9"/>
    <w:multiLevelType w:val="multilevel"/>
    <w:tmpl w:val="B082F97C"/>
    <w:lvl w:ilvl="0">
      <w:start w:val="1"/>
      <w:numFmt w:val="lowerLetter"/>
      <w:lvlText w:val="(%1)"/>
      <w:lvlJc w:val="left"/>
      <w:pPr>
        <w:ind w:left="1069"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9">
    <w:nsid w:val="435314D2"/>
    <w:multiLevelType w:val="hybridMultilevel"/>
    <w:tmpl w:val="FEC20E48"/>
    <w:lvl w:ilvl="0" w:tplc="24A2CDFC">
      <w:start w:val="1"/>
      <w:numFmt w:val="decimal"/>
      <w:pStyle w:val="Tablenumberedlist"/>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157996"/>
    <w:multiLevelType w:val="hybridMultilevel"/>
    <w:tmpl w:val="B5921738"/>
    <w:lvl w:ilvl="0" w:tplc="17E87310">
      <w:start w:val="1"/>
      <w:numFmt w:val="decimal"/>
      <w:pStyle w:val="Scheduletitles"/>
      <w:lvlText w:val="Schedule %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58A449B7"/>
    <w:multiLevelType w:val="multilevel"/>
    <w:tmpl w:val="B082F97C"/>
    <w:lvl w:ilvl="0">
      <w:start w:val="1"/>
      <w:numFmt w:val="lowerLetter"/>
      <w:lvlText w:val="(%1)"/>
      <w:lvlJc w:val="left"/>
      <w:pPr>
        <w:ind w:left="1069"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3">
    <w:nsid w:val="58C66B4A"/>
    <w:multiLevelType w:val="multilevel"/>
    <w:tmpl w:val="9D00A394"/>
    <w:styleLink w:val="Attachmentsliststyle"/>
    <w:lvl w:ilvl="0">
      <w:start w:val="1"/>
      <w:numFmt w:val="upperLetter"/>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5EA772BF"/>
    <w:multiLevelType w:val="multilevel"/>
    <w:tmpl w:val="B082F97C"/>
    <w:lvl w:ilvl="0">
      <w:start w:val="1"/>
      <w:numFmt w:val="lowerLetter"/>
      <w:lvlText w:val="(%1)"/>
      <w:lvlJc w:val="left"/>
      <w:pPr>
        <w:ind w:left="1069"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5">
    <w:nsid w:val="607B257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1B47DD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89D2252"/>
    <w:multiLevelType w:val="multilevel"/>
    <w:tmpl w:val="B082F97C"/>
    <w:lvl w:ilvl="0">
      <w:start w:val="1"/>
      <w:numFmt w:val="lowerLetter"/>
      <w:lvlText w:val="(%1)"/>
      <w:lvlJc w:val="left"/>
      <w:pPr>
        <w:ind w:left="1069"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8">
    <w:nsid w:val="6A841FAE"/>
    <w:multiLevelType w:val="multilevel"/>
    <w:tmpl w:val="ED241616"/>
    <w:lvl w:ilvl="0">
      <w:start w:val="1"/>
      <w:numFmt w:val="decimal"/>
      <w:pStyle w:val="Schnumberedtext"/>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C6100DD"/>
    <w:multiLevelType w:val="multilevel"/>
    <w:tmpl w:val="B082F97C"/>
    <w:lvl w:ilvl="0">
      <w:start w:val="1"/>
      <w:numFmt w:val="lowerLetter"/>
      <w:lvlText w:val="(%1)"/>
      <w:lvlJc w:val="left"/>
      <w:pPr>
        <w:ind w:left="1069"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30">
    <w:nsid w:val="75853017"/>
    <w:multiLevelType w:val="multilevel"/>
    <w:tmpl w:val="370E9F5C"/>
    <w:lvl w:ilvl="0">
      <w:start w:val="1"/>
      <w:numFmt w:val="none"/>
      <w:pStyle w:val="Tabletext-Centred"/>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7799788F"/>
    <w:multiLevelType w:val="multilevel"/>
    <w:tmpl w:val="2BA841E6"/>
    <w:lvl w:ilvl="0">
      <w:start w:val="1"/>
      <w:numFmt w:val="decimal"/>
      <w:pStyle w:val="ClauseTitle"/>
      <w:lvlText w:val="%1."/>
      <w:lvlJc w:val="left"/>
      <w:pPr>
        <w:tabs>
          <w:tab w:val="num" w:pos="709"/>
        </w:tabs>
        <w:ind w:left="709" w:hanging="709"/>
      </w:pPr>
      <w:rPr>
        <w:rFonts w:hint="default"/>
      </w:rPr>
    </w:lvl>
    <w:lvl w:ilvl="1">
      <w:start w:val="1"/>
      <w:numFmt w:val="decimal"/>
      <w:pStyle w:val="Subclause1"/>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6"/>
        </w:tabs>
        <w:ind w:left="2836"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nsid w:val="79AE6065"/>
    <w:multiLevelType w:val="multilevel"/>
    <w:tmpl w:val="FD2E6198"/>
    <w:styleLink w:val="Bulletliststyle"/>
    <w:lvl w:ilvl="0">
      <w:start w:val="1"/>
      <w:numFmt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nsid w:val="7A17129F"/>
    <w:multiLevelType w:val="hybridMultilevel"/>
    <w:tmpl w:val="2A22B0FC"/>
    <w:lvl w:ilvl="0" w:tplc="26E2F0D6">
      <w:start w:val="1"/>
      <w:numFmt w:val="decimal"/>
      <w:pStyle w:val="Clauseheading"/>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6"/>
  </w:num>
  <w:num w:numId="2">
    <w:abstractNumId w:val="25"/>
  </w:num>
  <w:num w:numId="3">
    <w:abstractNumId w:val="12"/>
  </w:num>
  <w:num w:numId="4">
    <w:abstractNumId w:val="5"/>
  </w:num>
  <w:num w:numId="5">
    <w:abstractNumId w:val="4"/>
  </w:num>
  <w:num w:numId="6">
    <w:abstractNumId w:val="6"/>
  </w:num>
  <w:num w:numId="7">
    <w:abstractNumId w:val="3"/>
  </w:num>
  <w:num w:numId="8">
    <w:abstractNumId w:val="2"/>
  </w:num>
  <w:num w:numId="9">
    <w:abstractNumId w:val="1"/>
  </w:num>
  <w:num w:numId="10">
    <w:abstractNumId w:val="0"/>
  </w:num>
  <w:num w:numId="11">
    <w:abstractNumId w:val="23"/>
  </w:num>
  <w:num w:numId="12">
    <w:abstractNumId w:val="32"/>
  </w:num>
  <w:num w:numId="13">
    <w:abstractNumId w:val="9"/>
  </w:num>
  <w:num w:numId="14">
    <w:abstractNumId w:val="16"/>
  </w:num>
  <w:num w:numId="15">
    <w:abstractNumId w:val="31"/>
  </w:num>
  <w:num w:numId="16">
    <w:abstractNumId w:val="13"/>
  </w:num>
  <w:num w:numId="17">
    <w:abstractNumId w:val="13"/>
  </w:num>
  <w:num w:numId="18">
    <w:abstractNumId w:val="19"/>
  </w:num>
  <w:num w:numId="19">
    <w:abstractNumId w:val="21"/>
  </w:num>
  <w:num w:numId="20">
    <w:abstractNumId w:val="21"/>
  </w:num>
  <w:num w:numId="21">
    <w:abstractNumId w:val="3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5"/>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10"/>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num>
  <w:num w:numId="75">
    <w:abstractNumId w:val="22"/>
  </w:num>
  <w:num w:numId="76">
    <w:abstractNumId w:val="28"/>
  </w:num>
  <w:num w:numId="77">
    <w:abstractNumId w:val="11"/>
  </w:num>
  <w:num w:numId="78">
    <w:abstractNumId w:val="24"/>
  </w:num>
  <w:num w:numId="79">
    <w:abstractNumId w:val="18"/>
  </w:num>
  <w:num w:numId="80">
    <w:abstractNumId w:val="29"/>
  </w:num>
  <w:num w:numId="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num>
  <w:num w:numId="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oNotTrackFormatting/>
  <w:defaultTabStop w:val="709"/>
  <w:drawingGridHorizontalSpacing w:val="120"/>
  <w:displayHorizontalDrawingGridEvery w:val="2"/>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SavedAs" w:val="1883953.1"/>
  </w:docVars>
  <w:rsids>
    <w:rsidRoot w:val="00CE5D67"/>
    <w:rsid w:val="00013D61"/>
    <w:rsid w:val="00022BCB"/>
    <w:rsid w:val="0002733A"/>
    <w:rsid w:val="00027ACA"/>
    <w:rsid w:val="00031DF4"/>
    <w:rsid w:val="00031EB6"/>
    <w:rsid w:val="00046A9A"/>
    <w:rsid w:val="00053F4A"/>
    <w:rsid w:val="00054CA9"/>
    <w:rsid w:val="00062545"/>
    <w:rsid w:val="000637DA"/>
    <w:rsid w:val="00086A60"/>
    <w:rsid w:val="00094066"/>
    <w:rsid w:val="00095C2A"/>
    <w:rsid w:val="00096814"/>
    <w:rsid w:val="00097713"/>
    <w:rsid w:val="000A0716"/>
    <w:rsid w:val="000A2E89"/>
    <w:rsid w:val="000B27E7"/>
    <w:rsid w:val="000C03FB"/>
    <w:rsid w:val="000D1529"/>
    <w:rsid w:val="000E1B1D"/>
    <w:rsid w:val="000E73CA"/>
    <w:rsid w:val="000F0E21"/>
    <w:rsid w:val="0010107A"/>
    <w:rsid w:val="00106E32"/>
    <w:rsid w:val="00112FD6"/>
    <w:rsid w:val="00113E4A"/>
    <w:rsid w:val="00114C07"/>
    <w:rsid w:val="0012502E"/>
    <w:rsid w:val="001315A7"/>
    <w:rsid w:val="0014398D"/>
    <w:rsid w:val="001452A4"/>
    <w:rsid w:val="001516CD"/>
    <w:rsid w:val="001560E5"/>
    <w:rsid w:val="00167932"/>
    <w:rsid w:val="00174C10"/>
    <w:rsid w:val="00184541"/>
    <w:rsid w:val="001853E2"/>
    <w:rsid w:val="001922A6"/>
    <w:rsid w:val="001A0016"/>
    <w:rsid w:val="001A1B60"/>
    <w:rsid w:val="001A5B14"/>
    <w:rsid w:val="001A5C47"/>
    <w:rsid w:val="001A737D"/>
    <w:rsid w:val="001B6C2C"/>
    <w:rsid w:val="001C2065"/>
    <w:rsid w:val="001C59FF"/>
    <w:rsid w:val="001D4758"/>
    <w:rsid w:val="001D4E09"/>
    <w:rsid w:val="001F03C1"/>
    <w:rsid w:val="002266BD"/>
    <w:rsid w:val="0023230C"/>
    <w:rsid w:val="00236868"/>
    <w:rsid w:val="00237C0F"/>
    <w:rsid w:val="00245CB8"/>
    <w:rsid w:val="00252771"/>
    <w:rsid w:val="00255C2B"/>
    <w:rsid w:val="00264918"/>
    <w:rsid w:val="00267F10"/>
    <w:rsid w:val="0027348C"/>
    <w:rsid w:val="00284481"/>
    <w:rsid w:val="0028737F"/>
    <w:rsid w:val="002910CF"/>
    <w:rsid w:val="002912E9"/>
    <w:rsid w:val="00292A7A"/>
    <w:rsid w:val="002944E9"/>
    <w:rsid w:val="002951F1"/>
    <w:rsid w:val="00295C27"/>
    <w:rsid w:val="00295EA9"/>
    <w:rsid w:val="002A1239"/>
    <w:rsid w:val="002B5E88"/>
    <w:rsid w:val="002B64D9"/>
    <w:rsid w:val="002B7007"/>
    <w:rsid w:val="002C0254"/>
    <w:rsid w:val="002C294D"/>
    <w:rsid w:val="002D2C63"/>
    <w:rsid w:val="002D6B87"/>
    <w:rsid w:val="002E03FF"/>
    <w:rsid w:val="002E0404"/>
    <w:rsid w:val="002E2D38"/>
    <w:rsid w:val="002E7642"/>
    <w:rsid w:val="002F14D4"/>
    <w:rsid w:val="002F1661"/>
    <w:rsid w:val="002F171E"/>
    <w:rsid w:val="00303218"/>
    <w:rsid w:val="0030438A"/>
    <w:rsid w:val="00310F8A"/>
    <w:rsid w:val="00314B8A"/>
    <w:rsid w:val="00317453"/>
    <w:rsid w:val="003179E1"/>
    <w:rsid w:val="00321F81"/>
    <w:rsid w:val="00322F79"/>
    <w:rsid w:val="0032305C"/>
    <w:rsid w:val="003462AD"/>
    <w:rsid w:val="00353E28"/>
    <w:rsid w:val="00362D89"/>
    <w:rsid w:val="003642F0"/>
    <w:rsid w:val="00364E11"/>
    <w:rsid w:val="00365151"/>
    <w:rsid w:val="0037282C"/>
    <w:rsid w:val="00376EE0"/>
    <w:rsid w:val="00376F8F"/>
    <w:rsid w:val="0038111A"/>
    <w:rsid w:val="00386F8B"/>
    <w:rsid w:val="003951AE"/>
    <w:rsid w:val="003958F3"/>
    <w:rsid w:val="003A1170"/>
    <w:rsid w:val="003A208E"/>
    <w:rsid w:val="003A6C47"/>
    <w:rsid w:val="003B0678"/>
    <w:rsid w:val="003B7A33"/>
    <w:rsid w:val="003C0120"/>
    <w:rsid w:val="003C4503"/>
    <w:rsid w:val="003C4B79"/>
    <w:rsid w:val="003C6895"/>
    <w:rsid w:val="003D0C9B"/>
    <w:rsid w:val="003D16D8"/>
    <w:rsid w:val="003D3207"/>
    <w:rsid w:val="003D66D1"/>
    <w:rsid w:val="003E538E"/>
    <w:rsid w:val="003F6229"/>
    <w:rsid w:val="003F6EDF"/>
    <w:rsid w:val="003F79E2"/>
    <w:rsid w:val="00403BE7"/>
    <w:rsid w:val="00404354"/>
    <w:rsid w:val="00404866"/>
    <w:rsid w:val="0040744E"/>
    <w:rsid w:val="00414395"/>
    <w:rsid w:val="004167C8"/>
    <w:rsid w:val="004223F9"/>
    <w:rsid w:val="00446F24"/>
    <w:rsid w:val="0045571B"/>
    <w:rsid w:val="0045580D"/>
    <w:rsid w:val="00462DDA"/>
    <w:rsid w:val="00473D92"/>
    <w:rsid w:val="00482C83"/>
    <w:rsid w:val="00490F6B"/>
    <w:rsid w:val="00490F7D"/>
    <w:rsid w:val="00496931"/>
    <w:rsid w:val="004A5084"/>
    <w:rsid w:val="004B635A"/>
    <w:rsid w:val="004C206E"/>
    <w:rsid w:val="004C4BEC"/>
    <w:rsid w:val="004C5CE5"/>
    <w:rsid w:val="004C5DD3"/>
    <w:rsid w:val="004C6CC3"/>
    <w:rsid w:val="004D1BEC"/>
    <w:rsid w:val="004D1C0F"/>
    <w:rsid w:val="004D2146"/>
    <w:rsid w:val="004D32F9"/>
    <w:rsid w:val="004E2309"/>
    <w:rsid w:val="004E4DFC"/>
    <w:rsid w:val="004E6C55"/>
    <w:rsid w:val="004F3590"/>
    <w:rsid w:val="004F427A"/>
    <w:rsid w:val="004F466D"/>
    <w:rsid w:val="004F616A"/>
    <w:rsid w:val="00500195"/>
    <w:rsid w:val="00504184"/>
    <w:rsid w:val="005042F5"/>
    <w:rsid w:val="00514147"/>
    <w:rsid w:val="005154FF"/>
    <w:rsid w:val="00516527"/>
    <w:rsid w:val="00517E58"/>
    <w:rsid w:val="00520A09"/>
    <w:rsid w:val="005224D4"/>
    <w:rsid w:val="005272DE"/>
    <w:rsid w:val="00531B43"/>
    <w:rsid w:val="00532FDB"/>
    <w:rsid w:val="0053469D"/>
    <w:rsid w:val="005358C2"/>
    <w:rsid w:val="00536995"/>
    <w:rsid w:val="00540F57"/>
    <w:rsid w:val="00550839"/>
    <w:rsid w:val="00555D48"/>
    <w:rsid w:val="00560AB6"/>
    <w:rsid w:val="00561958"/>
    <w:rsid w:val="0056292A"/>
    <w:rsid w:val="00565544"/>
    <w:rsid w:val="005757E3"/>
    <w:rsid w:val="00576BE9"/>
    <w:rsid w:val="005826CD"/>
    <w:rsid w:val="00586D5B"/>
    <w:rsid w:val="005A0699"/>
    <w:rsid w:val="005A11A4"/>
    <w:rsid w:val="005C1429"/>
    <w:rsid w:val="005C18CB"/>
    <w:rsid w:val="005C5B0D"/>
    <w:rsid w:val="005C75CF"/>
    <w:rsid w:val="005D2B1F"/>
    <w:rsid w:val="005D540E"/>
    <w:rsid w:val="005E0202"/>
    <w:rsid w:val="005F57B0"/>
    <w:rsid w:val="005F7078"/>
    <w:rsid w:val="0060276B"/>
    <w:rsid w:val="0060355C"/>
    <w:rsid w:val="00627DB2"/>
    <w:rsid w:val="0063484B"/>
    <w:rsid w:val="006356F1"/>
    <w:rsid w:val="0064088B"/>
    <w:rsid w:val="006412E7"/>
    <w:rsid w:val="00641432"/>
    <w:rsid w:val="00642E9B"/>
    <w:rsid w:val="00650682"/>
    <w:rsid w:val="00652B78"/>
    <w:rsid w:val="006539A3"/>
    <w:rsid w:val="00654437"/>
    <w:rsid w:val="006658AF"/>
    <w:rsid w:val="00665EED"/>
    <w:rsid w:val="006701EF"/>
    <w:rsid w:val="006735C4"/>
    <w:rsid w:val="00673FB8"/>
    <w:rsid w:val="0067630A"/>
    <w:rsid w:val="0069105B"/>
    <w:rsid w:val="006A1372"/>
    <w:rsid w:val="006A59F0"/>
    <w:rsid w:val="006A76D6"/>
    <w:rsid w:val="006A789A"/>
    <w:rsid w:val="006B1165"/>
    <w:rsid w:val="006B22D6"/>
    <w:rsid w:val="006C1522"/>
    <w:rsid w:val="006D0D50"/>
    <w:rsid w:val="006D23B7"/>
    <w:rsid w:val="006D2841"/>
    <w:rsid w:val="006E012F"/>
    <w:rsid w:val="006F092B"/>
    <w:rsid w:val="006F3455"/>
    <w:rsid w:val="006F37D1"/>
    <w:rsid w:val="007139A3"/>
    <w:rsid w:val="00724FDA"/>
    <w:rsid w:val="007262CC"/>
    <w:rsid w:val="00740918"/>
    <w:rsid w:val="00744805"/>
    <w:rsid w:val="00751C52"/>
    <w:rsid w:val="007554A4"/>
    <w:rsid w:val="007561F8"/>
    <w:rsid w:val="00760E7B"/>
    <w:rsid w:val="007619F1"/>
    <w:rsid w:val="00762493"/>
    <w:rsid w:val="00767342"/>
    <w:rsid w:val="00770504"/>
    <w:rsid w:val="007722B0"/>
    <w:rsid w:val="007749BC"/>
    <w:rsid w:val="00774E09"/>
    <w:rsid w:val="007762AB"/>
    <w:rsid w:val="00781E83"/>
    <w:rsid w:val="00784F5D"/>
    <w:rsid w:val="007867C6"/>
    <w:rsid w:val="00787367"/>
    <w:rsid w:val="007C1970"/>
    <w:rsid w:val="007C2FA2"/>
    <w:rsid w:val="007D2C51"/>
    <w:rsid w:val="007D2EEE"/>
    <w:rsid w:val="007E09B4"/>
    <w:rsid w:val="007E109A"/>
    <w:rsid w:val="007E21B1"/>
    <w:rsid w:val="007E70E2"/>
    <w:rsid w:val="007F4EE6"/>
    <w:rsid w:val="007F712B"/>
    <w:rsid w:val="00802375"/>
    <w:rsid w:val="008065B3"/>
    <w:rsid w:val="008079E6"/>
    <w:rsid w:val="008105F0"/>
    <w:rsid w:val="00821404"/>
    <w:rsid w:val="00821688"/>
    <w:rsid w:val="00821D31"/>
    <w:rsid w:val="008220C6"/>
    <w:rsid w:val="00822C8A"/>
    <w:rsid w:val="00824836"/>
    <w:rsid w:val="00824E9F"/>
    <w:rsid w:val="008312A9"/>
    <w:rsid w:val="008333C1"/>
    <w:rsid w:val="00835835"/>
    <w:rsid w:val="008370F1"/>
    <w:rsid w:val="008372DF"/>
    <w:rsid w:val="00837BB4"/>
    <w:rsid w:val="00840111"/>
    <w:rsid w:val="008441EF"/>
    <w:rsid w:val="008568F0"/>
    <w:rsid w:val="008578E8"/>
    <w:rsid w:val="008648F5"/>
    <w:rsid w:val="00867817"/>
    <w:rsid w:val="00867D3D"/>
    <w:rsid w:val="00870133"/>
    <w:rsid w:val="00886D66"/>
    <w:rsid w:val="008906A3"/>
    <w:rsid w:val="0089509C"/>
    <w:rsid w:val="00896925"/>
    <w:rsid w:val="008A216E"/>
    <w:rsid w:val="008A28ED"/>
    <w:rsid w:val="008B5D9C"/>
    <w:rsid w:val="008D04CF"/>
    <w:rsid w:val="008D2869"/>
    <w:rsid w:val="008D4022"/>
    <w:rsid w:val="008D4C70"/>
    <w:rsid w:val="008D7EB9"/>
    <w:rsid w:val="008E2FDA"/>
    <w:rsid w:val="008E7747"/>
    <w:rsid w:val="00901E10"/>
    <w:rsid w:val="00901EFA"/>
    <w:rsid w:val="0091190E"/>
    <w:rsid w:val="00940071"/>
    <w:rsid w:val="00943DD7"/>
    <w:rsid w:val="0094602A"/>
    <w:rsid w:val="0094773C"/>
    <w:rsid w:val="00950A72"/>
    <w:rsid w:val="009550AB"/>
    <w:rsid w:val="00956448"/>
    <w:rsid w:val="009A7D10"/>
    <w:rsid w:val="009B0B43"/>
    <w:rsid w:val="009B7146"/>
    <w:rsid w:val="009C2B56"/>
    <w:rsid w:val="009C5EB1"/>
    <w:rsid w:val="009C6ADC"/>
    <w:rsid w:val="009D0285"/>
    <w:rsid w:val="009E0300"/>
    <w:rsid w:val="009E0614"/>
    <w:rsid w:val="009F22A2"/>
    <w:rsid w:val="009F329F"/>
    <w:rsid w:val="009F7845"/>
    <w:rsid w:val="009F7B70"/>
    <w:rsid w:val="00A006D0"/>
    <w:rsid w:val="00A01AEA"/>
    <w:rsid w:val="00A027DA"/>
    <w:rsid w:val="00A045EF"/>
    <w:rsid w:val="00A11234"/>
    <w:rsid w:val="00A129C9"/>
    <w:rsid w:val="00A31251"/>
    <w:rsid w:val="00A4044D"/>
    <w:rsid w:val="00A444CF"/>
    <w:rsid w:val="00A517B2"/>
    <w:rsid w:val="00A65FBA"/>
    <w:rsid w:val="00A674C4"/>
    <w:rsid w:val="00A85912"/>
    <w:rsid w:val="00A908DF"/>
    <w:rsid w:val="00A910F7"/>
    <w:rsid w:val="00A91CA4"/>
    <w:rsid w:val="00A950D2"/>
    <w:rsid w:val="00AA1427"/>
    <w:rsid w:val="00AA7ECC"/>
    <w:rsid w:val="00AB63BF"/>
    <w:rsid w:val="00AC0F20"/>
    <w:rsid w:val="00AC362E"/>
    <w:rsid w:val="00AD1378"/>
    <w:rsid w:val="00AE76BA"/>
    <w:rsid w:val="00AF0407"/>
    <w:rsid w:val="00AF083D"/>
    <w:rsid w:val="00AF34AF"/>
    <w:rsid w:val="00AF4817"/>
    <w:rsid w:val="00B019B6"/>
    <w:rsid w:val="00B02D36"/>
    <w:rsid w:val="00B02EF4"/>
    <w:rsid w:val="00B0730A"/>
    <w:rsid w:val="00B13982"/>
    <w:rsid w:val="00B15F45"/>
    <w:rsid w:val="00B21475"/>
    <w:rsid w:val="00B21E55"/>
    <w:rsid w:val="00B24868"/>
    <w:rsid w:val="00B27682"/>
    <w:rsid w:val="00B502DF"/>
    <w:rsid w:val="00B511CB"/>
    <w:rsid w:val="00B52998"/>
    <w:rsid w:val="00B53A70"/>
    <w:rsid w:val="00B551BE"/>
    <w:rsid w:val="00B56899"/>
    <w:rsid w:val="00B56B42"/>
    <w:rsid w:val="00B56D36"/>
    <w:rsid w:val="00B66CC1"/>
    <w:rsid w:val="00B6712E"/>
    <w:rsid w:val="00B731CA"/>
    <w:rsid w:val="00B7359E"/>
    <w:rsid w:val="00B82407"/>
    <w:rsid w:val="00B87C77"/>
    <w:rsid w:val="00B87EFC"/>
    <w:rsid w:val="00B931B8"/>
    <w:rsid w:val="00B95056"/>
    <w:rsid w:val="00B953CF"/>
    <w:rsid w:val="00BA09BC"/>
    <w:rsid w:val="00BA0E3E"/>
    <w:rsid w:val="00BA2138"/>
    <w:rsid w:val="00BA3032"/>
    <w:rsid w:val="00BC1190"/>
    <w:rsid w:val="00BD077B"/>
    <w:rsid w:val="00BD0BDC"/>
    <w:rsid w:val="00BE47C5"/>
    <w:rsid w:val="00BE65E9"/>
    <w:rsid w:val="00BF4D75"/>
    <w:rsid w:val="00C054BB"/>
    <w:rsid w:val="00C05BBF"/>
    <w:rsid w:val="00C100B5"/>
    <w:rsid w:val="00C1290B"/>
    <w:rsid w:val="00C1442C"/>
    <w:rsid w:val="00C146D3"/>
    <w:rsid w:val="00C16294"/>
    <w:rsid w:val="00C238ED"/>
    <w:rsid w:val="00C259CF"/>
    <w:rsid w:val="00C31DFF"/>
    <w:rsid w:val="00C328BC"/>
    <w:rsid w:val="00C32AD5"/>
    <w:rsid w:val="00C33E5D"/>
    <w:rsid w:val="00C44308"/>
    <w:rsid w:val="00C47ABB"/>
    <w:rsid w:val="00C51334"/>
    <w:rsid w:val="00C5316F"/>
    <w:rsid w:val="00C568AB"/>
    <w:rsid w:val="00C67AAE"/>
    <w:rsid w:val="00C9263C"/>
    <w:rsid w:val="00CA2DB7"/>
    <w:rsid w:val="00CA361B"/>
    <w:rsid w:val="00CA5A20"/>
    <w:rsid w:val="00CB0960"/>
    <w:rsid w:val="00CB5100"/>
    <w:rsid w:val="00CC285C"/>
    <w:rsid w:val="00CD4177"/>
    <w:rsid w:val="00CD50E1"/>
    <w:rsid w:val="00CD6667"/>
    <w:rsid w:val="00CD6A06"/>
    <w:rsid w:val="00CE1A07"/>
    <w:rsid w:val="00CE4F6E"/>
    <w:rsid w:val="00CE5D67"/>
    <w:rsid w:val="00CE5D8D"/>
    <w:rsid w:val="00CF1D93"/>
    <w:rsid w:val="00CF357C"/>
    <w:rsid w:val="00CF3AE0"/>
    <w:rsid w:val="00CF6BFA"/>
    <w:rsid w:val="00D07E0C"/>
    <w:rsid w:val="00D11681"/>
    <w:rsid w:val="00D124F3"/>
    <w:rsid w:val="00D12C48"/>
    <w:rsid w:val="00D141C9"/>
    <w:rsid w:val="00D166BB"/>
    <w:rsid w:val="00D17757"/>
    <w:rsid w:val="00D22371"/>
    <w:rsid w:val="00D22B19"/>
    <w:rsid w:val="00D2348A"/>
    <w:rsid w:val="00D25DC6"/>
    <w:rsid w:val="00D2751E"/>
    <w:rsid w:val="00D424F7"/>
    <w:rsid w:val="00D454F0"/>
    <w:rsid w:val="00D47460"/>
    <w:rsid w:val="00D5132B"/>
    <w:rsid w:val="00D548A8"/>
    <w:rsid w:val="00D611CB"/>
    <w:rsid w:val="00D6126A"/>
    <w:rsid w:val="00D631C6"/>
    <w:rsid w:val="00D6656F"/>
    <w:rsid w:val="00D75AC0"/>
    <w:rsid w:val="00D84470"/>
    <w:rsid w:val="00D870D0"/>
    <w:rsid w:val="00DA5CFE"/>
    <w:rsid w:val="00DA72E4"/>
    <w:rsid w:val="00DB1406"/>
    <w:rsid w:val="00DB1C48"/>
    <w:rsid w:val="00DB52C4"/>
    <w:rsid w:val="00DC1014"/>
    <w:rsid w:val="00DC73FA"/>
    <w:rsid w:val="00DD080E"/>
    <w:rsid w:val="00DF7D06"/>
    <w:rsid w:val="00E016D5"/>
    <w:rsid w:val="00E01D02"/>
    <w:rsid w:val="00E021B4"/>
    <w:rsid w:val="00E06A77"/>
    <w:rsid w:val="00E0750E"/>
    <w:rsid w:val="00E07DE1"/>
    <w:rsid w:val="00E21201"/>
    <w:rsid w:val="00E25A5A"/>
    <w:rsid w:val="00E304B0"/>
    <w:rsid w:val="00E31C47"/>
    <w:rsid w:val="00E37B1D"/>
    <w:rsid w:val="00E37BFE"/>
    <w:rsid w:val="00E47251"/>
    <w:rsid w:val="00E50602"/>
    <w:rsid w:val="00E537BD"/>
    <w:rsid w:val="00E57444"/>
    <w:rsid w:val="00E63AA4"/>
    <w:rsid w:val="00E6471F"/>
    <w:rsid w:val="00E64797"/>
    <w:rsid w:val="00E85F07"/>
    <w:rsid w:val="00E87800"/>
    <w:rsid w:val="00E91B3E"/>
    <w:rsid w:val="00EA1A60"/>
    <w:rsid w:val="00EA3B24"/>
    <w:rsid w:val="00EA5876"/>
    <w:rsid w:val="00EA5E93"/>
    <w:rsid w:val="00EB2B95"/>
    <w:rsid w:val="00EB32FC"/>
    <w:rsid w:val="00EB4923"/>
    <w:rsid w:val="00EB6571"/>
    <w:rsid w:val="00EC24B8"/>
    <w:rsid w:val="00EC2B5F"/>
    <w:rsid w:val="00ED15B0"/>
    <w:rsid w:val="00ED30EE"/>
    <w:rsid w:val="00EE5803"/>
    <w:rsid w:val="00EE6104"/>
    <w:rsid w:val="00EF3847"/>
    <w:rsid w:val="00EF4EC2"/>
    <w:rsid w:val="00F103D7"/>
    <w:rsid w:val="00F11DE1"/>
    <w:rsid w:val="00F168EE"/>
    <w:rsid w:val="00F16B08"/>
    <w:rsid w:val="00F17C7E"/>
    <w:rsid w:val="00F21E05"/>
    <w:rsid w:val="00F337D6"/>
    <w:rsid w:val="00F406D1"/>
    <w:rsid w:val="00F40D4B"/>
    <w:rsid w:val="00F43FC7"/>
    <w:rsid w:val="00F4414C"/>
    <w:rsid w:val="00F473D9"/>
    <w:rsid w:val="00F55DE9"/>
    <w:rsid w:val="00F62296"/>
    <w:rsid w:val="00F65A5D"/>
    <w:rsid w:val="00F70FBD"/>
    <w:rsid w:val="00F74E1F"/>
    <w:rsid w:val="00F7564A"/>
    <w:rsid w:val="00F90219"/>
    <w:rsid w:val="00F92E1A"/>
    <w:rsid w:val="00FA37D2"/>
    <w:rsid w:val="00FA52AD"/>
    <w:rsid w:val="00FC3CCB"/>
    <w:rsid w:val="00FC42DB"/>
    <w:rsid w:val="00FC7F30"/>
    <w:rsid w:val="00FD53D9"/>
    <w:rsid w:val="00FE0BAC"/>
    <w:rsid w:val="00FE526D"/>
    <w:rsid w:val="00FF0D8F"/>
    <w:rsid w:val="00FF66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qFormat="1"/>
    <w:lsdException w:name="table of figures"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uiPriority="1"/>
    <w:lsdException w:name="Body Text" w:qFormat="1"/>
    <w:lsdException w:name="Body Text Indent" w:qFormat="1"/>
    <w:lsdException w:name="Subtitle" w:qFormat="1"/>
    <w:lsdException w:name="Strong" w:qFormat="1"/>
    <w:lsdException w:name="Emphasis" w:qFormat="1"/>
    <w:lsdException w:name="Document Map" w:semiHidden="1"/>
    <w:lsdException w:name="No Lis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rsid w:val="006B22D6"/>
    <w:rPr>
      <w:rFonts w:ascii="Calibri" w:hAnsi="Calibri"/>
      <w:sz w:val="24"/>
      <w:lang w:eastAsia="en-GB"/>
    </w:rPr>
  </w:style>
  <w:style w:type="paragraph" w:styleId="Heading1">
    <w:name w:val="heading 1"/>
    <w:basedOn w:val="Normal"/>
    <w:next w:val="BodyText"/>
    <w:qFormat/>
    <w:rsid w:val="00BA2138"/>
    <w:pPr>
      <w:keepNext/>
      <w:spacing w:after="120"/>
      <w:outlineLvl w:val="0"/>
    </w:pPr>
    <w:rPr>
      <w:b/>
      <w:sz w:val="28"/>
    </w:rPr>
  </w:style>
  <w:style w:type="paragraph" w:styleId="Heading2">
    <w:name w:val="heading 2"/>
    <w:basedOn w:val="Normal"/>
    <w:next w:val="BodyText"/>
    <w:link w:val="Heading2Char"/>
    <w:qFormat/>
    <w:rsid w:val="00BA2138"/>
    <w:pPr>
      <w:keepNext/>
      <w:spacing w:after="120"/>
      <w:outlineLvl w:val="1"/>
    </w:pPr>
    <w:rPr>
      <w:b/>
    </w:rPr>
  </w:style>
  <w:style w:type="paragraph" w:styleId="Heading3">
    <w:name w:val="heading 3"/>
    <w:basedOn w:val="Normal"/>
    <w:next w:val="BodyText"/>
    <w:qFormat/>
    <w:rsid w:val="00BA2138"/>
    <w:pPr>
      <w:keepNext/>
      <w:spacing w:after="120"/>
      <w:outlineLvl w:val="2"/>
    </w:pPr>
    <w:rPr>
      <w:i/>
    </w:rPr>
  </w:style>
  <w:style w:type="paragraph" w:styleId="Heading4">
    <w:name w:val="heading 4"/>
    <w:basedOn w:val="Normal"/>
    <w:semiHidden/>
    <w:qFormat/>
    <w:rsid w:val="00BA2138"/>
    <w:pPr>
      <w:outlineLvl w:val="3"/>
    </w:pPr>
  </w:style>
  <w:style w:type="paragraph" w:styleId="Heading5">
    <w:name w:val="heading 5"/>
    <w:basedOn w:val="Normal"/>
    <w:semiHidden/>
    <w:qFormat/>
    <w:rsid w:val="00BA2138"/>
    <w:pPr>
      <w:outlineLvl w:val="4"/>
    </w:pPr>
  </w:style>
  <w:style w:type="paragraph" w:styleId="Heading6">
    <w:name w:val="heading 6"/>
    <w:basedOn w:val="Normal"/>
    <w:semiHidden/>
    <w:qFormat/>
    <w:rsid w:val="00BA2138"/>
    <w:pPr>
      <w:outlineLvl w:val="5"/>
    </w:pPr>
  </w:style>
  <w:style w:type="paragraph" w:styleId="Heading7">
    <w:name w:val="heading 7"/>
    <w:basedOn w:val="Normal"/>
    <w:next w:val="Normal"/>
    <w:semiHidden/>
    <w:qFormat/>
    <w:rsid w:val="00BA2138"/>
    <w:pPr>
      <w:outlineLvl w:val="6"/>
    </w:pPr>
  </w:style>
  <w:style w:type="paragraph" w:styleId="Heading8">
    <w:name w:val="heading 8"/>
    <w:basedOn w:val="Normal"/>
    <w:next w:val="Normal"/>
    <w:semiHidden/>
    <w:qFormat/>
    <w:rsid w:val="00BA2138"/>
    <w:pPr>
      <w:outlineLvl w:val="7"/>
    </w:pPr>
  </w:style>
  <w:style w:type="paragraph" w:styleId="Heading9">
    <w:name w:val="heading 9"/>
    <w:basedOn w:val="Normal"/>
    <w:next w:val="Normal"/>
    <w:semiHidden/>
    <w:qFormat/>
    <w:rsid w:val="00BA21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4414C"/>
    <w:pPr>
      <w:numPr>
        <w:numId w:val="1"/>
      </w:numPr>
    </w:pPr>
  </w:style>
  <w:style w:type="numbering" w:styleId="1ai">
    <w:name w:val="Outline List 1"/>
    <w:basedOn w:val="NoList"/>
    <w:semiHidden/>
    <w:rsid w:val="00F4414C"/>
    <w:pPr>
      <w:numPr>
        <w:numId w:val="2"/>
      </w:numPr>
    </w:pPr>
  </w:style>
  <w:style w:type="numbering" w:styleId="ArticleSection">
    <w:name w:val="Outline List 3"/>
    <w:basedOn w:val="NoList"/>
    <w:semiHidden/>
    <w:rsid w:val="00F4414C"/>
    <w:pPr>
      <w:numPr>
        <w:numId w:val="3"/>
      </w:numPr>
    </w:pPr>
  </w:style>
  <w:style w:type="paragraph" w:styleId="BlockText">
    <w:name w:val="Block Text"/>
    <w:basedOn w:val="Normal"/>
    <w:semiHidden/>
    <w:rsid w:val="00F4414C"/>
    <w:pPr>
      <w:spacing w:after="120"/>
      <w:ind w:left="1440" w:right="1440"/>
    </w:pPr>
  </w:style>
  <w:style w:type="paragraph" w:styleId="BodyText2">
    <w:name w:val="Body Text 2"/>
    <w:basedOn w:val="Normal"/>
    <w:semiHidden/>
    <w:rsid w:val="00F4414C"/>
    <w:pPr>
      <w:spacing w:after="120" w:line="480" w:lineRule="auto"/>
    </w:pPr>
  </w:style>
  <w:style w:type="paragraph" w:styleId="BodyText3">
    <w:name w:val="Body Text 3"/>
    <w:basedOn w:val="Normal"/>
    <w:semiHidden/>
    <w:rsid w:val="00F4414C"/>
    <w:pPr>
      <w:spacing w:after="120"/>
    </w:pPr>
    <w:rPr>
      <w:sz w:val="16"/>
      <w:szCs w:val="16"/>
    </w:rPr>
  </w:style>
  <w:style w:type="paragraph" w:styleId="BodyText">
    <w:name w:val="Body Text"/>
    <w:basedOn w:val="Normal"/>
    <w:link w:val="BodyTextChar"/>
    <w:qFormat/>
    <w:rsid w:val="00BA2138"/>
    <w:pPr>
      <w:spacing w:after="240" w:line="264" w:lineRule="atLeast"/>
    </w:pPr>
  </w:style>
  <w:style w:type="paragraph" w:styleId="BodyTextFirstIndent">
    <w:name w:val="Body Text First Indent"/>
    <w:basedOn w:val="BodyText"/>
    <w:semiHidden/>
    <w:rsid w:val="00F4414C"/>
    <w:pPr>
      <w:ind w:firstLine="210"/>
    </w:pPr>
  </w:style>
  <w:style w:type="paragraph" w:styleId="BodyTextIndent">
    <w:name w:val="Body Text Indent"/>
    <w:basedOn w:val="BodyText"/>
    <w:link w:val="BodyTextIndentChar"/>
    <w:qFormat/>
    <w:rsid w:val="00BA2138"/>
    <w:pPr>
      <w:ind w:left="709"/>
    </w:pPr>
  </w:style>
  <w:style w:type="paragraph" w:styleId="BodyTextFirstIndent2">
    <w:name w:val="Body Text First Indent 2"/>
    <w:basedOn w:val="BodyTextIndent"/>
    <w:semiHidden/>
    <w:rsid w:val="00F4414C"/>
    <w:pPr>
      <w:ind w:firstLine="210"/>
    </w:pPr>
  </w:style>
  <w:style w:type="paragraph" w:styleId="BodyTextIndent2">
    <w:name w:val="Body Text Indent 2"/>
    <w:basedOn w:val="Normal"/>
    <w:semiHidden/>
    <w:rsid w:val="00F4414C"/>
    <w:pPr>
      <w:spacing w:after="120" w:line="480" w:lineRule="auto"/>
      <w:ind w:left="283"/>
    </w:pPr>
  </w:style>
  <w:style w:type="paragraph" w:styleId="BodyTextIndent3">
    <w:name w:val="Body Text Indent 3"/>
    <w:basedOn w:val="Normal"/>
    <w:semiHidden/>
    <w:rsid w:val="00F4414C"/>
    <w:pPr>
      <w:spacing w:after="120"/>
      <w:ind w:left="283"/>
    </w:pPr>
    <w:rPr>
      <w:sz w:val="16"/>
      <w:szCs w:val="16"/>
    </w:rPr>
  </w:style>
  <w:style w:type="paragraph" w:styleId="Closing">
    <w:name w:val="Closing"/>
    <w:basedOn w:val="Normal"/>
    <w:semiHidden/>
    <w:rsid w:val="00F4414C"/>
    <w:pPr>
      <w:ind w:left="4252"/>
    </w:pPr>
  </w:style>
  <w:style w:type="paragraph" w:styleId="Date">
    <w:name w:val="Date"/>
    <w:basedOn w:val="Normal"/>
    <w:next w:val="BodyText"/>
    <w:semiHidden/>
    <w:rsid w:val="00BA2138"/>
    <w:pPr>
      <w:spacing w:after="454"/>
    </w:pPr>
  </w:style>
  <w:style w:type="paragraph" w:styleId="E-mailSignature">
    <w:name w:val="E-mail Signature"/>
    <w:basedOn w:val="Normal"/>
    <w:semiHidden/>
    <w:rsid w:val="00F4414C"/>
  </w:style>
  <w:style w:type="character" w:styleId="Emphasis">
    <w:name w:val="Emphasis"/>
    <w:basedOn w:val="DefaultParagraphFont"/>
    <w:semiHidden/>
    <w:qFormat/>
    <w:rsid w:val="00F4414C"/>
    <w:rPr>
      <w:i/>
      <w:iCs/>
    </w:rPr>
  </w:style>
  <w:style w:type="paragraph" w:styleId="EnvelopeAddress">
    <w:name w:val="envelope address"/>
    <w:basedOn w:val="Normal"/>
    <w:semiHidden/>
    <w:rsid w:val="00BA2138"/>
    <w:pPr>
      <w:framePr w:w="7920" w:h="1980" w:hRule="exact" w:hSpace="180" w:wrap="auto" w:hAnchor="page" w:xAlign="center" w:yAlign="bottom"/>
      <w:ind w:left="2880"/>
    </w:pPr>
    <w:rPr>
      <w:rFonts w:cs="Arial"/>
    </w:rPr>
  </w:style>
  <w:style w:type="paragraph" w:styleId="EnvelopeReturn">
    <w:name w:val="envelope return"/>
    <w:basedOn w:val="Normal"/>
    <w:semiHidden/>
    <w:rsid w:val="00BA2138"/>
    <w:rPr>
      <w:rFonts w:cs="Arial"/>
      <w:color w:val="003366"/>
      <w:sz w:val="18"/>
      <w:szCs w:val="18"/>
    </w:rPr>
  </w:style>
  <w:style w:type="character" w:styleId="FollowedHyperlink">
    <w:name w:val="FollowedHyperlink"/>
    <w:basedOn w:val="DefaultParagraphFont"/>
    <w:semiHidden/>
    <w:rsid w:val="00F4414C"/>
    <w:rPr>
      <w:color w:val="800080"/>
      <w:u w:val="single"/>
    </w:rPr>
  </w:style>
  <w:style w:type="character" w:styleId="HTMLAcronym">
    <w:name w:val="HTML Acronym"/>
    <w:basedOn w:val="DefaultParagraphFont"/>
    <w:semiHidden/>
    <w:rsid w:val="00F4414C"/>
  </w:style>
  <w:style w:type="paragraph" w:styleId="HTMLAddress">
    <w:name w:val="HTML Address"/>
    <w:basedOn w:val="Normal"/>
    <w:semiHidden/>
    <w:rsid w:val="00F4414C"/>
    <w:rPr>
      <w:i/>
      <w:iCs/>
    </w:rPr>
  </w:style>
  <w:style w:type="character" w:styleId="HTMLCite">
    <w:name w:val="HTML Cite"/>
    <w:basedOn w:val="DefaultParagraphFont"/>
    <w:semiHidden/>
    <w:rsid w:val="00F4414C"/>
    <w:rPr>
      <w:i/>
      <w:iCs/>
    </w:rPr>
  </w:style>
  <w:style w:type="character" w:styleId="HTMLCode">
    <w:name w:val="HTML Code"/>
    <w:basedOn w:val="DefaultParagraphFont"/>
    <w:semiHidden/>
    <w:rsid w:val="00F4414C"/>
    <w:rPr>
      <w:rFonts w:ascii="Courier New" w:hAnsi="Courier New" w:cs="Courier New"/>
      <w:sz w:val="20"/>
      <w:szCs w:val="20"/>
    </w:rPr>
  </w:style>
  <w:style w:type="character" w:styleId="HTMLDefinition">
    <w:name w:val="HTML Definition"/>
    <w:basedOn w:val="DefaultParagraphFont"/>
    <w:semiHidden/>
    <w:rsid w:val="00F4414C"/>
    <w:rPr>
      <w:i/>
      <w:iCs/>
    </w:rPr>
  </w:style>
  <w:style w:type="character" w:styleId="HTMLKeyboard">
    <w:name w:val="HTML Keyboard"/>
    <w:basedOn w:val="DefaultParagraphFont"/>
    <w:semiHidden/>
    <w:rsid w:val="00F4414C"/>
    <w:rPr>
      <w:rFonts w:ascii="Courier New" w:hAnsi="Courier New" w:cs="Courier New"/>
      <w:sz w:val="20"/>
      <w:szCs w:val="20"/>
    </w:rPr>
  </w:style>
  <w:style w:type="paragraph" w:styleId="HTMLPreformatted">
    <w:name w:val="HTML Preformatted"/>
    <w:basedOn w:val="Normal"/>
    <w:semiHidden/>
    <w:rsid w:val="00F4414C"/>
    <w:rPr>
      <w:rFonts w:ascii="Courier New" w:hAnsi="Courier New" w:cs="Courier New"/>
      <w:sz w:val="20"/>
    </w:rPr>
  </w:style>
  <w:style w:type="character" w:styleId="HTMLSample">
    <w:name w:val="HTML Sample"/>
    <w:basedOn w:val="DefaultParagraphFont"/>
    <w:semiHidden/>
    <w:rsid w:val="00F4414C"/>
    <w:rPr>
      <w:rFonts w:ascii="Courier New" w:hAnsi="Courier New" w:cs="Courier New"/>
    </w:rPr>
  </w:style>
  <w:style w:type="character" w:styleId="HTMLTypewriter">
    <w:name w:val="HTML Typewriter"/>
    <w:basedOn w:val="DefaultParagraphFont"/>
    <w:semiHidden/>
    <w:rsid w:val="00F4414C"/>
    <w:rPr>
      <w:rFonts w:ascii="Courier New" w:hAnsi="Courier New" w:cs="Courier New"/>
      <w:sz w:val="20"/>
      <w:szCs w:val="20"/>
    </w:rPr>
  </w:style>
  <w:style w:type="character" w:styleId="HTMLVariable">
    <w:name w:val="HTML Variable"/>
    <w:basedOn w:val="DefaultParagraphFont"/>
    <w:semiHidden/>
    <w:rsid w:val="00F4414C"/>
    <w:rPr>
      <w:i/>
      <w:iCs/>
    </w:rPr>
  </w:style>
  <w:style w:type="character" w:styleId="Hyperlink">
    <w:name w:val="Hyperlink"/>
    <w:basedOn w:val="DefaultParagraphFont"/>
    <w:semiHidden/>
    <w:rsid w:val="00BA2138"/>
    <w:rPr>
      <w:color w:val="0000FF"/>
      <w:u w:val="single"/>
    </w:rPr>
  </w:style>
  <w:style w:type="character" w:styleId="LineNumber">
    <w:name w:val="line number"/>
    <w:basedOn w:val="DefaultParagraphFont"/>
    <w:semiHidden/>
    <w:rsid w:val="00F4414C"/>
  </w:style>
  <w:style w:type="paragraph" w:styleId="List">
    <w:name w:val="List"/>
    <w:basedOn w:val="BodyText"/>
    <w:semiHidden/>
    <w:rsid w:val="00BA2138"/>
    <w:pPr>
      <w:numPr>
        <w:numId w:val="13"/>
      </w:numPr>
    </w:pPr>
  </w:style>
  <w:style w:type="paragraph" w:styleId="List2">
    <w:name w:val="List 2"/>
    <w:basedOn w:val="Normal"/>
    <w:semiHidden/>
    <w:rsid w:val="00F4414C"/>
    <w:pPr>
      <w:ind w:left="566" w:hanging="283"/>
    </w:pPr>
  </w:style>
  <w:style w:type="paragraph" w:styleId="List3">
    <w:name w:val="List 3"/>
    <w:basedOn w:val="Normal"/>
    <w:semiHidden/>
    <w:rsid w:val="00F4414C"/>
    <w:pPr>
      <w:ind w:left="849" w:hanging="283"/>
    </w:pPr>
  </w:style>
  <w:style w:type="paragraph" w:styleId="List4">
    <w:name w:val="List 4"/>
    <w:basedOn w:val="Normal"/>
    <w:semiHidden/>
    <w:rsid w:val="00F4414C"/>
    <w:pPr>
      <w:ind w:left="1132" w:hanging="283"/>
    </w:pPr>
  </w:style>
  <w:style w:type="paragraph" w:styleId="List5">
    <w:name w:val="List 5"/>
    <w:basedOn w:val="Normal"/>
    <w:semiHidden/>
    <w:rsid w:val="00F4414C"/>
    <w:pPr>
      <w:ind w:left="1415" w:hanging="283"/>
    </w:pPr>
  </w:style>
  <w:style w:type="paragraph" w:styleId="ListBullet">
    <w:name w:val="List Bullet"/>
    <w:basedOn w:val="BodyText"/>
    <w:semiHidden/>
    <w:rsid w:val="00BA2138"/>
  </w:style>
  <w:style w:type="paragraph" w:styleId="ListBullet2">
    <w:name w:val="List Bullet 2"/>
    <w:basedOn w:val="BodyText"/>
    <w:semiHidden/>
    <w:rsid w:val="00BA2138"/>
  </w:style>
  <w:style w:type="paragraph" w:styleId="ListBullet3">
    <w:name w:val="List Bullet 3"/>
    <w:basedOn w:val="BodyText"/>
    <w:semiHidden/>
    <w:rsid w:val="00BA2138"/>
  </w:style>
  <w:style w:type="paragraph" w:styleId="ListBullet4">
    <w:name w:val="List Bullet 4"/>
    <w:basedOn w:val="Normal"/>
    <w:semiHidden/>
    <w:rsid w:val="00F4414C"/>
    <w:pPr>
      <w:numPr>
        <w:numId w:val="4"/>
      </w:numPr>
    </w:pPr>
  </w:style>
  <w:style w:type="paragraph" w:styleId="ListBullet5">
    <w:name w:val="List Bullet 5"/>
    <w:basedOn w:val="Normal"/>
    <w:semiHidden/>
    <w:rsid w:val="00F4414C"/>
    <w:pPr>
      <w:numPr>
        <w:numId w:val="5"/>
      </w:numPr>
    </w:pPr>
  </w:style>
  <w:style w:type="paragraph" w:styleId="ListContinue">
    <w:name w:val="List Continue"/>
    <w:basedOn w:val="Normal"/>
    <w:semiHidden/>
    <w:rsid w:val="00F4414C"/>
    <w:pPr>
      <w:spacing w:after="120"/>
      <w:ind w:left="283"/>
    </w:pPr>
  </w:style>
  <w:style w:type="paragraph" w:styleId="ListContinue2">
    <w:name w:val="List Continue 2"/>
    <w:basedOn w:val="Normal"/>
    <w:semiHidden/>
    <w:rsid w:val="00F4414C"/>
    <w:pPr>
      <w:spacing w:after="120"/>
      <w:ind w:left="566"/>
    </w:pPr>
  </w:style>
  <w:style w:type="paragraph" w:styleId="ListContinue3">
    <w:name w:val="List Continue 3"/>
    <w:basedOn w:val="Normal"/>
    <w:semiHidden/>
    <w:rsid w:val="00F4414C"/>
    <w:pPr>
      <w:spacing w:after="120"/>
      <w:ind w:left="849"/>
    </w:pPr>
  </w:style>
  <w:style w:type="paragraph" w:styleId="ListContinue4">
    <w:name w:val="List Continue 4"/>
    <w:basedOn w:val="Normal"/>
    <w:semiHidden/>
    <w:rsid w:val="00F4414C"/>
    <w:pPr>
      <w:spacing w:after="120"/>
      <w:ind w:left="1132"/>
    </w:pPr>
  </w:style>
  <w:style w:type="paragraph" w:styleId="ListContinue5">
    <w:name w:val="List Continue 5"/>
    <w:basedOn w:val="Normal"/>
    <w:semiHidden/>
    <w:rsid w:val="00F4414C"/>
    <w:pPr>
      <w:spacing w:after="120"/>
      <w:ind w:left="1415"/>
    </w:pPr>
  </w:style>
  <w:style w:type="paragraph" w:styleId="ListNumber">
    <w:name w:val="List Number"/>
    <w:basedOn w:val="Normal"/>
    <w:semiHidden/>
    <w:rsid w:val="00F4414C"/>
    <w:pPr>
      <w:numPr>
        <w:numId w:val="6"/>
      </w:numPr>
    </w:pPr>
  </w:style>
  <w:style w:type="paragraph" w:styleId="ListNumber2">
    <w:name w:val="List Number 2"/>
    <w:basedOn w:val="Normal"/>
    <w:semiHidden/>
    <w:rsid w:val="00F4414C"/>
    <w:pPr>
      <w:numPr>
        <w:numId w:val="7"/>
      </w:numPr>
    </w:pPr>
  </w:style>
  <w:style w:type="paragraph" w:styleId="ListNumber3">
    <w:name w:val="List Number 3"/>
    <w:basedOn w:val="Normal"/>
    <w:semiHidden/>
    <w:rsid w:val="00F4414C"/>
    <w:pPr>
      <w:numPr>
        <w:numId w:val="8"/>
      </w:numPr>
    </w:pPr>
  </w:style>
  <w:style w:type="paragraph" w:styleId="ListNumber4">
    <w:name w:val="List Number 4"/>
    <w:basedOn w:val="Normal"/>
    <w:semiHidden/>
    <w:rsid w:val="00F4414C"/>
    <w:pPr>
      <w:numPr>
        <w:numId w:val="9"/>
      </w:numPr>
    </w:pPr>
  </w:style>
  <w:style w:type="paragraph" w:styleId="ListNumber5">
    <w:name w:val="List Number 5"/>
    <w:basedOn w:val="Normal"/>
    <w:semiHidden/>
    <w:rsid w:val="00F4414C"/>
    <w:pPr>
      <w:numPr>
        <w:numId w:val="10"/>
      </w:numPr>
    </w:pPr>
  </w:style>
  <w:style w:type="paragraph" w:styleId="MessageHeader">
    <w:name w:val="Message Header"/>
    <w:basedOn w:val="Normal"/>
    <w:semiHidden/>
    <w:rsid w:val="00F441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F4414C"/>
    <w:rPr>
      <w:rFonts w:ascii="Times New Roman" w:hAnsi="Times New Roman"/>
    </w:rPr>
  </w:style>
  <w:style w:type="paragraph" w:styleId="NormalIndent">
    <w:name w:val="Normal Indent"/>
    <w:basedOn w:val="Normal"/>
    <w:semiHidden/>
    <w:rsid w:val="00F4414C"/>
    <w:pPr>
      <w:ind w:left="720"/>
    </w:pPr>
  </w:style>
  <w:style w:type="paragraph" w:styleId="NoteHeading">
    <w:name w:val="Note Heading"/>
    <w:basedOn w:val="Normal"/>
    <w:next w:val="Normal"/>
    <w:semiHidden/>
    <w:rsid w:val="00F4414C"/>
  </w:style>
  <w:style w:type="character" w:styleId="PageNumber">
    <w:name w:val="page number"/>
    <w:basedOn w:val="DefaultParagraphFont"/>
    <w:semiHidden/>
    <w:rsid w:val="00BA2138"/>
    <w:rPr>
      <w:rFonts w:ascii="Calibri" w:hAnsi="Calibri"/>
      <w:sz w:val="20"/>
    </w:rPr>
  </w:style>
  <w:style w:type="paragraph" w:styleId="PlainText">
    <w:name w:val="Plain Text"/>
    <w:basedOn w:val="Normal"/>
    <w:semiHidden/>
    <w:rsid w:val="00F4414C"/>
    <w:rPr>
      <w:rFonts w:ascii="Courier New" w:hAnsi="Courier New" w:cs="Courier New"/>
      <w:sz w:val="20"/>
    </w:rPr>
  </w:style>
  <w:style w:type="paragraph" w:styleId="Salutation">
    <w:name w:val="Salutation"/>
    <w:basedOn w:val="Normal"/>
    <w:next w:val="Normal"/>
    <w:semiHidden/>
    <w:rsid w:val="00F4414C"/>
  </w:style>
  <w:style w:type="paragraph" w:styleId="Signature">
    <w:name w:val="Signature"/>
    <w:basedOn w:val="Normal"/>
    <w:semiHidden/>
    <w:rsid w:val="00F4414C"/>
    <w:pPr>
      <w:ind w:left="4252"/>
    </w:pPr>
  </w:style>
  <w:style w:type="character" w:styleId="Strong">
    <w:name w:val="Strong"/>
    <w:basedOn w:val="DefaultParagraphFont"/>
    <w:semiHidden/>
    <w:qFormat/>
    <w:rsid w:val="00F4414C"/>
    <w:rPr>
      <w:b/>
      <w:bCs/>
    </w:rPr>
  </w:style>
  <w:style w:type="paragraph" w:styleId="Subtitle">
    <w:name w:val="Subtitle"/>
    <w:basedOn w:val="Normal"/>
    <w:semiHidden/>
    <w:qFormat/>
    <w:rsid w:val="00F4414C"/>
    <w:pPr>
      <w:spacing w:after="60"/>
      <w:jc w:val="center"/>
      <w:outlineLvl w:val="1"/>
    </w:pPr>
    <w:rPr>
      <w:rFonts w:ascii="Arial" w:hAnsi="Arial" w:cs="Arial"/>
    </w:rPr>
  </w:style>
  <w:style w:type="table" w:styleId="Table3Deffects1">
    <w:name w:val="Table 3D effects 1"/>
    <w:basedOn w:val="TableNormal"/>
    <w:semiHidden/>
    <w:rsid w:val="00F441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441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441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441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441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441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441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441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441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441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441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441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441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441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441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441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441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A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441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441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441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441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441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441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441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441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441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441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441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441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441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441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441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441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441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441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441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441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441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441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44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441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441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441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qFormat/>
    <w:rsid w:val="00BA2138"/>
    <w:pPr>
      <w:keepNext/>
      <w:spacing w:after="240"/>
    </w:pPr>
    <w:rPr>
      <w:b/>
      <w:sz w:val="36"/>
    </w:rPr>
  </w:style>
  <w:style w:type="paragraph" w:styleId="Header">
    <w:name w:val="header"/>
    <w:basedOn w:val="Normal"/>
    <w:semiHidden/>
    <w:rsid w:val="00BA2138"/>
    <w:pPr>
      <w:tabs>
        <w:tab w:val="center" w:pos="4153"/>
        <w:tab w:val="right" w:pos="8306"/>
      </w:tabs>
      <w:jc w:val="center"/>
    </w:pPr>
  </w:style>
  <w:style w:type="paragraph" w:styleId="Footer">
    <w:name w:val="footer"/>
    <w:basedOn w:val="Normal"/>
    <w:semiHidden/>
    <w:rsid w:val="00BA2138"/>
    <w:pPr>
      <w:tabs>
        <w:tab w:val="center" w:pos="4536"/>
        <w:tab w:val="right" w:pos="9072"/>
      </w:tabs>
      <w:jc w:val="center"/>
    </w:pPr>
    <w:rPr>
      <w:sz w:val="20"/>
    </w:rPr>
  </w:style>
  <w:style w:type="character" w:styleId="FootnoteReference">
    <w:name w:val="footnote reference"/>
    <w:basedOn w:val="DefaultParagraphFont"/>
    <w:semiHidden/>
    <w:rsid w:val="00BA2138"/>
    <w:rPr>
      <w:vertAlign w:val="superscript"/>
    </w:rPr>
  </w:style>
  <w:style w:type="paragraph" w:styleId="FootnoteText">
    <w:name w:val="footnote text"/>
    <w:basedOn w:val="Normal"/>
    <w:semiHidden/>
    <w:rsid w:val="00BA2138"/>
    <w:pPr>
      <w:ind w:left="425" w:hanging="425"/>
    </w:pPr>
    <w:rPr>
      <w:sz w:val="20"/>
    </w:rPr>
  </w:style>
  <w:style w:type="character" w:customStyle="1" w:styleId="Heading2Char">
    <w:name w:val="Heading 2 Char"/>
    <w:basedOn w:val="DefaultParagraphFont"/>
    <w:link w:val="Heading2"/>
    <w:rsid w:val="00BA2138"/>
    <w:rPr>
      <w:rFonts w:ascii="Calibri" w:hAnsi="Calibri"/>
      <w:b/>
      <w:sz w:val="24"/>
      <w:lang w:eastAsia="en-GB"/>
    </w:rPr>
  </w:style>
  <w:style w:type="paragraph" w:customStyle="1" w:styleId="Body1">
    <w:name w:val="Body 1"/>
    <w:basedOn w:val="Normal"/>
    <w:link w:val="Body1Char"/>
    <w:semiHidden/>
    <w:qFormat/>
    <w:rsid w:val="00184541"/>
    <w:pPr>
      <w:spacing w:after="240"/>
    </w:pPr>
  </w:style>
  <w:style w:type="character" w:customStyle="1" w:styleId="Body1Char">
    <w:name w:val="Body 1 Char"/>
    <w:basedOn w:val="DefaultParagraphFont"/>
    <w:link w:val="Body1"/>
    <w:semiHidden/>
    <w:rsid w:val="00BA2138"/>
    <w:rPr>
      <w:rFonts w:ascii="Calibri" w:hAnsi="Calibri"/>
      <w:sz w:val="24"/>
      <w:szCs w:val="24"/>
      <w:lang w:eastAsia="en-GB"/>
    </w:rPr>
  </w:style>
  <w:style w:type="character" w:styleId="CommentReference">
    <w:name w:val="annotation reference"/>
    <w:basedOn w:val="DefaultParagraphFont"/>
    <w:semiHidden/>
    <w:rsid w:val="00184541"/>
    <w:rPr>
      <w:sz w:val="16"/>
      <w:szCs w:val="16"/>
    </w:rPr>
  </w:style>
  <w:style w:type="paragraph" w:styleId="CommentText">
    <w:name w:val="annotation text"/>
    <w:basedOn w:val="Normal"/>
    <w:link w:val="CommentTextChar"/>
    <w:semiHidden/>
    <w:rsid w:val="00184541"/>
    <w:rPr>
      <w:sz w:val="20"/>
    </w:rPr>
  </w:style>
  <w:style w:type="character" w:customStyle="1" w:styleId="CommentTextChar">
    <w:name w:val="Comment Text Char"/>
    <w:basedOn w:val="DefaultParagraphFont"/>
    <w:link w:val="CommentText"/>
    <w:semiHidden/>
    <w:rsid w:val="00BA2138"/>
    <w:rPr>
      <w:rFonts w:ascii="Times" w:hAnsi="Times"/>
      <w:lang w:eastAsia="en-GB"/>
    </w:rPr>
  </w:style>
  <w:style w:type="paragraph" w:styleId="CommentSubject">
    <w:name w:val="annotation subject"/>
    <w:basedOn w:val="CommentText"/>
    <w:next w:val="CommentText"/>
    <w:link w:val="CommentSubjectChar"/>
    <w:semiHidden/>
    <w:rsid w:val="00184541"/>
    <w:rPr>
      <w:b/>
      <w:bCs/>
    </w:rPr>
  </w:style>
  <w:style w:type="character" w:customStyle="1" w:styleId="CommentSubjectChar">
    <w:name w:val="Comment Subject Char"/>
    <w:basedOn w:val="CommentTextChar"/>
    <w:link w:val="CommentSubject"/>
    <w:semiHidden/>
    <w:rsid w:val="00BA2138"/>
    <w:rPr>
      <w:rFonts w:ascii="Times" w:hAnsi="Times"/>
      <w:b/>
      <w:bCs/>
      <w:lang w:eastAsia="en-GB"/>
    </w:rPr>
  </w:style>
  <w:style w:type="paragraph" w:styleId="BalloonText">
    <w:name w:val="Balloon Text"/>
    <w:basedOn w:val="Normal"/>
    <w:link w:val="BalloonTextChar"/>
    <w:semiHidden/>
    <w:rsid w:val="00BA2138"/>
    <w:rPr>
      <w:rFonts w:ascii="Tahoma" w:hAnsi="Tahoma" w:cs="Tahoma"/>
      <w:sz w:val="16"/>
      <w:szCs w:val="16"/>
    </w:rPr>
  </w:style>
  <w:style w:type="character" w:customStyle="1" w:styleId="BalloonTextChar">
    <w:name w:val="Balloon Text Char"/>
    <w:basedOn w:val="DefaultParagraphFont"/>
    <w:link w:val="BalloonText"/>
    <w:semiHidden/>
    <w:rsid w:val="00BA2138"/>
    <w:rPr>
      <w:rFonts w:ascii="Tahoma" w:hAnsi="Tahoma" w:cs="Tahoma"/>
      <w:sz w:val="16"/>
      <w:szCs w:val="16"/>
      <w:lang w:eastAsia="en-GB"/>
    </w:rPr>
  </w:style>
  <w:style w:type="paragraph" w:customStyle="1" w:styleId="Scheduletitles">
    <w:name w:val="Schedule titles"/>
    <w:basedOn w:val="ClauseTitle"/>
    <w:next w:val="Scheduletext"/>
    <w:rsid w:val="00FA37D2"/>
    <w:pPr>
      <w:numPr>
        <w:numId w:val="27"/>
      </w:numPr>
    </w:pPr>
  </w:style>
  <w:style w:type="numbering" w:customStyle="1" w:styleId="Attachmentsliststyle">
    <w:name w:val="Attachments list style"/>
    <w:basedOn w:val="NoList"/>
    <w:uiPriority w:val="99"/>
    <w:rsid w:val="00BA2138"/>
    <w:pPr>
      <w:numPr>
        <w:numId w:val="11"/>
      </w:numPr>
    </w:pPr>
  </w:style>
  <w:style w:type="paragraph" w:customStyle="1" w:styleId="Scheduletext">
    <w:name w:val="Schedule text"/>
    <w:basedOn w:val="BodyText"/>
    <w:rsid w:val="00F168EE"/>
    <w:pPr>
      <w:outlineLvl w:val="1"/>
    </w:pPr>
    <w:rPr>
      <w:color w:val="000000"/>
      <w:szCs w:val="24"/>
      <w:lang w:eastAsia="en-NZ"/>
    </w:rPr>
  </w:style>
  <w:style w:type="numbering" w:customStyle="1" w:styleId="Bulletliststyle">
    <w:name w:val="Bullet list style"/>
    <w:basedOn w:val="NoList"/>
    <w:uiPriority w:val="99"/>
    <w:rsid w:val="00031DF4"/>
    <w:pPr>
      <w:numPr>
        <w:numId w:val="12"/>
      </w:numPr>
    </w:pPr>
  </w:style>
  <w:style w:type="numbering" w:customStyle="1" w:styleId="Outlinestyle">
    <w:name w:val="Outline style"/>
    <w:basedOn w:val="NoList"/>
    <w:uiPriority w:val="99"/>
    <w:rsid w:val="00BA2138"/>
    <w:pPr>
      <w:numPr>
        <w:numId w:val="14"/>
      </w:numPr>
    </w:pPr>
  </w:style>
  <w:style w:type="paragraph" w:customStyle="1" w:styleId="ClauseTitle">
    <w:name w:val="Clause Title"/>
    <w:basedOn w:val="BodyText"/>
    <w:next w:val="Subclause1"/>
    <w:qFormat/>
    <w:rsid w:val="00767342"/>
    <w:pPr>
      <w:numPr>
        <w:numId w:val="15"/>
      </w:numPr>
      <w:outlineLvl w:val="0"/>
    </w:pPr>
    <w:rPr>
      <w:b/>
    </w:rPr>
  </w:style>
  <w:style w:type="paragraph" w:customStyle="1" w:styleId="Subclause1">
    <w:name w:val="Sub clause 1"/>
    <w:basedOn w:val="BodyText"/>
    <w:qFormat/>
    <w:rsid w:val="006539A3"/>
    <w:pPr>
      <w:numPr>
        <w:ilvl w:val="1"/>
        <w:numId w:val="15"/>
      </w:numPr>
      <w:outlineLvl w:val="1"/>
    </w:pPr>
    <w:rPr>
      <w:lang w:eastAsia="en-NZ"/>
    </w:rPr>
  </w:style>
  <w:style w:type="paragraph" w:customStyle="1" w:styleId="Subclause2">
    <w:name w:val="Sub clause 2"/>
    <w:basedOn w:val="Subclause1"/>
    <w:qFormat/>
    <w:rsid w:val="007E21B1"/>
    <w:pPr>
      <w:numPr>
        <w:ilvl w:val="0"/>
        <w:numId w:val="60"/>
      </w:numPr>
      <w:outlineLvl w:val="2"/>
    </w:pPr>
    <w:rPr>
      <w:szCs w:val="24"/>
    </w:rPr>
  </w:style>
  <w:style w:type="paragraph" w:customStyle="1" w:styleId="Subclause3">
    <w:name w:val="Sub clause 3"/>
    <w:basedOn w:val="Subclause2"/>
    <w:qFormat/>
    <w:rsid w:val="007E21B1"/>
    <w:pPr>
      <w:numPr>
        <w:numId w:val="59"/>
      </w:numPr>
      <w:ind w:right="1418"/>
      <w:outlineLvl w:val="3"/>
    </w:pPr>
  </w:style>
  <w:style w:type="paragraph" w:customStyle="1" w:styleId="Para5">
    <w:name w:val="Para 5"/>
    <w:basedOn w:val="Subclause3"/>
    <w:qFormat/>
    <w:rsid w:val="00BA2138"/>
    <w:pPr>
      <w:numPr>
        <w:ilvl w:val="4"/>
        <w:numId w:val="60"/>
      </w:numPr>
    </w:pPr>
  </w:style>
  <w:style w:type="paragraph" w:customStyle="1" w:styleId="Quotation">
    <w:name w:val="Quotation"/>
    <w:basedOn w:val="BodyText"/>
    <w:qFormat/>
    <w:rsid w:val="008079E6"/>
    <w:pPr>
      <w:ind w:left="709" w:right="709"/>
    </w:pPr>
    <w:rPr>
      <w:sz w:val="20"/>
    </w:rPr>
  </w:style>
  <w:style w:type="paragraph" w:customStyle="1" w:styleId="Singlespacedparagraph">
    <w:name w:val="Single spaced paragraph"/>
    <w:basedOn w:val="Normal"/>
    <w:qFormat/>
    <w:rsid w:val="00BA2138"/>
  </w:style>
  <w:style w:type="paragraph" w:customStyle="1" w:styleId="Tablebodytext">
    <w:name w:val="Table body text"/>
    <w:basedOn w:val="BodyText"/>
    <w:qFormat/>
    <w:rsid w:val="00BA2138"/>
    <w:rPr>
      <w:rFonts w:cs="Arial"/>
      <w:szCs w:val="17"/>
    </w:rPr>
  </w:style>
  <w:style w:type="paragraph" w:customStyle="1" w:styleId="Tablebullet">
    <w:name w:val="Table bullet"/>
    <w:basedOn w:val="Tablebodytext"/>
    <w:qFormat/>
    <w:rsid w:val="00BA2138"/>
    <w:pPr>
      <w:numPr>
        <w:numId w:val="17"/>
      </w:numPr>
    </w:pPr>
  </w:style>
  <w:style w:type="numbering" w:customStyle="1" w:styleId="Tablebulletlist">
    <w:name w:val="Table bullet list"/>
    <w:uiPriority w:val="99"/>
    <w:rsid w:val="00BA2138"/>
    <w:pPr>
      <w:numPr>
        <w:numId w:val="16"/>
      </w:numPr>
    </w:pPr>
  </w:style>
  <w:style w:type="paragraph" w:customStyle="1" w:styleId="Tableheading">
    <w:name w:val="Table heading"/>
    <w:basedOn w:val="Tablebodytext"/>
    <w:qFormat/>
    <w:rsid w:val="00BA2138"/>
    <w:pPr>
      <w:keepNext/>
      <w:spacing w:after="60"/>
      <w:jc w:val="center"/>
    </w:pPr>
    <w:rPr>
      <w:b/>
    </w:rPr>
  </w:style>
  <w:style w:type="paragraph" w:customStyle="1" w:styleId="Tablenumberedlist">
    <w:name w:val="Table numbered list"/>
    <w:basedOn w:val="Tablebodytext"/>
    <w:qFormat/>
    <w:rsid w:val="00BA2138"/>
    <w:pPr>
      <w:numPr>
        <w:numId w:val="18"/>
      </w:numPr>
    </w:pPr>
  </w:style>
  <w:style w:type="paragraph" w:styleId="TableofAuthorities">
    <w:name w:val="table of authorities"/>
    <w:basedOn w:val="Normal"/>
    <w:next w:val="Normal"/>
    <w:semiHidden/>
    <w:rsid w:val="00BA2138"/>
    <w:pPr>
      <w:ind w:left="200" w:hanging="200"/>
    </w:pPr>
  </w:style>
  <w:style w:type="paragraph" w:styleId="TOC1">
    <w:name w:val="toc 1"/>
    <w:basedOn w:val="Normal"/>
    <w:autoRedefine/>
    <w:uiPriority w:val="39"/>
    <w:rsid w:val="00031DF4"/>
    <w:pPr>
      <w:tabs>
        <w:tab w:val="right" w:leader="dot" w:pos="8930"/>
      </w:tabs>
      <w:ind w:right="425"/>
    </w:pPr>
    <w:rPr>
      <w:b/>
      <w:caps/>
      <w:sz w:val="22"/>
    </w:rPr>
  </w:style>
  <w:style w:type="paragraph" w:styleId="TOC2">
    <w:name w:val="toc 2"/>
    <w:basedOn w:val="TOC1"/>
    <w:autoRedefine/>
    <w:uiPriority w:val="39"/>
    <w:rsid w:val="00031DF4"/>
    <w:pPr>
      <w:tabs>
        <w:tab w:val="clear" w:pos="8930"/>
        <w:tab w:val="right" w:leader="dot" w:pos="8931"/>
      </w:tabs>
      <w:ind w:left="425"/>
    </w:pPr>
    <w:rPr>
      <w:b w:val="0"/>
      <w:noProof/>
    </w:rPr>
  </w:style>
  <w:style w:type="paragraph" w:styleId="TOC3">
    <w:name w:val="toc 3"/>
    <w:basedOn w:val="TOC2"/>
    <w:autoRedefine/>
    <w:uiPriority w:val="39"/>
    <w:rsid w:val="00031DF4"/>
    <w:pPr>
      <w:ind w:left="851"/>
    </w:pPr>
    <w:rPr>
      <w:i/>
      <w:caps w:val="0"/>
      <w:sz w:val="20"/>
    </w:rPr>
  </w:style>
  <w:style w:type="paragraph" w:customStyle="1" w:styleId="zContactdetails">
    <w:name w:val="z_Contact details"/>
    <w:basedOn w:val="BodyText"/>
    <w:semiHidden/>
    <w:rsid w:val="00BA2138"/>
    <w:pPr>
      <w:spacing w:after="120"/>
    </w:pPr>
  </w:style>
  <w:style w:type="paragraph" w:customStyle="1" w:styleId="zContactheadings">
    <w:name w:val="z_Contact headings"/>
    <w:basedOn w:val="BodyText"/>
    <w:semiHidden/>
    <w:rsid w:val="00BA2138"/>
    <w:pPr>
      <w:spacing w:after="120"/>
    </w:pPr>
    <w:rPr>
      <w:b/>
    </w:rPr>
  </w:style>
  <w:style w:type="paragraph" w:customStyle="1" w:styleId="zFileRef">
    <w:name w:val="z_File Ref"/>
    <w:basedOn w:val="Normal"/>
    <w:semiHidden/>
    <w:rsid w:val="00BA2138"/>
    <w:pPr>
      <w:jc w:val="right"/>
    </w:pPr>
  </w:style>
  <w:style w:type="paragraph" w:customStyle="1" w:styleId="zInstructions">
    <w:name w:val="z_Instructions"/>
    <w:basedOn w:val="BodyText"/>
    <w:semiHidden/>
    <w:rsid w:val="00BA2138"/>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BA2138"/>
    <w:pPr>
      <w:numPr>
        <w:numId w:val="20"/>
      </w:numPr>
    </w:pPr>
  </w:style>
  <w:style w:type="numbering" w:customStyle="1" w:styleId="zInstructionsbulletlist">
    <w:name w:val="z_Instructions bullet list"/>
    <w:basedOn w:val="NoList"/>
    <w:uiPriority w:val="99"/>
    <w:rsid w:val="00BA2138"/>
    <w:pPr>
      <w:numPr>
        <w:numId w:val="19"/>
      </w:numPr>
    </w:pPr>
  </w:style>
  <w:style w:type="paragraph" w:customStyle="1" w:styleId="zPagename">
    <w:name w:val="z_Page name"/>
    <w:basedOn w:val="Title"/>
    <w:next w:val="BodyText"/>
    <w:semiHidden/>
    <w:rsid w:val="00BA2138"/>
    <w:pPr>
      <w:pageBreakBefore/>
      <w:spacing w:before="720"/>
    </w:pPr>
  </w:style>
  <w:style w:type="paragraph" w:customStyle="1" w:styleId="zReportsubtitle">
    <w:name w:val="z_Report sub title"/>
    <w:basedOn w:val="Normal"/>
    <w:semiHidden/>
    <w:rsid w:val="00641432"/>
    <w:rPr>
      <w:b/>
      <w:sz w:val="28"/>
    </w:rPr>
  </w:style>
  <w:style w:type="paragraph" w:customStyle="1" w:styleId="Clauseheading">
    <w:name w:val="Clause heading"/>
    <w:basedOn w:val="Heading1"/>
    <w:rsid w:val="00046A9A"/>
    <w:pPr>
      <w:pageBreakBefore/>
      <w:numPr>
        <w:numId w:val="21"/>
      </w:numPr>
      <w:ind w:left="357" w:hanging="357"/>
    </w:pPr>
    <w:rPr>
      <w:sz w:val="24"/>
    </w:rPr>
  </w:style>
  <w:style w:type="paragraph" w:customStyle="1" w:styleId="Clauseparagraph">
    <w:name w:val="Clause paragraph"/>
    <w:basedOn w:val="ClauseTitle"/>
    <w:rsid w:val="00046A9A"/>
  </w:style>
  <w:style w:type="character" w:customStyle="1" w:styleId="Emphasis-Italics">
    <w:name w:val="Emphasis - Italics"/>
    <w:uiPriority w:val="43"/>
    <w:qFormat/>
    <w:rsid w:val="00267F10"/>
    <w:rPr>
      <w:i/>
    </w:rPr>
  </w:style>
  <w:style w:type="character" w:customStyle="1" w:styleId="Emphasis-Subscript">
    <w:name w:val="Emphasis - Subscript"/>
    <w:uiPriority w:val="45"/>
    <w:rsid w:val="00267F10"/>
    <w:rPr>
      <w:vertAlign w:val="subscript"/>
    </w:rPr>
  </w:style>
  <w:style w:type="character" w:customStyle="1" w:styleId="Emphasis-Superscript">
    <w:name w:val="Emphasis - Superscript"/>
    <w:uiPriority w:val="47"/>
    <w:rsid w:val="00267F10"/>
    <w:rPr>
      <w:vertAlign w:val="superscript"/>
    </w:rPr>
  </w:style>
  <w:style w:type="character" w:customStyle="1" w:styleId="Emphasis-Remove">
    <w:name w:val="Emphasis - Remove"/>
    <w:uiPriority w:val="44"/>
    <w:qFormat/>
    <w:rsid w:val="00267F10"/>
  </w:style>
  <w:style w:type="paragraph" w:customStyle="1" w:styleId="Clausesectionheadings">
    <w:name w:val="Clause section headings"/>
    <w:basedOn w:val="Heading3"/>
    <w:rsid w:val="00767342"/>
    <w:pPr>
      <w:outlineLvl w:val="1"/>
    </w:pPr>
    <w:rPr>
      <w:szCs w:val="24"/>
    </w:rPr>
  </w:style>
  <w:style w:type="paragraph" w:customStyle="1" w:styleId="SchTableheading">
    <w:name w:val="Sch Table heading"/>
    <w:basedOn w:val="Tableheading"/>
    <w:rsid w:val="00E06A77"/>
    <w:pPr>
      <w:spacing w:after="240"/>
      <w:ind w:left="1418" w:right="1418"/>
    </w:pPr>
  </w:style>
  <w:style w:type="table" w:styleId="LightShading">
    <w:name w:val="Light Shading"/>
    <w:basedOn w:val="TableNormal"/>
    <w:uiPriority w:val="60"/>
    <w:rsid w:val="009B714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chTabletext">
    <w:name w:val="Sch Table text"/>
    <w:basedOn w:val="TableNormal"/>
    <w:uiPriority w:val="99"/>
    <w:rsid w:val="00E06A77"/>
    <w:pPr>
      <w:jc w:val="center"/>
    </w:pPr>
    <w:rPr>
      <w:rFonts w:ascii="Calibri" w:hAnsi="Calibri"/>
    </w:rPr>
    <w:tblPr>
      <w:jc w:val="center"/>
      <w:tblInd w:w="0" w:type="dxa"/>
      <w:tblBorders>
        <w:bottom w:val="single" w:sz="8" w:space="0" w:color="808080" w:themeColor="background1" w:themeShade="80"/>
        <w:insideH w:val="single" w:sz="8" w:space="0" w:color="808080" w:themeColor="background1" w:themeShade="80"/>
      </w:tblBorders>
      <w:tblCellMar>
        <w:top w:w="0" w:type="dxa"/>
        <w:left w:w="108" w:type="dxa"/>
        <w:bottom w:w="0" w:type="dxa"/>
        <w:right w:w="108" w:type="dxa"/>
      </w:tblCellMar>
    </w:tblPr>
    <w:trPr>
      <w:cantSplit/>
      <w:jc w:val="center"/>
    </w:trPr>
    <w:tcPr>
      <w:vAlign w:val="center"/>
    </w:tcPr>
    <w:tblStylePr w:type="firstRow">
      <w:pPr>
        <w:wordWrap/>
        <w:ind w:leftChars="0" w:left="0" w:rightChars="0" w:right="0"/>
        <w:mirrorIndents w:val="0"/>
        <w:jc w:val="center"/>
      </w:pPr>
      <w:rPr>
        <w:rFonts w:ascii="Calibri" w:hAnsi="Calibri"/>
        <w:b/>
      </w:rPr>
      <w:tblPr/>
      <w:tcPr>
        <w:tcBorders>
          <w:top w:val="single" w:sz="8" w:space="0" w:color="auto"/>
          <w:bottom w:val="single" w:sz="8" w:space="0" w:color="auto"/>
        </w:tcBorders>
      </w:tcPr>
    </w:tblStylePr>
    <w:tblStylePr w:type="lastRow">
      <w:tblPr/>
      <w:tcPr>
        <w:tcBorders>
          <w:bottom w:val="single" w:sz="8" w:space="0" w:color="auto"/>
        </w:tcBorders>
      </w:tcPr>
    </w:tblStylePr>
    <w:tblStylePr w:type="firstCol">
      <w:pPr>
        <w:jc w:val="right"/>
      </w:pPr>
    </w:tblStylePr>
    <w:tblStylePr w:type="nwCell">
      <w:pPr>
        <w:jc w:val="right"/>
      </w:pPr>
      <w:rPr>
        <w:b/>
      </w:rPr>
    </w:tblStylePr>
  </w:style>
  <w:style w:type="paragraph" w:customStyle="1" w:styleId="Schnumberedtext">
    <w:name w:val="Sch numbered text"/>
    <w:basedOn w:val="Scheduletext"/>
    <w:rsid w:val="00CA2DB7"/>
    <w:pPr>
      <w:numPr>
        <w:numId w:val="76"/>
      </w:numPr>
    </w:pPr>
  </w:style>
  <w:style w:type="paragraph" w:customStyle="1" w:styleId="Heading0Chapter">
    <w:name w:val="Heading 0: Chapter"/>
    <w:basedOn w:val="Normal"/>
    <w:next w:val="Normal"/>
    <w:uiPriority w:val="19"/>
    <w:rsid w:val="00D2348A"/>
    <w:pPr>
      <w:keepNext/>
      <w:tabs>
        <w:tab w:val="num" w:pos="709"/>
      </w:tabs>
      <w:spacing w:after="240"/>
      <w:ind w:left="709" w:hanging="709"/>
      <w:outlineLvl w:val="0"/>
    </w:pPr>
    <w:rPr>
      <w:rFonts w:ascii="Calibri Bold" w:hAnsi="Calibri Bold"/>
      <w:b/>
      <w:szCs w:val="24"/>
      <w:lang w:eastAsia="en-US"/>
    </w:rPr>
  </w:style>
  <w:style w:type="character" w:customStyle="1" w:styleId="BodyTextChar">
    <w:name w:val="Body Text Char"/>
    <w:basedOn w:val="DefaultParagraphFont"/>
    <w:link w:val="BodyText"/>
    <w:rsid w:val="00D2348A"/>
    <w:rPr>
      <w:rFonts w:ascii="Calibri" w:hAnsi="Calibri"/>
      <w:sz w:val="24"/>
      <w:lang w:eastAsia="en-GB"/>
    </w:rPr>
  </w:style>
  <w:style w:type="paragraph" w:customStyle="1" w:styleId="NumberedL1-Indent">
    <w:name w:val="Numbered L1 - Indent"/>
    <w:basedOn w:val="Normal"/>
    <w:next w:val="Normal"/>
    <w:uiPriority w:val="63"/>
    <w:qFormat/>
    <w:rsid w:val="005F7078"/>
    <w:pPr>
      <w:numPr>
        <w:numId w:val="32"/>
      </w:numPr>
      <w:spacing w:after="240" w:line="264" w:lineRule="atLeast"/>
    </w:pPr>
    <w:rPr>
      <w:szCs w:val="24"/>
      <w:lang w:eastAsia="en-US"/>
    </w:rPr>
  </w:style>
  <w:style w:type="character" w:customStyle="1" w:styleId="Emphasis-Bold">
    <w:name w:val="Emphasis - Bold"/>
    <w:qFormat/>
    <w:rsid w:val="005F7078"/>
    <w:rPr>
      <w:b/>
    </w:rPr>
  </w:style>
  <w:style w:type="table" w:customStyle="1" w:styleId="Table-ComComblack">
    <w:name w:val="Table - ComCom black"/>
    <w:basedOn w:val="TableNormal"/>
    <w:uiPriority w:val="99"/>
    <w:rsid w:val="00565544"/>
    <w:pPr>
      <w:spacing w:before="60" w:after="60" w:line="264" w:lineRule="auto"/>
      <w:ind w:left="57" w:right="57"/>
    </w:pPr>
    <w:rPr>
      <w:rFonts w:ascii="Calibri" w:hAnsi="Calibri"/>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blStylePr w:type="lastCol">
      <w:pPr>
        <w:tabs>
          <w:tab w:val="decimal" w:pos="851"/>
        </w:tabs>
      </w:pPr>
    </w:tblStylePr>
  </w:style>
  <w:style w:type="paragraph" w:customStyle="1" w:styleId="Para1">
    <w:name w:val="Para 1"/>
    <w:basedOn w:val="BodyText"/>
    <w:qFormat/>
    <w:rsid w:val="007C2FA2"/>
    <w:pPr>
      <w:tabs>
        <w:tab w:val="num" w:pos="709"/>
      </w:tabs>
      <w:ind w:left="709" w:hanging="709"/>
    </w:pPr>
  </w:style>
  <w:style w:type="paragraph" w:customStyle="1" w:styleId="Para2">
    <w:name w:val="Para 2"/>
    <w:basedOn w:val="BodyText"/>
    <w:qFormat/>
    <w:rsid w:val="007C2FA2"/>
    <w:pPr>
      <w:tabs>
        <w:tab w:val="num" w:pos="1418"/>
      </w:tabs>
      <w:ind w:left="1418" w:hanging="709"/>
    </w:pPr>
  </w:style>
  <w:style w:type="paragraph" w:customStyle="1" w:styleId="Para3">
    <w:name w:val="Para 3"/>
    <w:basedOn w:val="Para2"/>
    <w:qFormat/>
    <w:rsid w:val="007C2FA2"/>
    <w:pPr>
      <w:tabs>
        <w:tab w:val="clear" w:pos="1418"/>
        <w:tab w:val="num" w:pos="2126"/>
      </w:tabs>
      <w:ind w:left="2126" w:hanging="708"/>
    </w:pPr>
  </w:style>
  <w:style w:type="paragraph" w:customStyle="1" w:styleId="Para4">
    <w:name w:val="Para 4"/>
    <w:basedOn w:val="Para3"/>
    <w:qFormat/>
    <w:rsid w:val="007C2FA2"/>
    <w:pPr>
      <w:tabs>
        <w:tab w:val="clear" w:pos="2126"/>
        <w:tab w:val="num" w:pos="2835"/>
      </w:tabs>
      <w:ind w:left="2835" w:hanging="709"/>
    </w:pPr>
  </w:style>
  <w:style w:type="paragraph" w:customStyle="1" w:styleId="Title-Table">
    <w:name w:val="Title - Table"/>
    <w:basedOn w:val="Normal"/>
    <w:next w:val="Para1"/>
    <w:uiPriority w:val="6"/>
    <w:qFormat/>
    <w:rsid w:val="00CC285C"/>
    <w:pPr>
      <w:keepNext/>
      <w:keepLines/>
      <w:spacing w:before="240" w:after="120"/>
      <w:ind w:left="709" w:hanging="709"/>
      <w:jc w:val="center"/>
      <w:outlineLvl w:val="8"/>
    </w:pPr>
    <w:rPr>
      <w:b/>
      <w:szCs w:val="24"/>
      <w:lang w:eastAsia="en-US"/>
    </w:rPr>
  </w:style>
  <w:style w:type="paragraph" w:customStyle="1" w:styleId="Tabletext-Centred">
    <w:name w:val="Table text - Centred"/>
    <w:basedOn w:val="Tabletext"/>
    <w:uiPriority w:val="99"/>
    <w:rsid w:val="00CC285C"/>
    <w:pPr>
      <w:numPr>
        <w:numId w:val="38"/>
      </w:numPr>
      <w:jc w:val="center"/>
    </w:pPr>
  </w:style>
  <w:style w:type="paragraph" w:customStyle="1" w:styleId="Tabletext">
    <w:name w:val="Table text"/>
    <w:basedOn w:val="Normal"/>
    <w:uiPriority w:val="99"/>
    <w:qFormat/>
    <w:rsid w:val="00CC285C"/>
    <w:pPr>
      <w:spacing w:before="60" w:after="60" w:line="264" w:lineRule="atLeast"/>
    </w:pPr>
    <w:rPr>
      <w:sz w:val="20"/>
      <w:szCs w:val="24"/>
      <w:lang w:eastAsia="en-US"/>
    </w:rPr>
  </w:style>
  <w:style w:type="character" w:styleId="PlaceholderText">
    <w:name w:val="Placeholder Text"/>
    <w:basedOn w:val="DefaultParagraphFont"/>
    <w:uiPriority w:val="99"/>
    <w:semiHidden/>
    <w:rsid w:val="0040744E"/>
    <w:rPr>
      <w:color w:val="808080"/>
    </w:rPr>
  </w:style>
  <w:style w:type="character" w:customStyle="1" w:styleId="UnnumberedL2Char">
    <w:name w:val="Unnumbered L2 Char"/>
    <w:basedOn w:val="BodyTextChar"/>
    <w:link w:val="UnnumberedL2"/>
    <w:uiPriority w:val="51"/>
    <w:rsid w:val="00C238ED"/>
    <w:rPr>
      <w:rFonts w:ascii="Calibri" w:hAnsi="Calibri"/>
      <w:sz w:val="24"/>
      <w:szCs w:val="24"/>
      <w:lang w:eastAsia="en-US"/>
    </w:rPr>
  </w:style>
  <w:style w:type="paragraph" w:customStyle="1" w:styleId="UnnumberedL2">
    <w:name w:val="Unnumbered L2"/>
    <w:basedOn w:val="BodyText"/>
    <w:link w:val="UnnumberedL2Char"/>
    <w:uiPriority w:val="51"/>
    <w:qFormat/>
    <w:rsid w:val="00C238ED"/>
    <w:pPr>
      <w:ind w:left="709"/>
    </w:pPr>
    <w:rPr>
      <w:szCs w:val="24"/>
      <w:lang w:eastAsia="en-US"/>
    </w:rPr>
  </w:style>
  <w:style w:type="paragraph" w:customStyle="1" w:styleId="Default">
    <w:name w:val="Default"/>
    <w:rsid w:val="007D2C51"/>
    <w:pPr>
      <w:autoSpaceDE w:val="0"/>
      <w:autoSpaceDN w:val="0"/>
      <w:adjustRightInd w:val="0"/>
    </w:pPr>
    <w:rPr>
      <w:rFonts w:ascii="Calibri" w:hAnsi="Calibri" w:cs="Calibri"/>
      <w:color w:val="000000"/>
      <w:sz w:val="24"/>
      <w:szCs w:val="24"/>
    </w:rPr>
  </w:style>
  <w:style w:type="character" w:customStyle="1" w:styleId="BodyTextIndentChar">
    <w:name w:val="Body Text Indent Char"/>
    <w:basedOn w:val="DefaultParagraphFont"/>
    <w:link w:val="BodyTextIndent"/>
    <w:rsid w:val="00321F81"/>
    <w:rPr>
      <w:rFonts w:ascii="Calibri" w:hAnsi="Calibri"/>
      <w:sz w:val="24"/>
      <w:lang w:eastAsia="en-GB"/>
    </w:rPr>
  </w:style>
  <w:style w:type="paragraph" w:styleId="ListParagraph">
    <w:name w:val="List Paragraph"/>
    <w:basedOn w:val="Normal"/>
    <w:uiPriority w:val="34"/>
    <w:semiHidden/>
    <w:qFormat/>
    <w:rsid w:val="00F406D1"/>
    <w:pPr>
      <w:ind w:left="720"/>
      <w:contextualSpacing/>
    </w:pPr>
  </w:style>
  <w:style w:type="paragraph" w:customStyle="1" w:styleId="Title-Figure">
    <w:name w:val="Title - Figure"/>
    <w:basedOn w:val="Normal"/>
    <w:next w:val="Para1"/>
    <w:uiPriority w:val="5"/>
    <w:qFormat/>
    <w:rsid w:val="00536995"/>
    <w:pPr>
      <w:keepNext/>
      <w:keepLines/>
      <w:spacing w:before="240" w:after="120"/>
      <w:ind w:left="709" w:hanging="709"/>
      <w:jc w:val="center"/>
      <w:outlineLvl w:val="7"/>
    </w:pPr>
    <w:rPr>
      <w:b/>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qFormat="1"/>
    <w:lsdException w:name="table of figures"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uiPriority="1"/>
    <w:lsdException w:name="Body Text" w:qFormat="1"/>
    <w:lsdException w:name="Body Text Indent" w:qFormat="1"/>
    <w:lsdException w:name="Subtitle" w:qFormat="1"/>
    <w:lsdException w:name="Strong" w:qFormat="1"/>
    <w:lsdException w:name="Emphasis" w:qFormat="1"/>
    <w:lsdException w:name="Document Map" w:semiHidden="1"/>
    <w:lsdException w:name="No Lis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rsid w:val="006B22D6"/>
    <w:rPr>
      <w:rFonts w:ascii="Calibri" w:hAnsi="Calibri"/>
      <w:sz w:val="24"/>
      <w:lang w:eastAsia="en-GB"/>
    </w:rPr>
  </w:style>
  <w:style w:type="paragraph" w:styleId="Heading1">
    <w:name w:val="heading 1"/>
    <w:basedOn w:val="Normal"/>
    <w:next w:val="BodyText"/>
    <w:qFormat/>
    <w:rsid w:val="00BA2138"/>
    <w:pPr>
      <w:keepNext/>
      <w:spacing w:after="120"/>
      <w:outlineLvl w:val="0"/>
    </w:pPr>
    <w:rPr>
      <w:b/>
      <w:sz w:val="28"/>
    </w:rPr>
  </w:style>
  <w:style w:type="paragraph" w:styleId="Heading2">
    <w:name w:val="heading 2"/>
    <w:basedOn w:val="Normal"/>
    <w:next w:val="BodyText"/>
    <w:link w:val="Heading2Char"/>
    <w:qFormat/>
    <w:rsid w:val="00BA2138"/>
    <w:pPr>
      <w:keepNext/>
      <w:spacing w:after="120"/>
      <w:outlineLvl w:val="1"/>
    </w:pPr>
    <w:rPr>
      <w:b/>
    </w:rPr>
  </w:style>
  <w:style w:type="paragraph" w:styleId="Heading3">
    <w:name w:val="heading 3"/>
    <w:basedOn w:val="Normal"/>
    <w:next w:val="BodyText"/>
    <w:qFormat/>
    <w:rsid w:val="00BA2138"/>
    <w:pPr>
      <w:keepNext/>
      <w:spacing w:after="120"/>
      <w:outlineLvl w:val="2"/>
    </w:pPr>
    <w:rPr>
      <w:i/>
    </w:rPr>
  </w:style>
  <w:style w:type="paragraph" w:styleId="Heading4">
    <w:name w:val="heading 4"/>
    <w:basedOn w:val="Normal"/>
    <w:semiHidden/>
    <w:qFormat/>
    <w:rsid w:val="00BA2138"/>
    <w:pPr>
      <w:outlineLvl w:val="3"/>
    </w:pPr>
  </w:style>
  <w:style w:type="paragraph" w:styleId="Heading5">
    <w:name w:val="heading 5"/>
    <w:basedOn w:val="Normal"/>
    <w:semiHidden/>
    <w:qFormat/>
    <w:rsid w:val="00BA2138"/>
    <w:pPr>
      <w:outlineLvl w:val="4"/>
    </w:pPr>
  </w:style>
  <w:style w:type="paragraph" w:styleId="Heading6">
    <w:name w:val="heading 6"/>
    <w:basedOn w:val="Normal"/>
    <w:semiHidden/>
    <w:qFormat/>
    <w:rsid w:val="00BA2138"/>
    <w:pPr>
      <w:outlineLvl w:val="5"/>
    </w:pPr>
  </w:style>
  <w:style w:type="paragraph" w:styleId="Heading7">
    <w:name w:val="heading 7"/>
    <w:basedOn w:val="Normal"/>
    <w:next w:val="Normal"/>
    <w:semiHidden/>
    <w:qFormat/>
    <w:rsid w:val="00BA2138"/>
    <w:pPr>
      <w:outlineLvl w:val="6"/>
    </w:pPr>
  </w:style>
  <w:style w:type="paragraph" w:styleId="Heading8">
    <w:name w:val="heading 8"/>
    <w:basedOn w:val="Normal"/>
    <w:next w:val="Normal"/>
    <w:semiHidden/>
    <w:qFormat/>
    <w:rsid w:val="00BA2138"/>
    <w:pPr>
      <w:outlineLvl w:val="7"/>
    </w:pPr>
  </w:style>
  <w:style w:type="paragraph" w:styleId="Heading9">
    <w:name w:val="heading 9"/>
    <w:basedOn w:val="Normal"/>
    <w:next w:val="Normal"/>
    <w:semiHidden/>
    <w:qFormat/>
    <w:rsid w:val="00BA21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4414C"/>
    <w:pPr>
      <w:numPr>
        <w:numId w:val="1"/>
      </w:numPr>
    </w:pPr>
  </w:style>
  <w:style w:type="numbering" w:styleId="1ai">
    <w:name w:val="Outline List 1"/>
    <w:basedOn w:val="NoList"/>
    <w:semiHidden/>
    <w:rsid w:val="00F4414C"/>
    <w:pPr>
      <w:numPr>
        <w:numId w:val="2"/>
      </w:numPr>
    </w:pPr>
  </w:style>
  <w:style w:type="numbering" w:styleId="ArticleSection">
    <w:name w:val="Outline List 3"/>
    <w:basedOn w:val="NoList"/>
    <w:semiHidden/>
    <w:rsid w:val="00F4414C"/>
    <w:pPr>
      <w:numPr>
        <w:numId w:val="3"/>
      </w:numPr>
    </w:pPr>
  </w:style>
  <w:style w:type="paragraph" w:styleId="BlockText">
    <w:name w:val="Block Text"/>
    <w:basedOn w:val="Normal"/>
    <w:semiHidden/>
    <w:rsid w:val="00F4414C"/>
    <w:pPr>
      <w:spacing w:after="120"/>
      <w:ind w:left="1440" w:right="1440"/>
    </w:pPr>
  </w:style>
  <w:style w:type="paragraph" w:styleId="BodyText2">
    <w:name w:val="Body Text 2"/>
    <w:basedOn w:val="Normal"/>
    <w:semiHidden/>
    <w:rsid w:val="00F4414C"/>
    <w:pPr>
      <w:spacing w:after="120" w:line="480" w:lineRule="auto"/>
    </w:pPr>
  </w:style>
  <w:style w:type="paragraph" w:styleId="BodyText3">
    <w:name w:val="Body Text 3"/>
    <w:basedOn w:val="Normal"/>
    <w:semiHidden/>
    <w:rsid w:val="00F4414C"/>
    <w:pPr>
      <w:spacing w:after="120"/>
    </w:pPr>
    <w:rPr>
      <w:sz w:val="16"/>
      <w:szCs w:val="16"/>
    </w:rPr>
  </w:style>
  <w:style w:type="paragraph" w:styleId="BodyText">
    <w:name w:val="Body Text"/>
    <w:basedOn w:val="Normal"/>
    <w:link w:val="BodyTextChar"/>
    <w:qFormat/>
    <w:rsid w:val="00BA2138"/>
    <w:pPr>
      <w:spacing w:after="240" w:line="264" w:lineRule="atLeast"/>
    </w:pPr>
  </w:style>
  <w:style w:type="paragraph" w:styleId="BodyTextFirstIndent">
    <w:name w:val="Body Text First Indent"/>
    <w:basedOn w:val="BodyText"/>
    <w:semiHidden/>
    <w:rsid w:val="00F4414C"/>
    <w:pPr>
      <w:ind w:firstLine="210"/>
    </w:pPr>
  </w:style>
  <w:style w:type="paragraph" w:styleId="BodyTextIndent">
    <w:name w:val="Body Text Indent"/>
    <w:basedOn w:val="BodyText"/>
    <w:link w:val="BodyTextIndentChar"/>
    <w:qFormat/>
    <w:rsid w:val="00BA2138"/>
    <w:pPr>
      <w:ind w:left="709"/>
    </w:pPr>
  </w:style>
  <w:style w:type="paragraph" w:styleId="BodyTextFirstIndent2">
    <w:name w:val="Body Text First Indent 2"/>
    <w:basedOn w:val="BodyTextIndent"/>
    <w:semiHidden/>
    <w:rsid w:val="00F4414C"/>
    <w:pPr>
      <w:ind w:firstLine="210"/>
    </w:pPr>
  </w:style>
  <w:style w:type="paragraph" w:styleId="BodyTextIndent2">
    <w:name w:val="Body Text Indent 2"/>
    <w:basedOn w:val="Normal"/>
    <w:semiHidden/>
    <w:rsid w:val="00F4414C"/>
    <w:pPr>
      <w:spacing w:after="120" w:line="480" w:lineRule="auto"/>
      <w:ind w:left="283"/>
    </w:pPr>
  </w:style>
  <w:style w:type="paragraph" w:styleId="BodyTextIndent3">
    <w:name w:val="Body Text Indent 3"/>
    <w:basedOn w:val="Normal"/>
    <w:semiHidden/>
    <w:rsid w:val="00F4414C"/>
    <w:pPr>
      <w:spacing w:after="120"/>
      <w:ind w:left="283"/>
    </w:pPr>
    <w:rPr>
      <w:sz w:val="16"/>
      <w:szCs w:val="16"/>
    </w:rPr>
  </w:style>
  <w:style w:type="paragraph" w:styleId="Closing">
    <w:name w:val="Closing"/>
    <w:basedOn w:val="Normal"/>
    <w:semiHidden/>
    <w:rsid w:val="00F4414C"/>
    <w:pPr>
      <w:ind w:left="4252"/>
    </w:pPr>
  </w:style>
  <w:style w:type="paragraph" w:styleId="Date">
    <w:name w:val="Date"/>
    <w:basedOn w:val="Normal"/>
    <w:next w:val="BodyText"/>
    <w:semiHidden/>
    <w:rsid w:val="00BA2138"/>
    <w:pPr>
      <w:spacing w:after="454"/>
    </w:pPr>
  </w:style>
  <w:style w:type="paragraph" w:styleId="E-mailSignature">
    <w:name w:val="E-mail Signature"/>
    <w:basedOn w:val="Normal"/>
    <w:semiHidden/>
    <w:rsid w:val="00F4414C"/>
  </w:style>
  <w:style w:type="character" w:styleId="Emphasis">
    <w:name w:val="Emphasis"/>
    <w:basedOn w:val="DefaultParagraphFont"/>
    <w:semiHidden/>
    <w:qFormat/>
    <w:rsid w:val="00F4414C"/>
    <w:rPr>
      <w:i/>
      <w:iCs/>
    </w:rPr>
  </w:style>
  <w:style w:type="paragraph" w:styleId="EnvelopeAddress">
    <w:name w:val="envelope address"/>
    <w:basedOn w:val="Normal"/>
    <w:semiHidden/>
    <w:rsid w:val="00BA2138"/>
    <w:pPr>
      <w:framePr w:w="7920" w:h="1980" w:hRule="exact" w:hSpace="180" w:wrap="auto" w:hAnchor="page" w:xAlign="center" w:yAlign="bottom"/>
      <w:ind w:left="2880"/>
    </w:pPr>
    <w:rPr>
      <w:rFonts w:cs="Arial"/>
    </w:rPr>
  </w:style>
  <w:style w:type="paragraph" w:styleId="EnvelopeReturn">
    <w:name w:val="envelope return"/>
    <w:basedOn w:val="Normal"/>
    <w:semiHidden/>
    <w:rsid w:val="00BA2138"/>
    <w:rPr>
      <w:rFonts w:cs="Arial"/>
      <w:color w:val="003366"/>
      <w:sz w:val="18"/>
      <w:szCs w:val="18"/>
    </w:rPr>
  </w:style>
  <w:style w:type="character" w:styleId="FollowedHyperlink">
    <w:name w:val="FollowedHyperlink"/>
    <w:basedOn w:val="DefaultParagraphFont"/>
    <w:semiHidden/>
    <w:rsid w:val="00F4414C"/>
    <w:rPr>
      <w:color w:val="800080"/>
      <w:u w:val="single"/>
    </w:rPr>
  </w:style>
  <w:style w:type="character" w:styleId="HTMLAcronym">
    <w:name w:val="HTML Acronym"/>
    <w:basedOn w:val="DefaultParagraphFont"/>
    <w:semiHidden/>
    <w:rsid w:val="00F4414C"/>
  </w:style>
  <w:style w:type="paragraph" w:styleId="HTMLAddress">
    <w:name w:val="HTML Address"/>
    <w:basedOn w:val="Normal"/>
    <w:semiHidden/>
    <w:rsid w:val="00F4414C"/>
    <w:rPr>
      <w:i/>
      <w:iCs/>
    </w:rPr>
  </w:style>
  <w:style w:type="character" w:styleId="HTMLCite">
    <w:name w:val="HTML Cite"/>
    <w:basedOn w:val="DefaultParagraphFont"/>
    <w:semiHidden/>
    <w:rsid w:val="00F4414C"/>
    <w:rPr>
      <w:i/>
      <w:iCs/>
    </w:rPr>
  </w:style>
  <w:style w:type="character" w:styleId="HTMLCode">
    <w:name w:val="HTML Code"/>
    <w:basedOn w:val="DefaultParagraphFont"/>
    <w:semiHidden/>
    <w:rsid w:val="00F4414C"/>
    <w:rPr>
      <w:rFonts w:ascii="Courier New" w:hAnsi="Courier New" w:cs="Courier New"/>
      <w:sz w:val="20"/>
      <w:szCs w:val="20"/>
    </w:rPr>
  </w:style>
  <w:style w:type="character" w:styleId="HTMLDefinition">
    <w:name w:val="HTML Definition"/>
    <w:basedOn w:val="DefaultParagraphFont"/>
    <w:semiHidden/>
    <w:rsid w:val="00F4414C"/>
    <w:rPr>
      <w:i/>
      <w:iCs/>
    </w:rPr>
  </w:style>
  <w:style w:type="character" w:styleId="HTMLKeyboard">
    <w:name w:val="HTML Keyboard"/>
    <w:basedOn w:val="DefaultParagraphFont"/>
    <w:semiHidden/>
    <w:rsid w:val="00F4414C"/>
    <w:rPr>
      <w:rFonts w:ascii="Courier New" w:hAnsi="Courier New" w:cs="Courier New"/>
      <w:sz w:val="20"/>
      <w:szCs w:val="20"/>
    </w:rPr>
  </w:style>
  <w:style w:type="paragraph" w:styleId="HTMLPreformatted">
    <w:name w:val="HTML Preformatted"/>
    <w:basedOn w:val="Normal"/>
    <w:semiHidden/>
    <w:rsid w:val="00F4414C"/>
    <w:rPr>
      <w:rFonts w:ascii="Courier New" w:hAnsi="Courier New" w:cs="Courier New"/>
      <w:sz w:val="20"/>
    </w:rPr>
  </w:style>
  <w:style w:type="character" w:styleId="HTMLSample">
    <w:name w:val="HTML Sample"/>
    <w:basedOn w:val="DefaultParagraphFont"/>
    <w:semiHidden/>
    <w:rsid w:val="00F4414C"/>
    <w:rPr>
      <w:rFonts w:ascii="Courier New" w:hAnsi="Courier New" w:cs="Courier New"/>
    </w:rPr>
  </w:style>
  <w:style w:type="character" w:styleId="HTMLTypewriter">
    <w:name w:val="HTML Typewriter"/>
    <w:basedOn w:val="DefaultParagraphFont"/>
    <w:semiHidden/>
    <w:rsid w:val="00F4414C"/>
    <w:rPr>
      <w:rFonts w:ascii="Courier New" w:hAnsi="Courier New" w:cs="Courier New"/>
      <w:sz w:val="20"/>
      <w:szCs w:val="20"/>
    </w:rPr>
  </w:style>
  <w:style w:type="character" w:styleId="HTMLVariable">
    <w:name w:val="HTML Variable"/>
    <w:basedOn w:val="DefaultParagraphFont"/>
    <w:semiHidden/>
    <w:rsid w:val="00F4414C"/>
    <w:rPr>
      <w:i/>
      <w:iCs/>
    </w:rPr>
  </w:style>
  <w:style w:type="character" w:styleId="Hyperlink">
    <w:name w:val="Hyperlink"/>
    <w:basedOn w:val="DefaultParagraphFont"/>
    <w:semiHidden/>
    <w:rsid w:val="00BA2138"/>
    <w:rPr>
      <w:color w:val="0000FF"/>
      <w:u w:val="single"/>
    </w:rPr>
  </w:style>
  <w:style w:type="character" w:styleId="LineNumber">
    <w:name w:val="line number"/>
    <w:basedOn w:val="DefaultParagraphFont"/>
    <w:semiHidden/>
    <w:rsid w:val="00F4414C"/>
  </w:style>
  <w:style w:type="paragraph" w:styleId="List">
    <w:name w:val="List"/>
    <w:basedOn w:val="BodyText"/>
    <w:semiHidden/>
    <w:rsid w:val="00BA2138"/>
    <w:pPr>
      <w:numPr>
        <w:numId w:val="13"/>
      </w:numPr>
    </w:pPr>
  </w:style>
  <w:style w:type="paragraph" w:styleId="List2">
    <w:name w:val="List 2"/>
    <w:basedOn w:val="Normal"/>
    <w:semiHidden/>
    <w:rsid w:val="00F4414C"/>
    <w:pPr>
      <w:ind w:left="566" w:hanging="283"/>
    </w:pPr>
  </w:style>
  <w:style w:type="paragraph" w:styleId="List3">
    <w:name w:val="List 3"/>
    <w:basedOn w:val="Normal"/>
    <w:semiHidden/>
    <w:rsid w:val="00F4414C"/>
    <w:pPr>
      <w:ind w:left="849" w:hanging="283"/>
    </w:pPr>
  </w:style>
  <w:style w:type="paragraph" w:styleId="List4">
    <w:name w:val="List 4"/>
    <w:basedOn w:val="Normal"/>
    <w:semiHidden/>
    <w:rsid w:val="00F4414C"/>
    <w:pPr>
      <w:ind w:left="1132" w:hanging="283"/>
    </w:pPr>
  </w:style>
  <w:style w:type="paragraph" w:styleId="List5">
    <w:name w:val="List 5"/>
    <w:basedOn w:val="Normal"/>
    <w:semiHidden/>
    <w:rsid w:val="00F4414C"/>
    <w:pPr>
      <w:ind w:left="1415" w:hanging="283"/>
    </w:pPr>
  </w:style>
  <w:style w:type="paragraph" w:styleId="ListBullet">
    <w:name w:val="List Bullet"/>
    <w:basedOn w:val="BodyText"/>
    <w:semiHidden/>
    <w:rsid w:val="00BA2138"/>
  </w:style>
  <w:style w:type="paragraph" w:styleId="ListBullet2">
    <w:name w:val="List Bullet 2"/>
    <w:basedOn w:val="BodyText"/>
    <w:semiHidden/>
    <w:rsid w:val="00BA2138"/>
  </w:style>
  <w:style w:type="paragraph" w:styleId="ListBullet3">
    <w:name w:val="List Bullet 3"/>
    <w:basedOn w:val="BodyText"/>
    <w:semiHidden/>
    <w:rsid w:val="00BA2138"/>
  </w:style>
  <w:style w:type="paragraph" w:styleId="ListBullet4">
    <w:name w:val="List Bullet 4"/>
    <w:basedOn w:val="Normal"/>
    <w:semiHidden/>
    <w:rsid w:val="00F4414C"/>
    <w:pPr>
      <w:numPr>
        <w:numId w:val="4"/>
      </w:numPr>
    </w:pPr>
  </w:style>
  <w:style w:type="paragraph" w:styleId="ListBullet5">
    <w:name w:val="List Bullet 5"/>
    <w:basedOn w:val="Normal"/>
    <w:semiHidden/>
    <w:rsid w:val="00F4414C"/>
    <w:pPr>
      <w:numPr>
        <w:numId w:val="5"/>
      </w:numPr>
    </w:pPr>
  </w:style>
  <w:style w:type="paragraph" w:styleId="ListContinue">
    <w:name w:val="List Continue"/>
    <w:basedOn w:val="Normal"/>
    <w:semiHidden/>
    <w:rsid w:val="00F4414C"/>
    <w:pPr>
      <w:spacing w:after="120"/>
      <w:ind w:left="283"/>
    </w:pPr>
  </w:style>
  <w:style w:type="paragraph" w:styleId="ListContinue2">
    <w:name w:val="List Continue 2"/>
    <w:basedOn w:val="Normal"/>
    <w:semiHidden/>
    <w:rsid w:val="00F4414C"/>
    <w:pPr>
      <w:spacing w:after="120"/>
      <w:ind w:left="566"/>
    </w:pPr>
  </w:style>
  <w:style w:type="paragraph" w:styleId="ListContinue3">
    <w:name w:val="List Continue 3"/>
    <w:basedOn w:val="Normal"/>
    <w:semiHidden/>
    <w:rsid w:val="00F4414C"/>
    <w:pPr>
      <w:spacing w:after="120"/>
      <w:ind w:left="849"/>
    </w:pPr>
  </w:style>
  <w:style w:type="paragraph" w:styleId="ListContinue4">
    <w:name w:val="List Continue 4"/>
    <w:basedOn w:val="Normal"/>
    <w:semiHidden/>
    <w:rsid w:val="00F4414C"/>
    <w:pPr>
      <w:spacing w:after="120"/>
      <w:ind w:left="1132"/>
    </w:pPr>
  </w:style>
  <w:style w:type="paragraph" w:styleId="ListContinue5">
    <w:name w:val="List Continue 5"/>
    <w:basedOn w:val="Normal"/>
    <w:semiHidden/>
    <w:rsid w:val="00F4414C"/>
    <w:pPr>
      <w:spacing w:after="120"/>
      <w:ind w:left="1415"/>
    </w:pPr>
  </w:style>
  <w:style w:type="paragraph" w:styleId="ListNumber">
    <w:name w:val="List Number"/>
    <w:basedOn w:val="Normal"/>
    <w:semiHidden/>
    <w:rsid w:val="00F4414C"/>
    <w:pPr>
      <w:numPr>
        <w:numId w:val="6"/>
      </w:numPr>
    </w:pPr>
  </w:style>
  <w:style w:type="paragraph" w:styleId="ListNumber2">
    <w:name w:val="List Number 2"/>
    <w:basedOn w:val="Normal"/>
    <w:semiHidden/>
    <w:rsid w:val="00F4414C"/>
    <w:pPr>
      <w:numPr>
        <w:numId w:val="7"/>
      </w:numPr>
    </w:pPr>
  </w:style>
  <w:style w:type="paragraph" w:styleId="ListNumber3">
    <w:name w:val="List Number 3"/>
    <w:basedOn w:val="Normal"/>
    <w:semiHidden/>
    <w:rsid w:val="00F4414C"/>
    <w:pPr>
      <w:numPr>
        <w:numId w:val="8"/>
      </w:numPr>
    </w:pPr>
  </w:style>
  <w:style w:type="paragraph" w:styleId="ListNumber4">
    <w:name w:val="List Number 4"/>
    <w:basedOn w:val="Normal"/>
    <w:semiHidden/>
    <w:rsid w:val="00F4414C"/>
    <w:pPr>
      <w:numPr>
        <w:numId w:val="9"/>
      </w:numPr>
    </w:pPr>
  </w:style>
  <w:style w:type="paragraph" w:styleId="ListNumber5">
    <w:name w:val="List Number 5"/>
    <w:basedOn w:val="Normal"/>
    <w:semiHidden/>
    <w:rsid w:val="00F4414C"/>
    <w:pPr>
      <w:numPr>
        <w:numId w:val="10"/>
      </w:numPr>
    </w:pPr>
  </w:style>
  <w:style w:type="paragraph" w:styleId="MessageHeader">
    <w:name w:val="Message Header"/>
    <w:basedOn w:val="Normal"/>
    <w:semiHidden/>
    <w:rsid w:val="00F441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F4414C"/>
    <w:rPr>
      <w:rFonts w:ascii="Times New Roman" w:hAnsi="Times New Roman"/>
    </w:rPr>
  </w:style>
  <w:style w:type="paragraph" w:styleId="NormalIndent">
    <w:name w:val="Normal Indent"/>
    <w:basedOn w:val="Normal"/>
    <w:semiHidden/>
    <w:rsid w:val="00F4414C"/>
    <w:pPr>
      <w:ind w:left="720"/>
    </w:pPr>
  </w:style>
  <w:style w:type="paragraph" w:styleId="NoteHeading">
    <w:name w:val="Note Heading"/>
    <w:basedOn w:val="Normal"/>
    <w:next w:val="Normal"/>
    <w:semiHidden/>
    <w:rsid w:val="00F4414C"/>
  </w:style>
  <w:style w:type="character" w:styleId="PageNumber">
    <w:name w:val="page number"/>
    <w:basedOn w:val="DefaultParagraphFont"/>
    <w:semiHidden/>
    <w:rsid w:val="00BA2138"/>
    <w:rPr>
      <w:rFonts w:ascii="Calibri" w:hAnsi="Calibri"/>
      <w:sz w:val="20"/>
    </w:rPr>
  </w:style>
  <w:style w:type="paragraph" w:styleId="PlainText">
    <w:name w:val="Plain Text"/>
    <w:basedOn w:val="Normal"/>
    <w:semiHidden/>
    <w:rsid w:val="00F4414C"/>
    <w:rPr>
      <w:rFonts w:ascii="Courier New" w:hAnsi="Courier New" w:cs="Courier New"/>
      <w:sz w:val="20"/>
    </w:rPr>
  </w:style>
  <w:style w:type="paragraph" w:styleId="Salutation">
    <w:name w:val="Salutation"/>
    <w:basedOn w:val="Normal"/>
    <w:next w:val="Normal"/>
    <w:semiHidden/>
    <w:rsid w:val="00F4414C"/>
  </w:style>
  <w:style w:type="paragraph" w:styleId="Signature">
    <w:name w:val="Signature"/>
    <w:basedOn w:val="Normal"/>
    <w:semiHidden/>
    <w:rsid w:val="00F4414C"/>
    <w:pPr>
      <w:ind w:left="4252"/>
    </w:pPr>
  </w:style>
  <w:style w:type="character" w:styleId="Strong">
    <w:name w:val="Strong"/>
    <w:basedOn w:val="DefaultParagraphFont"/>
    <w:semiHidden/>
    <w:qFormat/>
    <w:rsid w:val="00F4414C"/>
    <w:rPr>
      <w:b/>
      <w:bCs/>
    </w:rPr>
  </w:style>
  <w:style w:type="paragraph" w:styleId="Subtitle">
    <w:name w:val="Subtitle"/>
    <w:basedOn w:val="Normal"/>
    <w:semiHidden/>
    <w:qFormat/>
    <w:rsid w:val="00F4414C"/>
    <w:pPr>
      <w:spacing w:after="60"/>
      <w:jc w:val="center"/>
      <w:outlineLvl w:val="1"/>
    </w:pPr>
    <w:rPr>
      <w:rFonts w:ascii="Arial" w:hAnsi="Arial" w:cs="Arial"/>
    </w:rPr>
  </w:style>
  <w:style w:type="table" w:styleId="Table3Deffects1">
    <w:name w:val="Table 3D effects 1"/>
    <w:basedOn w:val="TableNormal"/>
    <w:semiHidden/>
    <w:rsid w:val="00F441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441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441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441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441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441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441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441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441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441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441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441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441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441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441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441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441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A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441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441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441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441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441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441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441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441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441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441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441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441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441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441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441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441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441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441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441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441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441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441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44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441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441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441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qFormat/>
    <w:rsid w:val="00BA2138"/>
    <w:pPr>
      <w:keepNext/>
      <w:spacing w:after="240"/>
    </w:pPr>
    <w:rPr>
      <w:b/>
      <w:sz w:val="36"/>
    </w:rPr>
  </w:style>
  <w:style w:type="paragraph" w:styleId="Header">
    <w:name w:val="header"/>
    <w:basedOn w:val="Normal"/>
    <w:semiHidden/>
    <w:rsid w:val="00BA2138"/>
    <w:pPr>
      <w:tabs>
        <w:tab w:val="center" w:pos="4153"/>
        <w:tab w:val="right" w:pos="8306"/>
      </w:tabs>
      <w:jc w:val="center"/>
    </w:pPr>
  </w:style>
  <w:style w:type="paragraph" w:styleId="Footer">
    <w:name w:val="footer"/>
    <w:basedOn w:val="Normal"/>
    <w:semiHidden/>
    <w:rsid w:val="00BA2138"/>
    <w:pPr>
      <w:tabs>
        <w:tab w:val="center" w:pos="4536"/>
        <w:tab w:val="right" w:pos="9072"/>
      </w:tabs>
      <w:jc w:val="center"/>
    </w:pPr>
    <w:rPr>
      <w:sz w:val="20"/>
    </w:rPr>
  </w:style>
  <w:style w:type="character" w:styleId="FootnoteReference">
    <w:name w:val="footnote reference"/>
    <w:basedOn w:val="DefaultParagraphFont"/>
    <w:semiHidden/>
    <w:rsid w:val="00BA2138"/>
    <w:rPr>
      <w:vertAlign w:val="superscript"/>
    </w:rPr>
  </w:style>
  <w:style w:type="paragraph" w:styleId="FootnoteText">
    <w:name w:val="footnote text"/>
    <w:basedOn w:val="Normal"/>
    <w:semiHidden/>
    <w:rsid w:val="00BA2138"/>
    <w:pPr>
      <w:ind w:left="425" w:hanging="425"/>
    </w:pPr>
    <w:rPr>
      <w:sz w:val="20"/>
    </w:rPr>
  </w:style>
  <w:style w:type="character" w:customStyle="1" w:styleId="Heading2Char">
    <w:name w:val="Heading 2 Char"/>
    <w:basedOn w:val="DefaultParagraphFont"/>
    <w:link w:val="Heading2"/>
    <w:rsid w:val="00BA2138"/>
    <w:rPr>
      <w:rFonts w:ascii="Calibri" w:hAnsi="Calibri"/>
      <w:b/>
      <w:sz w:val="24"/>
      <w:lang w:eastAsia="en-GB"/>
    </w:rPr>
  </w:style>
  <w:style w:type="paragraph" w:customStyle="1" w:styleId="Body1">
    <w:name w:val="Body 1"/>
    <w:basedOn w:val="Normal"/>
    <w:link w:val="Body1Char"/>
    <w:semiHidden/>
    <w:qFormat/>
    <w:rsid w:val="00184541"/>
    <w:pPr>
      <w:spacing w:after="240"/>
    </w:pPr>
  </w:style>
  <w:style w:type="character" w:customStyle="1" w:styleId="Body1Char">
    <w:name w:val="Body 1 Char"/>
    <w:basedOn w:val="DefaultParagraphFont"/>
    <w:link w:val="Body1"/>
    <w:semiHidden/>
    <w:rsid w:val="00BA2138"/>
    <w:rPr>
      <w:rFonts w:ascii="Calibri" w:hAnsi="Calibri"/>
      <w:sz w:val="24"/>
      <w:szCs w:val="24"/>
      <w:lang w:eastAsia="en-GB"/>
    </w:rPr>
  </w:style>
  <w:style w:type="character" w:styleId="CommentReference">
    <w:name w:val="annotation reference"/>
    <w:basedOn w:val="DefaultParagraphFont"/>
    <w:semiHidden/>
    <w:rsid w:val="00184541"/>
    <w:rPr>
      <w:sz w:val="16"/>
      <w:szCs w:val="16"/>
    </w:rPr>
  </w:style>
  <w:style w:type="paragraph" w:styleId="CommentText">
    <w:name w:val="annotation text"/>
    <w:basedOn w:val="Normal"/>
    <w:link w:val="CommentTextChar"/>
    <w:semiHidden/>
    <w:rsid w:val="00184541"/>
    <w:rPr>
      <w:sz w:val="20"/>
    </w:rPr>
  </w:style>
  <w:style w:type="character" w:customStyle="1" w:styleId="CommentTextChar">
    <w:name w:val="Comment Text Char"/>
    <w:basedOn w:val="DefaultParagraphFont"/>
    <w:link w:val="CommentText"/>
    <w:semiHidden/>
    <w:rsid w:val="00BA2138"/>
    <w:rPr>
      <w:rFonts w:ascii="Times" w:hAnsi="Times"/>
      <w:lang w:eastAsia="en-GB"/>
    </w:rPr>
  </w:style>
  <w:style w:type="paragraph" w:styleId="CommentSubject">
    <w:name w:val="annotation subject"/>
    <w:basedOn w:val="CommentText"/>
    <w:next w:val="CommentText"/>
    <w:link w:val="CommentSubjectChar"/>
    <w:semiHidden/>
    <w:rsid w:val="00184541"/>
    <w:rPr>
      <w:b/>
      <w:bCs/>
    </w:rPr>
  </w:style>
  <w:style w:type="character" w:customStyle="1" w:styleId="CommentSubjectChar">
    <w:name w:val="Comment Subject Char"/>
    <w:basedOn w:val="CommentTextChar"/>
    <w:link w:val="CommentSubject"/>
    <w:semiHidden/>
    <w:rsid w:val="00BA2138"/>
    <w:rPr>
      <w:rFonts w:ascii="Times" w:hAnsi="Times"/>
      <w:b/>
      <w:bCs/>
      <w:lang w:eastAsia="en-GB"/>
    </w:rPr>
  </w:style>
  <w:style w:type="paragraph" w:styleId="BalloonText">
    <w:name w:val="Balloon Text"/>
    <w:basedOn w:val="Normal"/>
    <w:link w:val="BalloonTextChar"/>
    <w:semiHidden/>
    <w:rsid w:val="00BA2138"/>
    <w:rPr>
      <w:rFonts w:ascii="Tahoma" w:hAnsi="Tahoma" w:cs="Tahoma"/>
      <w:sz w:val="16"/>
      <w:szCs w:val="16"/>
    </w:rPr>
  </w:style>
  <w:style w:type="character" w:customStyle="1" w:styleId="BalloonTextChar">
    <w:name w:val="Balloon Text Char"/>
    <w:basedOn w:val="DefaultParagraphFont"/>
    <w:link w:val="BalloonText"/>
    <w:semiHidden/>
    <w:rsid w:val="00BA2138"/>
    <w:rPr>
      <w:rFonts w:ascii="Tahoma" w:hAnsi="Tahoma" w:cs="Tahoma"/>
      <w:sz w:val="16"/>
      <w:szCs w:val="16"/>
      <w:lang w:eastAsia="en-GB"/>
    </w:rPr>
  </w:style>
  <w:style w:type="paragraph" w:customStyle="1" w:styleId="Scheduletitles">
    <w:name w:val="Schedule titles"/>
    <w:basedOn w:val="ClauseTitle"/>
    <w:next w:val="Scheduletext"/>
    <w:rsid w:val="00FA37D2"/>
    <w:pPr>
      <w:numPr>
        <w:numId w:val="27"/>
      </w:numPr>
    </w:pPr>
  </w:style>
  <w:style w:type="numbering" w:customStyle="1" w:styleId="Attachmentsliststyle">
    <w:name w:val="Attachments list style"/>
    <w:basedOn w:val="NoList"/>
    <w:uiPriority w:val="99"/>
    <w:rsid w:val="00BA2138"/>
    <w:pPr>
      <w:numPr>
        <w:numId w:val="11"/>
      </w:numPr>
    </w:pPr>
  </w:style>
  <w:style w:type="paragraph" w:customStyle="1" w:styleId="Scheduletext">
    <w:name w:val="Schedule text"/>
    <w:basedOn w:val="BodyText"/>
    <w:rsid w:val="00F168EE"/>
    <w:pPr>
      <w:outlineLvl w:val="1"/>
    </w:pPr>
    <w:rPr>
      <w:color w:val="000000"/>
      <w:szCs w:val="24"/>
      <w:lang w:eastAsia="en-NZ"/>
    </w:rPr>
  </w:style>
  <w:style w:type="numbering" w:customStyle="1" w:styleId="Bulletliststyle">
    <w:name w:val="Bullet list style"/>
    <w:basedOn w:val="NoList"/>
    <w:uiPriority w:val="99"/>
    <w:rsid w:val="00031DF4"/>
    <w:pPr>
      <w:numPr>
        <w:numId w:val="12"/>
      </w:numPr>
    </w:pPr>
  </w:style>
  <w:style w:type="numbering" w:customStyle="1" w:styleId="Outlinestyle">
    <w:name w:val="Outline style"/>
    <w:basedOn w:val="NoList"/>
    <w:uiPriority w:val="99"/>
    <w:rsid w:val="00BA2138"/>
    <w:pPr>
      <w:numPr>
        <w:numId w:val="14"/>
      </w:numPr>
    </w:pPr>
  </w:style>
  <w:style w:type="paragraph" w:customStyle="1" w:styleId="ClauseTitle">
    <w:name w:val="Clause Title"/>
    <w:basedOn w:val="BodyText"/>
    <w:next w:val="Subclause1"/>
    <w:qFormat/>
    <w:rsid w:val="00767342"/>
    <w:pPr>
      <w:numPr>
        <w:numId w:val="15"/>
      </w:numPr>
      <w:outlineLvl w:val="0"/>
    </w:pPr>
    <w:rPr>
      <w:b/>
    </w:rPr>
  </w:style>
  <w:style w:type="paragraph" w:customStyle="1" w:styleId="Subclause1">
    <w:name w:val="Sub clause 1"/>
    <w:basedOn w:val="BodyText"/>
    <w:qFormat/>
    <w:rsid w:val="006539A3"/>
    <w:pPr>
      <w:numPr>
        <w:ilvl w:val="1"/>
        <w:numId w:val="15"/>
      </w:numPr>
      <w:outlineLvl w:val="1"/>
    </w:pPr>
    <w:rPr>
      <w:lang w:eastAsia="en-NZ"/>
    </w:rPr>
  </w:style>
  <w:style w:type="paragraph" w:customStyle="1" w:styleId="Subclause2">
    <w:name w:val="Sub clause 2"/>
    <w:basedOn w:val="Subclause1"/>
    <w:qFormat/>
    <w:rsid w:val="007E21B1"/>
    <w:pPr>
      <w:numPr>
        <w:ilvl w:val="0"/>
        <w:numId w:val="60"/>
      </w:numPr>
      <w:outlineLvl w:val="2"/>
    </w:pPr>
    <w:rPr>
      <w:szCs w:val="24"/>
    </w:rPr>
  </w:style>
  <w:style w:type="paragraph" w:customStyle="1" w:styleId="Subclause3">
    <w:name w:val="Sub clause 3"/>
    <w:basedOn w:val="Subclause2"/>
    <w:qFormat/>
    <w:rsid w:val="007E21B1"/>
    <w:pPr>
      <w:numPr>
        <w:numId w:val="59"/>
      </w:numPr>
      <w:ind w:right="1418"/>
      <w:outlineLvl w:val="3"/>
    </w:pPr>
  </w:style>
  <w:style w:type="paragraph" w:customStyle="1" w:styleId="Para5">
    <w:name w:val="Para 5"/>
    <w:basedOn w:val="Subclause3"/>
    <w:qFormat/>
    <w:rsid w:val="00BA2138"/>
    <w:pPr>
      <w:numPr>
        <w:ilvl w:val="4"/>
        <w:numId w:val="60"/>
      </w:numPr>
    </w:pPr>
  </w:style>
  <w:style w:type="paragraph" w:customStyle="1" w:styleId="Quotation">
    <w:name w:val="Quotation"/>
    <w:basedOn w:val="BodyText"/>
    <w:qFormat/>
    <w:rsid w:val="008079E6"/>
    <w:pPr>
      <w:ind w:left="709" w:right="709"/>
    </w:pPr>
    <w:rPr>
      <w:sz w:val="20"/>
    </w:rPr>
  </w:style>
  <w:style w:type="paragraph" w:customStyle="1" w:styleId="Singlespacedparagraph">
    <w:name w:val="Single spaced paragraph"/>
    <w:basedOn w:val="Normal"/>
    <w:qFormat/>
    <w:rsid w:val="00BA2138"/>
  </w:style>
  <w:style w:type="paragraph" w:customStyle="1" w:styleId="Tablebodytext">
    <w:name w:val="Table body text"/>
    <w:basedOn w:val="BodyText"/>
    <w:qFormat/>
    <w:rsid w:val="00BA2138"/>
    <w:rPr>
      <w:rFonts w:cs="Arial"/>
      <w:szCs w:val="17"/>
    </w:rPr>
  </w:style>
  <w:style w:type="paragraph" w:customStyle="1" w:styleId="Tablebullet">
    <w:name w:val="Table bullet"/>
    <w:basedOn w:val="Tablebodytext"/>
    <w:qFormat/>
    <w:rsid w:val="00BA2138"/>
    <w:pPr>
      <w:numPr>
        <w:numId w:val="17"/>
      </w:numPr>
    </w:pPr>
  </w:style>
  <w:style w:type="numbering" w:customStyle="1" w:styleId="Tablebulletlist">
    <w:name w:val="Table bullet list"/>
    <w:uiPriority w:val="99"/>
    <w:rsid w:val="00BA2138"/>
    <w:pPr>
      <w:numPr>
        <w:numId w:val="16"/>
      </w:numPr>
    </w:pPr>
  </w:style>
  <w:style w:type="paragraph" w:customStyle="1" w:styleId="Tableheading">
    <w:name w:val="Table heading"/>
    <w:basedOn w:val="Tablebodytext"/>
    <w:qFormat/>
    <w:rsid w:val="00BA2138"/>
    <w:pPr>
      <w:keepNext/>
      <w:spacing w:after="60"/>
      <w:jc w:val="center"/>
    </w:pPr>
    <w:rPr>
      <w:b/>
    </w:rPr>
  </w:style>
  <w:style w:type="paragraph" w:customStyle="1" w:styleId="Tablenumberedlist">
    <w:name w:val="Table numbered list"/>
    <w:basedOn w:val="Tablebodytext"/>
    <w:qFormat/>
    <w:rsid w:val="00BA2138"/>
    <w:pPr>
      <w:numPr>
        <w:numId w:val="18"/>
      </w:numPr>
    </w:pPr>
  </w:style>
  <w:style w:type="paragraph" w:styleId="TableofAuthorities">
    <w:name w:val="table of authorities"/>
    <w:basedOn w:val="Normal"/>
    <w:next w:val="Normal"/>
    <w:semiHidden/>
    <w:rsid w:val="00BA2138"/>
    <w:pPr>
      <w:ind w:left="200" w:hanging="200"/>
    </w:pPr>
  </w:style>
  <w:style w:type="paragraph" w:styleId="TOC1">
    <w:name w:val="toc 1"/>
    <w:basedOn w:val="Normal"/>
    <w:autoRedefine/>
    <w:uiPriority w:val="39"/>
    <w:rsid w:val="00031DF4"/>
    <w:pPr>
      <w:tabs>
        <w:tab w:val="right" w:leader="dot" w:pos="8930"/>
      </w:tabs>
      <w:ind w:right="425"/>
    </w:pPr>
    <w:rPr>
      <w:b/>
      <w:caps/>
      <w:sz w:val="22"/>
    </w:rPr>
  </w:style>
  <w:style w:type="paragraph" w:styleId="TOC2">
    <w:name w:val="toc 2"/>
    <w:basedOn w:val="TOC1"/>
    <w:autoRedefine/>
    <w:uiPriority w:val="39"/>
    <w:rsid w:val="00031DF4"/>
    <w:pPr>
      <w:tabs>
        <w:tab w:val="clear" w:pos="8930"/>
        <w:tab w:val="right" w:leader="dot" w:pos="8931"/>
      </w:tabs>
      <w:ind w:left="425"/>
    </w:pPr>
    <w:rPr>
      <w:b w:val="0"/>
      <w:noProof/>
    </w:rPr>
  </w:style>
  <w:style w:type="paragraph" w:styleId="TOC3">
    <w:name w:val="toc 3"/>
    <w:basedOn w:val="TOC2"/>
    <w:autoRedefine/>
    <w:uiPriority w:val="39"/>
    <w:rsid w:val="00031DF4"/>
    <w:pPr>
      <w:ind w:left="851"/>
    </w:pPr>
    <w:rPr>
      <w:i/>
      <w:caps w:val="0"/>
      <w:sz w:val="20"/>
    </w:rPr>
  </w:style>
  <w:style w:type="paragraph" w:customStyle="1" w:styleId="zContactdetails">
    <w:name w:val="z_Contact details"/>
    <w:basedOn w:val="BodyText"/>
    <w:semiHidden/>
    <w:rsid w:val="00BA2138"/>
    <w:pPr>
      <w:spacing w:after="120"/>
    </w:pPr>
  </w:style>
  <w:style w:type="paragraph" w:customStyle="1" w:styleId="zContactheadings">
    <w:name w:val="z_Contact headings"/>
    <w:basedOn w:val="BodyText"/>
    <w:semiHidden/>
    <w:rsid w:val="00BA2138"/>
    <w:pPr>
      <w:spacing w:after="120"/>
    </w:pPr>
    <w:rPr>
      <w:b/>
    </w:rPr>
  </w:style>
  <w:style w:type="paragraph" w:customStyle="1" w:styleId="zFileRef">
    <w:name w:val="z_File Ref"/>
    <w:basedOn w:val="Normal"/>
    <w:semiHidden/>
    <w:rsid w:val="00BA2138"/>
    <w:pPr>
      <w:jc w:val="right"/>
    </w:pPr>
  </w:style>
  <w:style w:type="paragraph" w:customStyle="1" w:styleId="zInstructions">
    <w:name w:val="z_Instructions"/>
    <w:basedOn w:val="BodyText"/>
    <w:semiHidden/>
    <w:rsid w:val="00BA2138"/>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BA2138"/>
    <w:pPr>
      <w:numPr>
        <w:numId w:val="20"/>
      </w:numPr>
    </w:pPr>
  </w:style>
  <w:style w:type="numbering" w:customStyle="1" w:styleId="zInstructionsbulletlist">
    <w:name w:val="z_Instructions bullet list"/>
    <w:basedOn w:val="NoList"/>
    <w:uiPriority w:val="99"/>
    <w:rsid w:val="00BA2138"/>
    <w:pPr>
      <w:numPr>
        <w:numId w:val="19"/>
      </w:numPr>
    </w:pPr>
  </w:style>
  <w:style w:type="paragraph" w:customStyle="1" w:styleId="zPagename">
    <w:name w:val="z_Page name"/>
    <w:basedOn w:val="Title"/>
    <w:next w:val="BodyText"/>
    <w:semiHidden/>
    <w:rsid w:val="00BA2138"/>
    <w:pPr>
      <w:pageBreakBefore/>
      <w:spacing w:before="720"/>
    </w:pPr>
  </w:style>
  <w:style w:type="paragraph" w:customStyle="1" w:styleId="zReportsubtitle">
    <w:name w:val="z_Report sub title"/>
    <w:basedOn w:val="Normal"/>
    <w:semiHidden/>
    <w:rsid w:val="00641432"/>
    <w:rPr>
      <w:b/>
      <w:sz w:val="28"/>
    </w:rPr>
  </w:style>
  <w:style w:type="paragraph" w:customStyle="1" w:styleId="Clauseheading">
    <w:name w:val="Clause heading"/>
    <w:basedOn w:val="Heading1"/>
    <w:rsid w:val="00046A9A"/>
    <w:pPr>
      <w:pageBreakBefore/>
      <w:numPr>
        <w:numId w:val="21"/>
      </w:numPr>
      <w:ind w:left="357" w:hanging="357"/>
    </w:pPr>
    <w:rPr>
      <w:sz w:val="24"/>
    </w:rPr>
  </w:style>
  <w:style w:type="paragraph" w:customStyle="1" w:styleId="Clauseparagraph">
    <w:name w:val="Clause paragraph"/>
    <w:basedOn w:val="ClauseTitle"/>
    <w:rsid w:val="00046A9A"/>
  </w:style>
  <w:style w:type="character" w:customStyle="1" w:styleId="Emphasis-Italics">
    <w:name w:val="Emphasis - Italics"/>
    <w:uiPriority w:val="43"/>
    <w:qFormat/>
    <w:rsid w:val="00267F10"/>
    <w:rPr>
      <w:i/>
    </w:rPr>
  </w:style>
  <w:style w:type="character" w:customStyle="1" w:styleId="Emphasis-Subscript">
    <w:name w:val="Emphasis - Subscript"/>
    <w:uiPriority w:val="45"/>
    <w:rsid w:val="00267F10"/>
    <w:rPr>
      <w:vertAlign w:val="subscript"/>
    </w:rPr>
  </w:style>
  <w:style w:type="character" w:customStyle="1" w:styleId="Emphasis-Superscript">
    <w:name w:val="Emphasis - Superscript"/>
    <w:uiPriority w:val="47"/>
    <w:rsid w:val="00267F10"/>
    <w:rPr>
      <w:vertAlign w:val="superscript"/>
    </w:rPr>
  </w:style>
  <w:style w:type="character" w:customStyle="1" w:styleId="Emphasis-Remove">
    <w:name w:val="Emphasis - Remove"/>
    <w:uiPriority w:val="44"/>
    <w:qFormat/>
    <w:rsid w:val="00267F10"/>
  </w:style>
  <w:style w:type="paragraph" w:customStyle="1" w:styleId="Clausesectionheadings">
    <w:name w:val="Clause section headings"/>
    <w:basedOn w:val="Heading3"/>
    <w:rsid w:val="00767342"/>
    <w:pPr>
      <w:outlineLvl w:val="1"/>
    </w:pPr>
    <w:rPr>
      <w:szCs w:val="24"/>
    </w:rPr>
  </w:style>
  <w:style w:type="paragraph" w:customStyle="1" w:styleId="SchTableheading">
    <w:name w:val="Sch Table heading"/>
    <w:basedOn w:val="Tableheading"/>
    <w:rsid w:val="00E06A77"/>
    <w:pPr>
      <w:spacing w:after="240"/>
      <w:ind w:left="1418" w:right="1418"/>
    </w:pPr>
  </w:style>
  <w:style w:type="table" w:styleId="LightShading">
    <w:name w:val="Light Shading"/>
    <w:basedOn w:val="TableNormal"/>
    <w:uiPriority w:val="60"/>
    <w:rsid w:val="009B714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chTabletext">
    <w:name w:val="Sch Table text"/>
    <w:basedOn w:val="TableNormal"/>
    <w:uiPriority w:val="99"/>
    <w:rsid w:val="00E06A77"/>
    <w:pPr>
      <w:jc w:val="center"/>
    </w:pPr>
    <w:rPr>
      <w:rFonts w:ascii="Calibri" w:hAnsi="Calibri"/>
    </w:rPr>
    <w:tblPr>
      <w:jc w:val="center"/>
      <w:tblInd w:w="0" w:type="dxa"/>
      <w:tblBorders>
        <w:bottom w:val="single" w:sz="8" w:space="0" w:color="808080" w:themeColor="background1" w:themeShade="80"/>
        <w:insideH w:val="single" w:sz="8" w:space="0" w:color="808080" w:themeColor="background1" w:themeShade="80"/>
      </w:tblBorders>
      <w:tblCellMar>
        <w:top w:w="0" w:type="dxa"/>
        <w:left w:w="108" w:type="dxa"/>
        <w:bottom w:w="0" w:type="dxa"/>
        <w:right w:w="108" w:type="dxa"/>
      </w:tblCellMar>
    </w:tblPr>
    <w:trPr>
      <w:cantSplit/>
      <w:jc w:val="center"/>
    </w:trPr>
    <w:tcPr>
      <w:vAlign w:val="center"/>
    </w:tcPr>
    <w:tblStylePr w:type="firstRow">
      <w:pPr>
        <w:wordWrap/>
        <w:ind w:leftChars="0" w:left="0" w:rightChars="0" w:right="0"/>
        <w:mirrorIndents w:val="0"/>
        <w:jc w:val="center"/>
      </w:pPr>
      <w:rPr>
        <w:rFonts w:ascii="Calibri" w:hAnsi="Calibri"/>
        <w:b/>
      </w:rPr>
      <w:tblPr/>
      <w:tcPr>
        <w:tcBorders>
          <w:top w:val="single" w:sz="8" w:space="0" w:color="auto"/>
          <w:bottom w:val="single" w:sz="8" w:space="0" w:color="auto"/>
        </w:tcBorders>
      </w:tcPr>
    </w:tblStylePr>
    <w:tblStylePr w:type="lastRow">
      <w:tblPr/>
      <w:tcPr>
        <w:tcBorders>
          <w:bottom w:val="single" w:sz="8" w:space="0" w:color="auto"/>
        </w:tcBorders>
      </w:tcPr>
    </w:tblStylePr>
    <w:tblStylePr w:type="firstCol">
      <w:pPr>
        <w:jc w:val="right"/>
      </w:pPr>
    </w:tblStylePr>
    <w:tblStylePr w:type="nwCell">
      <w:pPr>
        <w:jc w:val="right"/>
      </w:pPr>
      <w:rPr>
        <w:b/>
      </w:rPr>
    </w:tblStylePr>
  </w:style>
  <w:style w:type="paragraph" w:customStyle="1" w:styleId="Schnumberedtext">
    <w:name w:val="Sch numbered text"/>
    <w:basedOn w:val="Scheduletext"/>
    <w:rsid w:val="00CA2DB7"/>
    <w:pPr>
      <w:numPr>
        <w:numId w:val="76"/>
      </w:numPr>
    </w:pPr>
  </w:style>
  <w:style w:type="paragraph" w:customStyle="1" w:styleId="Heading0Chapter">
    <w:name w:val="Heading 0: Chapter"/>
    <w:basedOn w:val="Normal"/>
    <w:next w:val="Normal"/>
    <w:uiPriority w:val="19"/>
    <w:rsid w:val="00D2348A"/>
    <w:pPr>
      <w:keepNext/>
      <w:tabs>
        <w:tab w:val="num" w:pos="709"/>
      </w:tabs>
      <w:spacing w:after="240"/>
      <w:ind w:left="709" w:hanging="709"/>
      <w:outlineLvl w:val="0"/>
    </w:pPr>
    <w:rPr>
      <w:rFonts w:ascii="Calibri Bold" w:hAnsi="Calibri Bold"/>
      <w:b/>
      <w:szCs w:val="24"/>
      <w:lang w:eastAsia="en-US"/>
    </w:rPr>
  </w:style>
  <w:style w:type="character" w:customStyle="1" w:styleId="BodyTextChar">
    <w:name w:val="Body Text Char"/>
    <w:basedOn w:val="DefaultParagraphFont"/>
    <w:link w:val="BodyText"/>
    <w:rsid w:val="00D2348A"/>
    <w:rPr>
      <w:rFonts w:ascii="Calibri" w:hAnsi="Calibri"/>
      <w:sz w:val="24"/>
      <w:lang w:eastAsia="en-GB"/>
    </w:rPr>
  </w:style>
  <w:style w:type="paragraph" w:customStyle="1" w:styleId="NumberedL1-Indent">
    <w:name w:val="Numbered L1 - Indent"/>
    <w:basedOn w:val="Normal"/>
    <w:next w:val="Normal"/>
    <w:uiPriority w:val="63"/>
    <w:qFormat/>
    <w:rsid w:val="005F7078"/>
    <w:pPr>
      <w:numPr>
        <w:numId w:val="32"/>
      </w:numPr>
      <w:spacing w:after="240" w:line="264" w:lineRule="atLeast"/>
    </w:pPr>
    <w:rPr>
      <w:szCs w:val="24"/>
      <w:lang w:eastAsia="en-US"/>
    </w:rPr>
  </w:style>
  <w:style w:type="character" w:customStyle="1" w:styleId="Emphasis-Bold">
    <w:name w:val="Emphasis - Bold"/>
    <w:qFormat/>
    <w:rsid w:val="005F7078"/>
    <w:rPr>
      <w:b/>
    </w:rPr>
  </w:style>
  <w:style w:type="table" w:customStyle="1" w:styleId="Table-ComComblack">
    <w:name w:val="Table - ComCom black"/>
    <w:basedOn w:val="TableNormal"/>
    <w:uiPriority w:val="99"/>
    <w:rsid w:val="00565544"/>
    <w:pPr>
      <w:spacing w:before="60" w:after="60" w:line="264" w:lineRule="auto"/>
      <w:ind w:left="57" w:right="57"/>
    </w:pPr>
    <w:rPr>
      <w:rFonts w:ascii="Calibri" w:hAnsi="Calibri"/>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blStylePr w:type="lastCol">
      <w:pPr>
        <w:tabs>
          <w:tab w:val="decimal" w:pos="851"/>
        </w:tabs>
      </w:pPr>
    </w:tblStylePr>
  </w:style>
  <w:style w:type="paragraph" w:customStyle="1" w:styleId="Para1">
    <w:name w:val="Para 1"/>
    <w:basedOn w:val="BodyText"/>
    <w:qFormat/>
    <w:rsid w:val="007C2FA2"/>
    <w:pPr>
      <w:tabs>
        <w:tab w:val="num" w:pos="709"/>
      </w:tabs>
      <w:ind w:left="709" w:hanging="709"/>
    </w:pPr>
  </w:style>
  <w:style w:type="paragraph" w:customStyle="1" w:styleId="Para2">
    <w:name w:val="Para 2"/>
    <w:basedOn w:val="BodyText"/>
    <w:qFormat/>
    <w:rsid w:val="007C2FA2"/>
    <w:pPr>
      <w:tabs>
        <w:tab w:val="num" w:pos="1418"/>
      </w:tabs>
      <w:ind w:left="1418" w:hanging="709"/>
    </w:pPr>
  </w:style>
  <w:style w:type="paragraph" w:customStyle="1" w:styleId="Para3">
    <w:name w:val="Para 3"/>
    <w:basedOn w:val="Para2"/>
    <w:qFormat/>
    <w:rsid w:val="007C2FA2"/>
    <w:pPr>
      <w:tabs>
        <w:tab w:val="clear" w:pos="1418"/>
        <w:tab w:val="num" w:pos="2126"/>
      </w:tabs>
      <w:ind w:left="2126" w:hanging="708"/>
    </w:pPr>
  </w:style>
  <w:style w:type="paragraph" w:customStyle="1" w:styleId="Para4">
    <w:name w:val="Para 4"/>
    <w:basedOn w:val="Para3"/>
    <w:qFormat/>
    <w:rsid w:val="007C2FA2"/>
    <w:pPr>
      <w:tabs>
        <w:tab w:val="clear" w:pos="2126"/>
        <w:tab w:val="num" w:pos="2835"/>
      </w:tabs>
      <w:ind w:left="2835" w:hanging="709"/>
    </w:pPr>
  </w:style>
  <w:style w:type="paragraph" w:customStyle="1" w:styleId="Title-Table">
    <w:name w:val="Title - Table"/>
    <w:basedOn w:val="Normal"/>
    <w:next w:val="Para1"/>
    <w:uiPriority w:val="6"/>
    <w:qFormat/>
    <w:rsid w:val="00CC285C"/>
    <w:pPr>
      <w:keepNext/>
      <w:keepLines/>
      <w:spacing w:before="240" w:after="120"/>
      <w:ind w:left="709" w:hanging="709"/>
      <w:jc w:val="center"/>
      <w:outlineLvl w:val="8"/>
    </w:pPr>
    <w:rPr>
      <w:b/>
      <w:szCs w:val="24"/>
      <w:lang w:eastAsia="en-US"/>
    </w:rPr>
  </w:style>
  <w:style w:type="paragraph" w:customStyle="1" w:styleId="Tabletext-Centred">
    <w:name w:val="Table text - Centred"/>
    <w:basedOn w:val="Tabletext"/>
    <w:uiPriority w:val="99"/>
    <w:rsid w:val="00CC285C"/>
    <w:pPr>
      <w:numPr>
        <w:numId w:val="38"/>
      </w:numPr>
      <w:jc w:val="center"/>
    </w:pPr>
  </w:style>
  <w:style w:type="paragraph" w:customStyle="1" w:styleId="Tabletext">
    <w:name w:val="Table text"/>
    <w:basedOn w:val="Normal"/>
    <w:uiPriority w:val="99"/>
    <w:qFormat/>
    <w:rsid w:val="00CC285C"/>
    <w:pPr>
      <w:spacing w:before="60" w:after="60" w:line="264" w:lineRule="atLeast"/>
    </w:pPr>
    <w:rPr>
      <w:sz w:val="20"/>
      <w:szCs w:val="24"/>
      <w:lang w:eastAsia="en-US"/>
    </w:rPr>
  </w:style>
  <w:style w:type="character" w:styleId="PlaceholderText">
    <w:name w:val="Placeholder Text"/>
    <w:basedOn w:val="DefaultParagraphFont"/>
    <w:uiPriority w:val="99"/>
    <w:semiHidden/>
    <w:rsid w:val="0040744E"/>
    <w:rPr>
      <w:color w:val="808080"/>
    </w:rPr>
  </w:style>
  <w:style w:type="character" w:customStyle="1" w:styleId="UnnumberedL2Char">
    <w:name w:val="Unnumbered L2 Char"/>
    <w:basedOn w:val="BodyTextChar"/>
    <w:link w:val="UnnumberedL2"/>
    <w:uiPriority w:val="51"/>
    <w:rsid w:val="00C238ED"/>
    <w:rPr>
      <w:rFonts w:ascii="Calibri" w:hAnsi="Calibri"/>
      <w:sz w:val="24"/>
      <w:szCs w:val="24"/>
      <w:lang w:eastAsia="en-US"/>
    </w:rPr>
  </w:style>
  <w:style w:type="paragraph" w:customStyle="1" w:styleId="UnnumberedL2">
    <w:name w:val="Unnumbered L2"/>
    <w:basedOn w:val="BodyText"/>
    <w:link w:val="UnnumberedL2Char"/>
    <w:uiPriority w:val="51"/>
    <w:qFormat/>
    <w:rsid w:val="00C238ED"/>
    <w:pPr>
      <w:ind w:left="709"/>
    </w:pPr>
    <w:rPr>
      <w:szCs w:val="24"/>
      <w:lang w:eastAsia="en-US"/>
    </w:rPr>
  </w:style>
  <w:style w:type="paragraph" w:customStyle="1" w:styleId="Default">
    <w:name w:val="Default"/>
    <w:rsid w:val="007D2C51"/>
    <w:pPr>
      <w:autoSpaceDE w:val="0"/>
      <w:autoSpaceDN w:val="0"/>
      <w:adjustRightInd w:val="0"/>
    </w:pPr>
    <w:rPr>
      <w:rFonts w:ascii="Calibri" w:hAnsi="Calibri" w:cs="Calibri"/>
      <w:color w:val="000000"/>
      <w:sz w:val="24"/>
      <w:szCs w:val="24"/>
    </w:rPr>
  </w:style>
  <w:style w:type="character" w:customStyle="1" w:styleId="BodyTextIndentChar">
    <w:name w:val="Body Text Indent Char"/>
    <w:basedOn w:val="DefaultParagraphFont"/>
    <w:link w:val="BodyTextIndent"/>
    <w:rsid w:val="00321F81"/>
    <w:rPr>
      <w:rFonts w:ascii="Calibri" w:hAnsi="Calibri"/>
      <w:sz w:val="24"/>
      <w:lang w:eastAsia="en-GB"/>
    </w:rPr>
  </w:style>
  <w:style w:type="paragraph" w:styleId="ListParagraph">
    <w:name w:val="List Paragraph"/>
    <w:basedOn w:val="Normal"/>
    <w:uiPriority w:val="34"/>
    <w:semiHidden/>
    <w:qFormat/>
    <w:rsid w:val="00F406D1"/>
    <w:pPr>
      <w:ind w:left="720"/>
      <w:contextualSpacing/>
    </w:pPr>
  </w:style>
  <w:style w:type="paragraph" w:customStyle="1" w:styleId="Title-Figure">
    <w:name w:val="Title - Figure"/>
    <w:basedOn w:val="Normal"/>
    <w:next w:val="Para1"/>
    <w:uiPriority w:val="5"/>
    <w:qFormat/>
    <w:rsid w:val="00536995"/>
    <w:pPr>
      <w:keepNext/>
      <w:keepLines/>
      <w:spacing w:before="240" w:after="120"/>
      <w:ind w:left="709" w:hanging="709"/>
      <w:jc w:val="center"/>
      <w:outlineLvl w:val="7"/>
    </w:pPr>
    <w:rPr>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9636">
      <w:bodyDiv w:val="1"/>
      <w:marLeft w:val="0"/>
      <w:marRight w:val="0"/>
      <w:marTop w:val="0"/>
      <w:marBottom w:val="0"/>
      <w:divBdr>
        <w:top w:val="none" w:sz="0" w:space="0" w:color="auto"/>
        <w:left w:val="none" w:sz="0" w:space="0" w:color="auto"/>
        <w:bottom w:val="none" w:sz="0" w:space="0" w:color="auto"/>
        <w:right w:val="none" w:sz="0" w:space="0" w:color="auto"/>
      </w:divBdr>
    </w:div>
    <w:div w:id="376394254">
      <w:bodyDiv w:val="1"/>
      <w:marLeft w:val="0"/>
      <w:marRight w:val="0"/>
      <w:marTop w:val="0"/>
      <w:marBottom w:val="0"/>
      <w:divBdr>
        <w:top w:val="none" w:sz="0" w:space="0" w:color="auto"/>
        <w:left w:val="none" w:sz="0" w:space="0" w:color="auto"/>
        <w:bottom w:val="none" w:sz="0" w:space="0" w:color="auto"/>
        <w:right w:val="none" w:sz="0" w:space="0" w:color="auto"/>
      </w:divBdr>
    </w:div>
    <w:div w:id="1269045625">
      <w:bodyDiv w:val="1"/>
      <w:marLeft w:val="0"/>
      <w:marRight w:val="0"/>
      <w:marTop w:val="0"/>
      <w:marBottom w:val="0"/>
      <w:divBdr>
        <w:top w:val="none" w:sz="0" w:space="0" w:color="auto"/>
        <w:left w:val="none" w:sz="0" w:space="0" w:color="auto"/>
        <w:bottom w:val="none" w:sz="0" w:space="0" w:color="auto"/>
        <w:right w:val="none" w:sz="0" w:space="0" w:color="auto"/>
      </w:divBdr>
    </w:div>
    <w:div w:id="1564170143">
      <w:bodyDiv w:val="1"/>
      <w:marLeft w:val="0"/>
      <w:marRight w:val="0"/>
      <w:marTop w:val="0"/>
      <w:marBottom w:val="0"/>
      <w:divBdr>
        <w:top w:val="none" w:sz="0" w:space="0" w:color="auto"/>
        <w:left w:val="none" w:sz="0" w:space="0" w:color="auto"/>
        <w:bottom w:val="none" w:sz="0" w:space="0" w:color="auto"/>
        <w:right w:val="none" w:sz="0" w:space="0" w:color="auto"/>
      </w:divBdr>
    </w:div>
    <w:div w:id="1633053106">
      <w:bodyDiv w:val="1"/>
      <w:marLeft w:val="0"/>
      <w:marRight w:val="0"/>
      <w:marTop w:val="0"/>
      <w:marBottom w:val="0"/>
      <w:divBdr>
        <w:top w:val="none" w:sz="0" w:space="0" w:color="auto"/>
        <w:left w:val="none" w:sz="0" w:space="0" w:color="auto"/>
        <w:bottom w:val="none" w:sz="0" w:space="0" w:color="auto"/>
        <w:right w:val="none" w:sz="0" w:space="0" w:color="auto"/>
      </w:divBdr>
    </w:div>
    <w:div w:id="20152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oleObject" Target="embeddings/oleObject17.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8.bin"/><Relationship Id="rId48" Type="http://schemas.openxmlformats.org/officeDocument/2006/relationships/oleObject" Target="embeddings/oleObject22.bin"/><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oleObject" Target="embeddings/oleObject25.bin"/><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D7183-FF9F-495F-9A66-70267633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12786</Words>
  <Characters>71438</Characters>
  <Application>Microsoft Office Word</Application>
  <DocSecurity>0</DocSecurity>
  <Lines>595</Lines>
  <Paragraphs>168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2014-10-30T23:13:00Z</dcterms:created>
  <dcterms:modified xsi:type="dcterms:W3CDTF">2014-10-31T02:22:00Z</dcterms:modified>
</cp:coreProperties>
</file>