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page" w:horzAnchor="margin" w:tblpY="2409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6815"/>
      </w:tblGrid>
      <w:tr w:rsidR="00CA368F" w14:paraId="655958BA" w14:textId="77777777" w:rsidTr="00CA368F">
        <w:trPr>
          <w:trHeight w:val="1020"/>
        </w:trPr>
        <w:tc>
          <w:tcPr>
            <w:tcW w:w="9026" w:type="dxa"/>
            <w:gridSpan w:val="2"/>
            <w:shd w:val="clear" w:color="auto" w:fill="auto"/>
          </w:tcPr>
          <w:p w14:paraId="3516D87E" w14:textId="77777777" w:rsidR="00CA368F" w:rsidRDefault="00CA368F" w:rsidP="00CA368F">
            <w:pPr>
              <w:pStyle w:val="Title"/>
            </w:pPr>
          </w:p>
          <w:p w14:paraId="487C3AA8" w14:textId="77777777" w:rsidR="00CA368F" w:rsidRDefault="00CA368F" w:rsidP="00CA368F">
            <w:pPr>
              <w:pStyle w:val="Title"/>
            </w:pPr>
          </w:p>
          <w:p w14:paraId="60E3138C" w14:textId="77777777" w:rsidR="00CA368F" w:rsidRDefault="00CA368F" w:rsidP="00CA368F">
            <w:pPr>
              <w:pStyle w:val="Title"/>
            </w:pPr>
          </w:p>
          <w:p w14:paraId="0271DDDF" w14:textId="77777777" w:rsidR="00CA368F" w:rsidRDefault="00CA368F" w:rsidP="00CA368F">
            <w:pPr>
              <w:pStyle w:val="Title"/>
            </w:pPr>
            <w:r>
              <w:t>Default price-quality paths for electricity distribution businesses from 1 April 2025</w:t>
            </w:r>
          </w:p>
        </w:tc>
      </w:tr>
      <w:tr w:rsidR="00CA368F" w:rsidRPr="0091331C" w14:paraId="4B85A965" w14:textId="77777777" w:rsidTr="00CA368F">
        <w:tc>
          <w:tcPr>
            <w:tcW w:w="9026" w:type="dxa"/>
            <w:gridSpan w:val="2"/>
            <w:shd w:val="clear" w:color="auto" w:fill="auto"/>
          </w:tcPr>
          <w:p w14:paraId="2FADB190" w14:textId="11EE89D8" w:rsidR="00CA368F" w:rsidRPr="00610D0C" w:rsidRDefault="00CA368F" w:rsidP="00CA368F">
            <w:pPr>
              <w:pStyle w:val="Sub-titleheadingDoesnotshowupinContentsPage"/>
              <w:rPr>
                <w:color w:val="C00000"/>
              </w:rPr>
            </w:pPr>
            <w:r w:rsidRPr="00610D0C">
              <w:rPr>
                <w:color w:val="C00000"/>
              </w:rPr>
              <w:t>Guidance</w:t>
            </w:r>
            <w:r w:rsidR="00610D0C">
              <w:rPr>
                <w:color w:val="C00000"/>
              </w:rPr>
              <w:t xml:space="preserve"> and t</w:t>
            </w:r>
            <w:r w:rsidR="0051746A" w:rsidRPr="00610D0C">
              <w:rPr>
                <w:color w:val="C00000"/>
              </w:rPr>
              <w:t>emplate</w:t>
            </w:r>
            <w:r w:rsidRPr="00610D0C">
              <w:rPr>
                <w:color w:val="C00000"/>
              </w:rPr>
              <w:t xml:space="preserve"> for submissions on </w:t>
            </w:r>
            <w:r w:rsidR="002D77B5">
              <w:rPr>
                <w:color w:val="C00000"/>
              </w:rPr>
              <w:t>d</w:t>
            </w:r>
            <w:r w:rsidRPr="00610D0C">
              <w:rPr>
                <w:color w:val="C00000"/>
              </w:rPr>
              <w:t xml:space="preserve">raft </w:t>
            </w:r>
            <w:r w:rsidR="00610D0C">
              <w:rPr>
                <w:color w:val="C00000"/>
              </w:rPr>
              <w:t>d</w:t>
            </w:r>
            <w:r w:rsidRPr="00610D0C">
              <w:rPr>
                <w:color w:val="C00000"/>
              </w:rPr>
              <w:t>ecisions</w:t>
            </w:r>
          </w:p>
          <w:p w14:paraId="3581B190" w14:textId="77777777" w:rsidR="00CA368F" w:rsidRPr="0091331C" w:rsidRDefault="00CA368F" w:rsidP="00CA368F">
            <w:pPr>
              <w:pStyle w:val="Sub-titleheadingDoesnotshowupinContentsPage"/>
            </w:pPr>
          </w:p>
        </w:tc>
      </w:tr>
      <w:tr w:rsidR="00CA368F" w14:paraId="2AE94169" w14:textId="77777777" w:rsidTr="00CA368F">
        <w:trPr>
          <w:trHeight w:val="2324"/>
        </w:trPr>
        <w:tc>
          <w:tcPr>
            <w:tcW w:w="9026" w:type="dxa"/>
            <w:gridSpan w:val="2"/>
            <w:shd w:val="clear" w:color="auto" w:fill="auto"/>
          </w:tcPr>
          <w:p w14:paraId="61C0577D" w14:textId="77777777" w:rsidR="00CA368F" w:rsidRDefault="00CA368F" w:rsidP="00CA368F"/>
        </w:tc>
      </w:tr>
      <w:tr w:rsidR="00CA368F" w14:paraId="1270EB49" w14:textId="77777777" w:rsidTr="00CA368F">
        <w:tc>
          <w:tcPr>
            <w:tcW w:w="2211" w:type="dxa"/>
            <w:shd w:val="clear" w:color="auto" w:fill="auto"/>
          </w:tcPr>
          <w:p w14:paraId="517F1B4E" w14:textId="77777777" w:rsidR="00CA368F" w:rsidRDefault="00CA368F" w:rsidP="00CA368F">
            <w:r w:rsidRPr="00555564">
              <w:rPr>
                <w:b/>
              </w:rPr>
              <w:t>Date of publication:</w:t>
            </w:r>
          </w:p>
        </w:tc>
        <w:sdt>
          <w:sdtPr>
            <w:id w:val="-315649717"/>
            <w:placeholder>
              <w:docPart w:val="9B0E58395FC948FA826804B7352C34DF"/>
            </w:placeholder>
            <w:date w:fullDate="2024-05-29T00:00:00Z">
              <w:dateFormat w:val="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815" w:type="dxa"/>
                <w:shd w:val="clear" w:color="auto" w:fill="auto"/>
              </w:tcPr>
              <w:p w14:paraId="14476817" w14:textId="77777777" w:rsidR="00CA368F" w:rsidRDefault="00CA368F" w:rsidP="00CA368F">
                <w:r>
                  <w:t>29 May 2024</w:t>
                </w:r>
              </w:p>
            </w:tc>
          </w:sdtContent>
        </w:sdt>
      </w:tr>
      <w:tr w:rsidR="00CA368F" w14:paraId="25A679D5" w14:textId="77777777" w:rsidTr="00CA368F">
        <w:trPr>
          <w:trHeight w:val="437"/>
        </w:trPr>
        <w:tc>
          <w:tcPr>
            <w:tcW w:w="9026" w:type="dxa"/>
            <w:gridSpan w:val="2"/>
            <w:shd w:val="clear" w:color="auto" w:fill="auto"/>
          </w:tcPr>
          <w:p w14:paraId="10FF1A73" w14:textId="77777777" w:rsidR="00CA368F" w:rsidRDefault="00CA368F" w:rsidP="00CA368F"/>
        </w:tc>
      </w:tr>
    </w:tbl>
    <w:p w14:paraId="7FC6C217" w14:textId="77777777" w:rsidR="00BE2168" w:rsidRDefault="00BE2168"/>
    <w:p w14:paraId="31ABA08A" w14:textId="77777777" w:rsidR="00BE2168" w:rsidRDefault="00BE2168"/>
    <w:p w14:paraId="030EC6DE" w14:textId="77777777" w:rsidR="00BE2168" w:rsidRDefault="00BE2168"/>
    <w:p w14:paraId="55A1E4D4" w14:textId="77777777" w:rsidR="008C0157" w:rsidRDefault="008C0157"/>
    <w:p w14:paraId="781BC3A8" w14:textId="77777777" w:rsidR="008C0157" w:rsidRDefault="008C0157"/>
    <w:p w14:paraId="6C9EC0F4" w14:textId="77777777" w:rsidR="008C0157" w:rsidRDefault="008C0157"/>
    <w:p w14:paraId="1412DEDF" w14:textId="77777777" w:rsidR="008C0157" w:rsidRDefault="008C0157"/>
    <w:p w14:paraId="2704D5D5" w14:textId="77777777" w:rsidR="008C0157" w:rsidRDefault="008C0157"/>
    <w:p w14:paraId="3C94FBAF" w14:textId="77777777" w:rsidR="008C0157" w:rsidRDefault="008C0157"/>
    <w:p w14:paraId="16634576" w14:textId="77777777" w:rsidR="008C0157" w:rsidRDefault="008C0157"/>
    <w:p w14:paraId="526EF32C" w14:textId="77777777" w:rsidR="008C0157" w:rsidRDefault="008C0157"/>
    <w:p w14:paraId="446C3DFA" w14:textId="77777777" w:rsidR="008C0157" w:rsidRDefault="008C0157"/>
    <w:p w14:paraId="1B96BFF2" w14:textId="77777777" w:rsidR="008C0157" w:rsidRDefault="008C0157"/>
    <w:p w14:paraId="3797ECDC" w14:textId="77777777" w:rsidR="008C0157" w:rsidRDefault="008C0157"/>
    <w:p w14:paraId="2BDD8907" w14:textId="77777777" w:rsidR="008C0157" w:rsidRDefault="008C0157"/>
    <w:p w14:paraId="11DB9744" w14:textId="77777777" w:rsidR="008927F4" w:rsidRDefault="008927F4"/>
    <w:p w14:paraId="25FB8F8E" w14:textId="77777777" w:rsidR="008927F4" w:rsidRDefault="008927F4"/>
    <w:p w14:paraId="34730B02" w14:textId="77777777" w:rsidR="008C0157" w:rsidRDefault="008C0157"/>
    <w:p w14:paraId="3674451C" w14:textId="77777777" w:rsidR="008C0157" w:rsidRDefault="008C0157"/>
    <w:p w14:paraId="186204C6" w14:textId="035DD85B" w:rsidR="008C0157" w:rsidRPr="00CA368F" w:rsidRDefault="00CA368F" w:rsidP="00CA368F">
      <w:pPr>
        <w:keepNext/>
        <w:spacing w:after="120"/>
        <w:outlineLvl w:val="0"/>
        <w:rPr>
          <w:b/>
          <w:sz w:val="28"/>
        </w:rPr>
      </w:pPr>
      <w:r w:rsidRPr="00CA368F">
        <w:rPr>
          <w:b/>
          <w:sz w:val="28"/>
        </w:rPr>
        <w:lastRenderedPageBreak/>
        <w:t>Purpose of this document</w:t>
      </w:r>
    </w:p>
    <w:p w14:paraId="015FA281" w14:textId="427531E0" w:rsidR="0072124E" w:rsidRDefault="008C0157" w:rsidP="001A487F">
      <w:pPr>
        <w:pStyle w:val="ListParagraph"/>
        <w:numPr>
          <w:ilvl w:val="0"/>
          <w:numId w:val="23"/>
        </w:numPr>
        <w:spacing w:after="240" w:line="264" w:lineRule="atLeast"/>
      </w:pPr>
      <w:r w:rsidRPr="008C0157">
        <w:t xml:space="preserve">This document </w:t>
      </w:r>
      <w:r>
        <w:t xml:space="preserve">lists the DPP4 draft decisions and requests submitters to </w:t>
      </w:r>
      <w:r w:rsidR="00EC35BD">
        <w:t>s</w:t>
      </w:r>
      <w:r>
        <w:t>hare their views below each group of decisions.</w:t>
      </w:r>
      <w:r w:rsidR="00BC3666" w:rsidRPr="00BC3666">
        <w:t xml:space="preserve"> </w:t>
      </w:r>
      <w:r w:rsidR="00BC3666">
        <w:t>We</w:t>
      </w:r>
      <w:r w:rsidR="00C97EB2">
        <w:t xml:space="preserve"> have provided </w:t>
      </w:r>
      <w:r w:rsidR="00014CC1">
        <w:t>the following</w:t>
      </w:r>
      <w:r w:rsidR="00B065FA">
        <w:t xml:space="preserve"> </w:t>
      </w:r>
      <w:r w:rsidR="00C97EB2">
        <w:t>template for submitters to use,</w:t>
      </w:r>
      <w:r w:rsidR="00C97EB2" w:rsidRPr="00A30AFE">
        <w:t xml:space="preserve"> </w:t>
      </w:r>
      <w:r w:rsidR="00C97EB2">
        <w:t>if they wish, to prepare their submission</w:t>
      </w:r>
      <w:r w:rsidR="247171BD">
        <w:t>s</w:t>
      </w:r>
      <w:r w:rsidR="00B065FA">
        <w:t>.</w:t>
      </w:r>
      <w:r w:rsidR="009D7C79">
        <w:t xml:space="preserve"> </w:t>
      </w:r>
      <w:r w:rsidR="00A62111">
        <w:br/>
      </w:r>
    </w:p>
    <w:p w14:paraId="417DADB9" w14:textId="25072C87" w:rsidR="0072124E" w:rsidRDefault="009D7C79" w:rsidP="001A487F">
      <w:pPr>
        <w:pStyle w:val="ListParagraph"/>
        <w:numPr>
          <w:ilvl w:val="0"/>
          <w:numId w:val="23"/>
        </w:numPr>
        <w:spacing w:after="240" w:line="264" w:lineRule="atLeast"/>
      </w:pPr>
      <w:r>
        <w:t>W</w:t>
      </w:r>
      <w:r w:rsidR="00014CC1">
        <w:t>e</w:t>
      </w:r>
      <w:r w:rsidR="00BC3666">
        <w:t xml:space="preserve"> prefer submissions in both a format suitable for word processing (such as Microsoft Word document) as well as a ‘locked’ format (such as a PDF) for publication on our website. </w:t>
      </w:r>
      <w:r w:rsidR="008C0157">
        <w:t xml:space="preserve"> </w:t>
      </w:r>
      <w:r w:rsidR="00A62111">
        <w:br/>
      </w:r>
    </w:p>
    <w:p w14:paraId="7DCCD305" w14:textId="1F43FBD4" w:rsidR="00CA368F" w:rsidRDefault="00CA368F" w:rsidP="001A487F">
      <w:pPr>
        <w:pStyle w:val="ListParagraph"/>
        <w:numPr>
          <w:ilvl w:val="0"/>
          <w:numId w:val="23"/>
        </w:numPr>
        <w:spacing w:after="240" w:line="264" w:lineRule="atLeast"/>
      </w:pPr>
      <w:r w:rsidRPr="00CA368F">
        <w:t xml:space="preserve">Submissions on </w:t>
      </w:r>
      <w:r>
        <w:t xml:space="preserve">the </w:t>
      </w:r>
      <w:r w:rsidR="00795B57">
        <w:t>d</w:t>
      </w:r>
      <w:r>
        <w:t>raft decisions are</w:t>
      </w:r>
      <w:r w:rsidRPr="00CA368F">
        <w:t xml:space="preserve"> due </w:t>
      </w:r>
      <w:r w:rsidR="00795B57" w:rsidRPr="0072124E">
        <w:rPr>
          <w:b/>
          <w:bCs/>
        </w:rPr>
        <w:t xml:space="preserve">5pm </w:t>
      </w:r>
      <w:r w:rsidRPr="0072124E">
        <w:rPr>
          <w:b/>
          <w:bCs/>
        </w:rPr>
        <w:t xml:space="preserve">Friday, </w:t>
      </w:r>
      <w:r w:rsidR="0065724A" w:rsidRPr="0072124E">
        <w:rPr>
          <w:b/>
          <w:bCs/>
          <w:color w:val="000000" w:themeColor="text1"/>
        </w:rPr>
        <w:t>12 July 2024</w:t>
      </w:r>
      <w:r w:rsidRPr="00CA368F">
        <w:t>. Cross-submission</w:t>
      </w:r>
      <w:r>
        <w:t>s</w:t>
      </w:r>
      <w:r w:rsidRPr="00CA368F">
        <w:t xml:space="preserve"> are due </w:t>
      </w:r>
      <w:r w:rsidR="0065724A">
        <w:t>by</w:t>
      </w:r>
      <w:r w:rsidRPr="001A487F">
        <w:rPr>
          <w:color w:val="FF0000"/>
        </w:rPr>
        <w:t xml:space="preserve"> </w:t>
      </w:r>
      <w:r w:rsidR="0065724A" w:rsidRPr="0072124E">
        <w:rPr>
          <w:b/>
          <w:bCs/>
        </w:rPr>
        <w:t>5pm on Friday, 2 August 2024</w:t>
      </w:r>
      <w:r w:rsidRPr="00CA368F">
        <w:t>.</w:t>
      </w:r>
      <w:r w:rsidR="00A62111">
        <w:br/>
      </w:r>
    </w:p>
    <w:p w14:paraId="02DB744D" w14:textId="0E20C41E" w:rsidR="00386A4A" w:rsidRDefault="0065724A" w:rsidP="001A487F">
      <w:pPr>
        <w:pStyle w:val="ListParagraph"/>
        <w:numPr>
          <w:ilvl w:val="0"/>
          <w:numId w:val="23"/>
        </w:numPr>
        <w:spacing w:after="240" w:line="264" w:lineRule="atLeast"/>
      </w:pPr>
      <w:r>
        <w:t xml:space="preserve">Submissions should be addressed to Ben Woodham, Electricity Distribution Manager c/o </w:t>
      </w:r>
      <w:hyperlink r:id="rId7" w:history="1">
        <w:r w:rsidR="00BC3666" w:rsidRPr="00414A18">
          <w:rPr>
            <w:rStyle w:val="Hyperlink"/>
          </w:rPr>
          <w:t>infrastructure.regulation@comcom.govt.nz</w:t>
        </w:r>
      </w:hyperlink>
      <w:r w:rsidR="00BC3666">
        <w:t xml:space="preserve"> .</w:t>
      </w:r>
      <w:r>
        <w:t xml:space="preserve"> Please include ‘Submission on EDB DPP4 Draft decision’ in the subject line of your email.</w:t>
      </w:r>
      <w:r w:rsidR="00A62111">
        <w:br/>
      </w:r>
    </w:p>
    <w:p w14:paraId="3CA4FB3B" w14:textId="2F0DBDF6" w:rsidR="00386A4A" w:rsidRPr="001A487F" w:rsidRDefault="00386A4A" w:rsidP="001A487F">
      <w:pPr>
        <w:pStyle w:val="ListParagraph"/>
        <w:numPr>
          <w:ilvl w:val="0"/>
          <w:numId w:val="23"/>
        </w:numPr>
        <w:rPr>
          <w:szCs w:val="24"/>
          <w:lang w:val="en-US"/>
        </w:rPr>
      </w:pPr>
      <w:r w:rsidRPr="001A487F">
        <w:rPr>
          <w:szCs w:val="24"/>
          <w:lang w:val="en-US"/>
        </w:rPr>
        <w:t xml:space="preserve">If you have supporting documents that you consider would improve our </w:t>
      </w:r>
      <w:r w:rsidR="006A4A29">
        <w:rPr>
          <w:szCs w:val="24"/>
          <w:lang w:val="en-US"/>
        </w:rPr>
        <w:t>u</w:t>
      </w:r>
      <w:r w:rsidRPr="001A487F">
        <w:rPr>
          <w:szCs w:val="24"/>
          <w:lang w:val="en-US"/>
        </w:rPr>
        <w:t>nderstanding of the issues, please attach them with your response and reference them in your feedback below.</w:t>
      </w:r>
    </w:p>
    <w:p w14:paraId="5875B31D" w14:textId="77777777" w:rsidR="00BE2168" w:rsidRDefault="00BE2168"/>
    <w:p w14:paraId="6736C870" w14:textId="7BDB418A" w:rsidR="002B57B0" w:rsidRDefault="002B57B0">
      <w:r>
        <w:br w:type="page"/>
      </w:r>
    </w:p>
    <w:tbl>
      <w:tblPr>
        <w:tblStyle w:val="CommissionReports-Tablestyletemplate"/>
        <w:tblW w:w="9702" w:type="dxa"/>
        <w:tblLook w:val="04A0" w:firstRow="1" w:lastRow="0" w:firstColumn="1" w:lastColumn="0" w:noHBand="0" w:noVBand="1"/>
      </w:tblPr>
      <w:tblGrid>
        <w:gridCol w:w="9702"/>
      </w:tblGrid>
      <w:tr w:rsidR="00CF2DEB" w:rsidRPr="008A5147" w14:paraId="0B4A1A3F" w14:textId="77777777" w:rsidTr="008C6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top"/>
          </w:tcPr>
          <w:p w14:paraId="26399D09" w14:textId="15E70203" w:rsidR="00CF2DEB" w:rsidRPr="008A5147" w:rsidRDefault="00CF2DEB" w:rsidP="00E1189B">
            <w:pPr>
              <w:pStyle w:val="Tablebodytext"/>
              <w:rPr>
                <w:rFonts w:asciiTheme="minorHAnsi" w:hAnsiTheme="minorHAnsi" w:cstheme="minorBidi"/>
              </w:rPr>
            </w:pPr>
            <w:r w:rsidRPr="008A5147">
              <w:rPr>
                <w:rFonts w:asciiTheme="minorHAnsi" w:hAnsiTheme="minorHAnsi" w:cstheme="minorHAnsi"/>
                <w:szCs w:val="24"/>
              </w:rPr>
              <w:lastRenderedPageBreak/>
              <w:t xml:space="preserve">Request for </w:t>
            </w:r>
            <w:r>
              <w:rPr>
                <w:rFonts w:asciiTheme="minorHAnsi" w:hAnsiTheme="minorHAnsi" w:cstheme="minorHAnsi"/>
                <w:szCs w:val="24"/>
              </w:rPr>
              <w:t>feedback on DPP4 draft decisions</w:t>
            </w:r>
          </w:p>
        </w:tc>
      </w:tr>
      <w:tr w:rsidR="00871762" w:rsidRPr="008A5147" w14:paraId="320F7448" w14:textId="77777777" w:rsidTr="008C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top"/>
          </w:tcPr>
          <w:p w14:paraId="34DD8A4D" w14:textId="0ABE1DF2" w:rsidR="00871762" w:rsidRPr="00E95E8C" w:rsidRDefault="00ED026A" w:rsidP="00A74E55">
            <w:pPr>
              <w:pStyle w:val="Tablebodytext"/>
              <w:spacing w:after="120"/>
              <w:rPr>
                <w:rFonts w:asciiTheme="minorHAnsi" w:hAnsiTheme="minorHAnsi" w:cstheme="minorHAnsi"/>
                <w:szCs w:val="24"/>
              </w:rPr>
            </w:pPr>
            <w:r w:rsidRPr="00E95E8C">
              <w:rPr>
                <w:rFonts w:cstheme="minorHAnsi"/>
                <w:szCs w:val="24"/>
              </w:rPr>
              <w:t>Capital expenditure (capex)</w:t>
            </w:r>
          </w:p>
        </w:tc>
      </w:tr>
      <w:tr w:rsidR="00BE2168" w:rsidRPr="008A5147" w14:paraId="702B5548" w14:textId="77777777" w:rsidTr="008C6A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left w:val="single" w:sz="6" w:space="0" w:color="auto"/>
              <w:right w:val="single" w:sz="6" w:space="0" w:color="auto"/>
            </w:tcBorders>
            <w:shd w:val="clear" w:color="auto" w:fill="E0E9EC"/>
            <w:vAlign w:val="top"/>
          </w:tcPr>
          <w:p w14:paraId="38C69DB5" w14:textId="70D168EB" w:rsidR="00BE2168" w:rsidRPr="00E4073F" w:rsidRDefault="00BE2168" w:rsidP="00E4073F">
            <w:pPr>
              <w:pStyle w:val="Tablebodytex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073F">
              <w:rPr>
                <w:rFonts w:asciiTheme="minorHAnsi" w:hAnsiTheme="minorHAnsi" w:cstheme="minorHAnsi"/>
                <w:bCs/>
                <w:sz w:val="22"/>
                <w:szCs w:val="22"/>
              </w:rPr>
              <w:t>Capex</w:t>
            </w:r>
          </w:p>
          <w:tbl>
            <w:tblPr>
              <w:tblStyle w:val="TableGrid"/>
              <w:tblW w:w="94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8761"/>
            </w:tblGrid>
            <w:tr w:rsidR="00E4073F" w:rsidRPr="005C583D" w14:paraId="3A58C6D6" w14:textId="77777777" w:rsidTr="007A5CC1">
              <w:tc>
                <w:tcPr>
                  <w:tcW w:w="709" w:type="dxa"/>
                  <w:shd w:val="clear" w:color="auto" w:fill="7EA0AE"/>
                </w:tcPr>
                <w:p w14:paraId="1EB3F514" w14:textId="77777777" w:rsidR="00E4073F" w:rsidRPr="003E6140" w:rsidRDefault="00E4073F" w:rsidP="00D70A8F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3E6140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C1</w:t>
                  </w:r>
                </w:p>
              </w:tc>
              <w:tc>
                <w:tcPr>
                  <w:tcW w:w="8761" w:type="dxa"/>
                </w:tcPr>
                <w:p w14:paraId="067B1171" w14:textId="77777777" w:rsidR="00E4073F" w:rsidRPr="00E4073F" w:rsidRDefault="00E4073F" w:rsidP="00D70A8F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E4073F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Use EDB 2024 AMP forecasts as the starting point for setting capex allowances.</w:t>
                  </w:r>
                </w:p>
              </w:tc>
            </w:tr>
            <w:tr w:rsidR="00E4073F" w:rsidRPr="005C583D" w14:paraId="59D655FB" w14:textId="77777777" w:rsidTr="007A5CC1">
              <w:tc>
                <w:tcPr>
                  <w:tcW w:w="709" w:type="dxa"/>
                  <w:shd w:val="clear" w:color="auto" w:fill="7EA0AE"/>
                </w:tcPr>
                <w:p w14:paraId="7AD0CEB7" w14:textId="77777777" w:rsidR="00E4073F" w:rsidRPr="003E6140" w:rsidRDefault="00E4073F" w:rsidP="00D70A8F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3E6140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C2</w:t>
                  </w:r>
                </w:p>
              </w:tc>
              <w:tc>
                <w:tcPr>
                  <w:tcW w:w="8761" w:type="dxa"/>
                </w:tcPr>
                <w:p w14:paraId="3DBB69CB" w14:textId="67E74B66" w:rsidR="00E4073F" w:rsidRPr="00E4073F" w:rsidRDefault="00E4073F" w:rsidP="00D70A8F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E4073F">
                    <w:rPr>
                      <w:rFonts w:asciiTheme="minorHAnsi" w:hAnsiTheme="minorHAnsi" w:cstheme="minorHAnsi"/>
                      <w:sz w:val="20"/>
                    </w:rPr>
                    <w:t>Set the capex allowance in constant dollars based on the lower of an EDB’s total forecast capex or 125% of its historical reference period</w:t>
                  </w:r>
                  <w:r w:rsidR="008710FB">
                    <w:rPr>
                      <w:rFonts w:asciiTheme="minorHAnsi" w:hAnsiTheme="minorHAnsi" w:cstheme="minorHAnsi"/>
                      <w:sz w:val="20"/>
                    </w:rPr>
                    <w:t xml:space="preserve"> capex</w:t>
                  </w:r>
                  <w:r w:rsidRPr="00E4073F">
                    <w:rPr>
                      <w:rFonts w:asciiTheme="minorHAnsi" w:hAnsiTheme="minorHAnsi" w:cstheme="minorHAnsi"/>
                      <w:sz w:val="20"/>
                    </w:rPr>
                    <w:t>, with an adjustment for forecast capital contributions.</w:t>
                  </w:r>
                </w:p>
              </w:tc>
            </w:tr>
            <w:tr w:rsidR="00E4073F" w:rsidRPr="005C583D" w14:paraId="4C3C52AF" w14:textId="77777777" w:rsidTr="007A5CC1">
              <w:tc>
                <w:tcPr>
                  <w:tcW w:w="709" w:type="dxa"/>
                  <w:shd w:val="clear" w:color="auto" w:fill="7EA0AE"/>
                </w:tcPr>
                <w:p w14:paraId="0EAD51BB" w14:textId="77777777" w:rsidR="00E4073F" w:rsidRPr="003E6140" w:rsidRDefault="00E4073F" w:rsidP="00D70A8F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3E6140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C3</w:t>
                  </w:r>
                </w:p>
              </w:tc>
              <w:tc>
                <w:tcPr>
                  <w:tcW w:w="8761" w:type="dxa"/>
                </w:tcPr>
                <w:p w14:paraId="714A58C4" w14:textId="77777777" w:rsidR="00E4073F" w:rsidRPr="00E4073F" w:rsidRDefault="00E4073F" w:rsidP="00D70A8F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E4073F">
                    <w:rPr>
                      <w:rFonts w:asciiTheme="minorHAnsi" w:hAnsiTheme="minorHAnsi" w:cstheme="minorHAnsi"/>
                      <w:sz w:val="20"/>
                    </w:rPr>
                    <w:t>Use a five-year historical reference period for setting capex allowances [2019 to 2023 for the draft and 2020 to 2024 for the final determination]</w:t>
                  </w:r>
                  <w:r w:rsidRPr="00E4073F">
                    <w:rPr>
                      <w:sz w:val="20"/>
                    </w:rPr>
                    <w:t xml:space="preserve"> </w:t>
                  </w:r>
                  <w:r w:rsidRPr="00E4073F">
                    <w:rPr>
                      <w:rFonts w:asciiTheme="minorHAnsi" w:hAnsiTheme="minorHAnsi" w:cstheme="minorHAnsi"/>
                      <w:sz w:val="20"/>
                    </w:rPr>
                    <w:t>with an additional cost escalation adjustment.</w:t>
                  </w:r>
                </w:p>
              </w:tc>
            </w:tr>
            <w:tr w:rsidR="00E4073F" w:rsidRPr="005C583D" w14:paraId="642D825B" w14:textId="77777777" w:rsidTr="007A5CC1">
              <w:tc>
                <w:tcPr>
                  <w:tcW w:w="709" w:type="dxa"/>
                  <w:shd w:val="clear" w:color="auto" w:fill="7EA0AE"/>
                </w:tcPr>
                <w:p w14:paraId="413CEA9A" w14:textId="77777777" w:rsidR="00E4073F" w:rsidRPr="003E6140" w:rsidRDefault="00E4073F" w:rsidP="00D70A8F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3E6140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C4</w:t>
                  </w:r>
                </w:p>
              </w:tc>
              <w:tc>
                <w:tcPr>
                  <w:tcW w:w="8761" w:type="dxa"/>
                </w:tcPr>
                <w:p w14:paraId="129473DC" w14:textId="77777777" w:rsidR="00E4073F" w:rsidRPr="00E4073F" w:rsidRDefault="00E4073F" w:rsidP="00D70A8F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E4073F">
                    <w:rPr>
                      <w:rFonts w:asciiTheme="minorHAnsi" w:hAnsiTheme="minorHAnsi" w:cstheme="minorHAnsi"/>
                      <w:sz w:val="20"/>
                    </w:rPr>
                    <w:t>Include an allowance for the cost of financing, scaled in proportion to the capex allowance.</w:t>
                  </w:r>
                </w:p>
              </w:tc>
            </w:tr>
            <w:tr w:rsidR="00E4073F" w:rsidRPr="005C583D" w14:paraId="4608EF91" w14:textId="77777777" w:rsidTr="007A5CC1">
              <w:tc>
                <w:tcPr>
                  <w:tcW w:w="709" w:type="dxa"/>
                  <w:shd w:val="clear" w:color="auto" w:fill="7EA0AE"/>
                </w:tcPr>
                <w:p w14:paraId="40EEC92E" w14:textId="77777777" w:rsidR="00E4073F" w:rsidRPr="003E6140" w:rsidRDefault="00E4073F" w:rsidP="00D70A8F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3E6140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C5</w:t>
                  </w:r>
                </w:p>
              </w:tc>
              <w:tc>
                <w:tcPr>
                  <w:tcW w:w="8761" w:type="dxa"/>
                </w:tcPr>
                <w:p w14:paraId="1D00E2C9" w14:textId="77777777" w:rsidR="00E4073F" w:rsidRPr="00E4073F" w:rsidRDefault="00E4073F" w:rsidP="00D70A8F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E4073F">
                    <w:rPr>
                      <w:rFonts w:asciiTheme="minorHAnsi" w:hAnsiTheme="minorHAnsi" w:cstheme="minorHAnsi"/>
                      <w:sz w:val="20"/>
                    </w:rPr>
                    <w:t>Include</w:t>
                  </w:r>
                  <w:r w:rsidRPr="00E4073F">
                    <w:rPr>
                      <w:sz w:val="20"/>
                    </w:rPr>
                    <w:t xml:space="preserve"> </w:t>
                  </w:r>
                  <w:r w:rsidRPr="00E4073F">
                    <w:rPr>
                      <w:rFonts w:asciiTheme="minorHAnsi" w:hAnsiTheme="minorHAnsi" w:cstheme="minorHAnsi"/>
                      <w:sz w:val="20"/>
                    </w:rPr>
                    <w:t>an allowance for the value of considerations for vested assets and spur assets equal to 2024 AMP forecasts.</w:t>
                  </w:r>
                </w:p>
              </w:tc>
            </w:tr>
            <w:tr w:rsidR="00E4073F" w:rsidRPr="005C583D" w14:paraId="2BE6F983" w14:textId="77777777" w:rsidTr="007A5CC1">
              <w:tc>
                <w:tcPr>
                  <w:tcW w:w="709" w:type="dxa"/>
                  <w:shd w:val="clear" w:color="auto" w:fill="7EA0AE"/>
                </w:tcPr>
                <w:p w14:paraId="5FDB7081" w14:textId="77777777" w:rsidR="00E4073F" w:rsidRPr="003E6140" w:rsidRDefault="00E4073F" w:rsidP="00D70A8F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3E6140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C6</w:t>
                  </w:r>
                </w:p>
              </w:tc>
              <w:tc>
                <w:tcPr>
                  <w:tcW w:w="8761" w:type="dxa"/>
                </w:tcPr>
                <w:p w14:paraId="1502EA66" w14:textId="77777777" w:rsidR="00E4073F" w:rsidRPr="00E4073F" w:rsidRDefault="00E4073F" w:rsidP="00D70A8F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E4073F">
                    <w:rPr>
                      <w:rFonts w:asciiTheme="minorHAnsi" w:hAnsiTheme="minorHAnsi" w:cstheme="minorHAnsi"/>
                      <w:sz w:val="20"/>
                    </w:rPr>
                    <w:t>Use the All-Groups CGPI forecast with an additional adjustment to escalate the constant price capex allowance to a nominal allowance.</w:t>
                  </w:r>
                </w:p>
              </w:tc>
            </w:tr>
          </w:tbl>
          <w:p w14:paraId="31E66E89" w14:textId="56528244" w:rsidR="00E4073F" w:rsidRPr="008A5147" w:rsidRDefault="00E4073F" w:rsidP="00E1189B">
            <w:pPr>
              <w:pStyle w:val="Tablebodytext"/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71762" w:rsidRPr="008A5147" w14:paraId="7667AFD2" w14:textId="77777777" w:rsidTr="00AC5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5F9F9"/>
            <w:vAlign w:val="top"/>
          </w:tcPr>
          <w:p w14:paraId="4E0E6EA5" w14:textId="31CA99D4" w:rsidR="00871762" w:rsidRDefault="008C0157" w:rsidP="00E1189B">
            <w:pPr>
              <w:pStyle w:val="Tablebodytext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15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Views/Response</w:t>
            </w:r>
            <w:r w:rsidR="002B57B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:</w:t>
            </w:r>
          </w:p>
          <w:p w14:paraId="4973B15A" w14:textId="7E332CDA" w:rsidR="00610D0C" w:rsidRPr="008C0157" w:rsidRDefault="00610D0C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AC54B2" w:rsidRPr="008A5147" w14:paraId="6A4AA9C5" w14:textId="77777777" w:rsidTr="00AC5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left w:val="single" w:sz="6" w:space="0" w:color="auto"/>
              <w:right w:val="single" w:sz="6" w:space="0" w:color="auto"/>
            </w:tcBorders>
            <w:vAlign w:val="top"/>
          </w:tcPr>
          <w:p w14:paraId="3E47F9E5" w14:textId="77777777" w:rsidR="00AC54B2" w:rsidRPr="008C0157" w:rsidRDefault="00AC54B2" w:rsidP="00E1189B">
            <w:pPr>
              <w:pStyle w:val="Tablebodytext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C54B2" w:rsidRPr="008A5147" w14:paraId="2A01561E" w14:textId="77777777" w:rsidTr="00876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5F9F9"/>
            <w:vAlign w:val="top"/>
          </w:tcPr>
          <w:p w14:paraId="704BE0F0" w14:textId="77777777" w:rsidR="00AC54B2" w:rsidRPr="008C0157" w:rsidRDefault="00AC54B2" w:rsidP="00E1189B">
            <w:pPr>
              <w:pStyle w:val="Tablebodytext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DD72C3B" w14:textId="77777777" w:rsidR="008C6AAA" w:rsidRDefault="008C6AAA">
      <w:r>
        <w:rPr>
          <w:b/>
        </w:rPr>
        <w:br w:type="page"/>
      </w:r>
    </w:p>
    <w:tbl>
      <w:tblPr>
        <w:tblStyle w:val="CommissionReports-Tablestyletemplate"/>
        <w:tblW w:w="9702" w:type="dxa"/>
        <w:tblLook w:val="04A0" w:firstRow="1" w:lastRow="0" w:firstColumn="1" w:lastColumn="0" w:noHBand="0" w:noVBand="1"/>
      </w:tblPr>
      <w:tblGrid>
        <w:gridCol w:w="9702"/>
      </w:tblGrid>
      <w:tr w:rsidR="00871762" w:rsidRPr="008A5147" w14:paraId="2642EEA9" w14:textId="77777777" w:rsidTr="008C6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E0E9EC"/>
            <w:vAlign w:val="top"/>
          </w:tcPr>
          <w:p w14:paraId="02D0FB3C" w14:textId="3EA011C9" w:rsidR="00871762" w:rsidRPr="00E95E8C" w:rsidRDefault="001C182D" w:rsidP="00E95E8C">
            <w:pPr>
              <w:pStyle w:val="Tablebodytext"/>
              <w:spacing w:after="160" w:line="240" w:lineRule="auto"/>
              <w:rPr>
                <w:rFonts w:asciiTheme="minorHAnsi" w:hAnsiTheme="minorHAnsi" w:cstheme="minorHAnsi"/>
                <w:szCs w:val="24"/>
              </w:rPr>
            </w:pPr>
            <w:r w:rsidRPr="00B862D2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>Operating expenditure (opex)</w:t>
            </w:r>
          </w:p>
        </w:tc>
      </w:tr>
      <w:tr w:rsidR="00BE2168" w:rsidRPr="008A5147" w14:paraId="43D24974" w14:textId="77777777" w:rsidTr="008C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left w:val="single" w:sz="6" w:space="0" w:color="auto"/>
              <w:right w:val="single" w:sz="6" w:space="0" w:color="auto"/>
            </w:tcBorders>
            <w:vAlign w:val="top"/>
          </w:tcPr>
          <w:p w14:paraId="0B3F4AFF" w14:textId="77777777" w:rsidR="00BE2168" w:rsidRPr="002A2085" w:rsidRDefault="00BE2168" w:rsidP="002A2085">
            <w:pPr>
              <w:pStyle w:val="Tablebodytex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A2085">
              <w:rPr>
                <w:rFonts w:asciiTheme="minorHAnsi" w:hAnsiTheme="minorHAnsi" w:cstheme="minorHAnsi"/>
                <w:sz w:val="22"/>
                <w:szCs w:val="22"/>
              </w:rPr>
              <w:t>Opex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907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8358"/>
            </w:tblGrid>
            <w:tr w:rsidR="00B349BA" w:rsidRPr="005C583D" w14:paraId="3857AC79" w14:textId="77777777" w:rsidTr="00B349BA">
              <w:tc>
                <w:tcPr>
                  <w:tcW w:w="714" w:type="dxa"/>
                  <w:shd w:val="clear" w:color="auto" w:fill="7EA0AE"/>
                </w:tcPr>
                <w:p w14:paraId="66B21567" w14:textId="77777777" w:rsidR="00B349BA" w:rsidRPr="00B349BA" w:rsidRDefault="00B349BA" w:rsidP="00B349BA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B349BA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O1.1</w:t>
                  </w:r>
                </w:p>
              </w:tc>
              <w:tc>
                <w:tcPr>
                  <w:tcW w:w="8358" w:type="dxa"/>
                </w:tcPr>
                <w:p w14:paraId="710A6F2B" w14:textId="77777777" w:rsidR="00B349BA" w:rsidRPr="005C583D" w:rsidRDefault="00B349BA" w:rsidP="00B349BA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Apply a base-step-trend approach to forecasting opex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B349BA" w:rsidRPr="005C583D" w14:paraId="58741971" w14:textId="77777777" w:rsidTr="00B349BA">
              <w:tc>
                <w:tcPr>
                  <w:tcW w:w="714" w:type="dxa"/>
                  <w:shd w:val="clear" w:color="auto" w:fill="7EA0AE"/>
                </w:tcPr>
                <w:p w14:paraId="16806E82" w14:textId="77777777" w:rsidR="00B349BA" w:rsidRPr="00B349BA" w:rsidRDefault="00B349BA" w:rsidP="00B349BA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B349BA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O1.2</w:t>
                  </w:r>
                </w:p>
              </w:tc>
              <w:tc>
                <w:tcPr>
                  <w:tcW w:w="8358" w:type="dxa"/>
                </w:tcPr>
                <w:p w14:paraId="4C3CED9A" w14:textId="77777777" w:rsidR="00B349BA" w:rsidRPr="005C583D" w:rsidRDefault="00B349BA" w:rsidP="00B349BA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Use 2024 as the base year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[</w:t>
                  </w: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2024 AMP forecasts used for the draft decision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]</w:t>
                  </w:r>
                </w:p>
              </w:tc>
            </w:tr>
          </w:tbl>
          <w:p w14:paraId="7492EE71" w14:textId="6202B44E" w:rsidR="00BE2168" w:rsidRPr="008A5147" w:rsidRDefault="00BE2168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871762" w:rsidRPr="008A5147" w14:paraId="6B3A9478" w14:textId="77777777" w:rsidTr="002940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left w:val="single" w:sz="6" w:space="0" w:color="auto"/>
              <w:right w:val="single" w:sz="6" w:space="0" w:color="auto"/>
            </w:tcBorders>
            <w:vAlign w:val="top"/>
          </w:tcPr>
          <w:p w14:paraId="7558D043" w14:textId="176C5376" w:rsidR="00871762" w:rsidRPr="008C0157" w:rsidRDefault="008C0157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C015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Views/Response</w:t>
            </w:r>
            <w:r w:rsidR="002B57B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:</w:t>
            </w:r>
          </w:p>
        </w:tc>
      </w:tr>
      <w:tr w:rsidR="008C0157" w:rsidRPr="008A5147" w14:paraId="29CDAF06" w14:textId="77777777" w:rsidTr="002B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left w:val="single" w:sz="6" w:space="0" w:color="auto"/>
              <w:right w:val="single" w:sz="6" w:space="0" w:color="auto"/>
            </w:tcBorders>
            <w:vAlign w:val="top"/>
          </w:tcPr>
          <w:p w14:paraId="4511928B" w14:textId="77777777" w:rsidR="008C0157" w:rsidRPr="00B349BA" w:rsidRDefault="008C0157" w:rsidP="006400E6">
            <w:pPr>
              <w:pStyle w:val="Tablebodytext"/>
              <w:numPr>
                <w:ilvl w:val="0"/>
                <w:numId w:val="21"/>
              </w:numPr>
              <w:spacing w:after="12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035E6E">
              <w:rPr>
                <w:rFonts w:asciiTheme="minorHAnsi" w:hAnsiTheme="minorHAnsi" w:cstheme="minorHAnsi"/>
                <w:sz w:val="22"/>
                <w:szCs w:val="22"/>
              </w:rPr>
              <w:t>Opex step changes</w:t>
            </w:r>
          </w:p>
          <w:tbl>
            <w:tblPr>
              <w:tblStyle w:val="TableGrid"/>
              <w:tblW w:w="907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8358"/>
            </w:tblGrid>
            <w:tr w:rsidR="00B56B41" w:rsidRPr="005C583D" w14:paraId="3CEFD905" w14:textId="77777777" w:rsidTr="00B56B41">
              <w:tc>
                <w:tcPr>
                  <w:tcW w:w="714" w:type="dxa"/>
                  <w:shd w:val="clear" w:color="auto" w:fill="7EA0AE"/>
                </w:tcPr>
                <w:p w14:paraId="035BF77B" w14:textId="77777777" w:rsidR="00B56B41" w:rsidRPr="00B56B41" w:rsidRDefault="00B56B41" w:rsidP="000B67E6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B56B41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O2.1</w:t>
                  </w:r>
                </w:p>
              </w:tc>
              <w:tc>
                <w:tcPr>
                  <w:tcW w:w="8358" w:type="dxa"/>
                </w:tcPr>
                <w:p w14:paraId="6357DE16" w14:textId="77777777" w:rsidR="00B56B41" w:rsidRPr="005C583D" w:rsidRDefault="00B56B41" w:rsidP="000B67E6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Consider proposed step-changes against a defined set of factors, incorporating judgement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B56B41" w:rsidRPr="005C583D" w14:paraId="46D07B89" w14:textId="77777777" w:rsidTr="00B56B41">
              <w:tc>
                <w:tcPr>
                  <w:tcW w:w="714" w:type="dxa"/>
                  <w:shd w:val="clear" w:color="auto" w:fill="7EA0AE"/>
                </w:tcPr>
                <w:p w14:paraId="5865654A" w14:textId="77777777" w:rsidR="00B56B41" w:rsidRPr="00B56B41" w:rsidRDefault="00B56B41" w:rsidP="000B67E6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B56B41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O2.2</w:t>
                  </w:r>
                </w:p>
              </w:tc>
              <w:tc>
                <w:tcPr>
                  <w:tcW w:w="8358" w:type="dxa"/>
                </w:tcPr>
                <w:p w14:paraId="1F20C273" w14:textId="77777777" w:rsidR="00B56B41" w:rsidRPr="005C583D" w:rsidRDefault="00B56B41" w:rsidP="000B67E6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Step-changes should be significant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B56B41" w:rsidRPr="005C583D" w14:paraId="7CC0A9CC" w14:textId="77777777" w:rsidTr="00B56B41">
              <w:tc>
                <w:tcPr>
                  <w:tcW w:w="714" w:type="dxa"/>
                  <w:shd w:val="clear" w:color="auto" w:fill="7EA0AE"/>
                </w:tcPr>
                <w:p w14:paraId="472014BB" w14:textId="77777777" w:rsidR="00B56B41" w:rsidRPr="00B56B41" w:rsidRDefault="00B56B41" w:rsidP="000B67E6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B56B41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O2.3</w:t>
                  </w:r>
                </w:p>
              </w:tc>
              <w:tc>
                <w:tcPr>
                  <w:tcW w:w="8358" w:type="dxa"/>
                </w:tcPr>
                <w:p w14:paraId="7BC98357" w14:textId="77777777" w:rsidR="00B56B41" w:rsidRPr="005C583D" w:rsidRDefault="00B56B41" w:rsidP="000B67E6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Step-changes should be adequately justified with reasonable evidence in the circumstances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B56B41" w:rsidRPr="005C583D" w14:paraId="70A28F10" w14:textId="77777777" w:rsidTr="00B56B41">
              <w:tc>
                <w:tcPr>
                  <w:tcW w:w="714" w:type="dxa"/>
                  <w:shd w:val="clear" w:color="auto" w:fill="7EA0AE"/>
                </w:tcPr>
                <w:p w14:paraId="063EE76E" w14:textId="77777777" w:rsidR="00B56B41" w:rsidRPr="00B56B41" w:rsidRDefault="00B56B41" w:rsidP="000B67E6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B56B41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O2.4</w:t>
                  </w:r>
                </w:p>
              </w:tc>
              <w:tc>
                <w:tcPr>
                  <w:tcW w:w="8358" w:type="dxa"/>
                </w:tcPr>
                <w:p w14:paraId="7C3DF9BC" w14:textId="77777777" w:rsidR="00B56B41" w:rsidRPr="005C583D" w:rsidRDefault="00B56B41" w:rsidP="000B67E6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Step-changes must not be included elsewhere in expenditure allowances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B56B41" w:rsidRPr="005C583D" w14:paraId="07186D86" w14:textId="77777777" w:rsidTr="00B56B41">
              <w:tc>
                <w:tcPr>
                  <w:tcW w:w="714" w:type="dxa"/>
                  <w:shd w:val="clear" w:color="auto" w:fill="7EA0AE"/>
                </w:tcPr>
                <w:p w14:paraId="27575D10" w14:textId="77777777" w:rsidR="00B56B41" w:rsidRPr="00B56B41" w:rsidRDefault="00B56B41" w:rsidP="000B67E6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B56B41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O2.5</w:t>
                  </w:r>
                </w:p>
              </w:tc>
              <w:tc>
                <w:tcPr>
                  <w:tcW w:w="8358" w:type="dxa"/>
                </w:tcPr>
                <w:p w14:paraId="76FA9AFA" w14:textId="77777777" w:rsidR="00B56B41" w:rsidRPr="005C583D" w:rsidRDefault="00B56B41" w:rsidP="000B67E6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Step-changes should have a driver outside the control of a prudent and efficient supplier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B56B41" w:rsidRPr="005C583D" w14:paraId="024240F1" w14:textId="77777777" w:rsidTr="00B56B41">
              <w:tc>
                <w:tcPr>
                  <w:tcW w:w="714" w:type="dxa"/>
                  <w:shd w:val="clear" w:color="auto" w:fill="7EA0AE"/>
                </w:tcPr>
                <w:p w14:paraId="4F2E552B" w14:textId="77777777" w:rsidR="00B56B41" w:rsidRPr="00B56B41" w:rsidRDefault="00B56B41" w:rsidP="000B67E6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B56B41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O2.6</w:t>
                  </w:r>
                </w:p>
              </w:tc>
              <w:tc>
                <w:tcPr>
                  <w:tcW w:w="8358" w:type="dxa"/>
                </w:tcPr>
                <w:p w14:paraId="17CF2EC7" w14:textId="77777777" w:rsidR="00B56B41" w:rsidRPr="005C583D" w:rsidRDefault="00B56B41" w:rsidP="000B67E6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Step-changes should be widely applicable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B56B41" w:rsidRPr="005C583D" w14:paraId="3E5FE24A" w14:textId="77777777" w:rsidTr="00B56B41">
              <w:tc>
                <w:tcPr>
                  <w:tcW w:w="714" w:type="dxa"/>
                  <w:shd w:val="clear" w:color="auto" w:fill="7EA0AE"/>
                </w:tcPr>
                <w:p w14:paraId="42C21D51" w14:textId="77777777" w:rsidR="00B56B41" w:rsidRPr="00B56B41" w:rsidRDefault="00B56B41" w:rsidP="000B67E6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B56B41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O3.1</w:t>
                  </w:r>
                </w:p>
              </w:tc>
              <w:tc>
                <w:tcPr>
                  <w:tcW w:w="8358" w:type="dxa"/>
                </w:tcPr>
                <w:p w14:paraId="031B0372" w14:textId="77777777" w:rsidR="00B56B41" w:rsidRPr="005C583D" w:rsidRDefault="00B56B41" w:rsidP="000B67E6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Include a step-change to reflect increasing insurance costs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B56B41" w:rsidRPr="005C583D" w14:paraId="00BABC16" w14:textId="77777777" w:rsidTr="00B56B41">
              <w:tc>
                <w:tcPr>
                  <w:tcW w:w="714" w:type="dxa"/>
                  <w:shd w:val="clear" w:color="auto" w:fill="7EA0AE"/>
                </w:tcPr>
                <w:p w14:paraId="7F78FB5C" w14:textId="77777777" w:rsidR="00B56B41" w:rsidRPr="00B56B41" w:rsidRDefault="00B56B41" w:rsidP="000B67E6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B56B41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O3.2</w:t>
                  </w:r>
                </w:p>
              </w:tc>
              <w:tc>
                <w:tcPr>
                  <w:tcW w:w="8358" w:type="dxa"/>
                </w:tcPr>
                <w:p w14:paraId="1ADF39D7" w14:textId="77777777" w:rsidR="00B56B41" w:rsidRPr="005C583D" w:rsidRDefault="00B56B41" w:rsidP="000B67E6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Include a step-change for greater consumer engagement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B56B41" w:rsidRPr="005C583D" w14:paraId="26BB57EA" w14:textId="77777777" w:rsidTr="00B56B41">
              <w:tc>
                <w:tcPr>
                  <w:tcW w:w="714" w:type="dxa"/>
                  <w:shd w:val="clear" w:color="auto" w:fill="7EA0AE"/>
                </w:tcPr>
                <w:p w14:paraId="16CE3657" w14:textId="77777777" w:rsidR="00B56B41" w:rsidRPr="00B56B41" w:rsidRDefault="00B56B41" w:rsidP="000B67E6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B56B41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O3.3</w:t>
                  </w:r>
                </w:p>
              </w:tc>
              <w:tc>
                <w:tcPr>
                  <w:tcW w:w="8358" w:type="dxa"/>
                </w:tcPr>
                <w:p w14:paraId="387CCC6E" w14:textId="77777777" w:rsidR="00B56B41" w:rsidRPr="005C583D" w:rsidRDefault="00B56B41" w:rsidP="000B67E6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Include a step-change for low voltage (LV) monitoring and smart meter data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B56B41" w:rsidRPr="005C583D" w14:paraId="2A1A3514" w14:textId="77777777" w:rsidTr="00B56B41">
              <w:tc>
                <w:tcPr>
                  <w:tcW w:w="714" w:type="dxa"/>
                  <w:shd w:val="clear" w:color="auto" w:fill="7EA0AE"/>
                </w:tcPr>
                <w:p w14:paraId="7C28817F" w14:textId="77777777" w:rsidR="00B56B41" w:rsidRPr="00B56B41" w:rsidRDefault="00B56B41" w:rsidP="000B67E6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B56B41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O3.4</w:t>
                  </w:r>
                </w:p>
              </w:tc>
              <w:tc>
                <w:tcPr>
                  <w:tcW w:w="8358" w:type="dxa"/>
                </w:tcPr>
                <w:p w14:paraId="5A69DB98" w14:textId="77777777" w:rsidR="00B56B41" w:rsidRPr="005C583D" w:rsidRDefault="00B56B41" w:rsidP="000B67E6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Include a step-change for increasing cyber-security costs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B56B41" w:rsidRPr="005C583D" w14:paraId="3683F1AB" w14:textId="77777777" w:rsidTr="00B56B41">
              <w:tc>
                <w:tcPr>
                  <w:tcW w:w="714" w:type="dxa"/>
                  <w:shd w:val="clear" w:color="auto" w:fill="7EA0AE"/>
                </w:tcPr>
                <w:p w14:paraId="4A731875" w14:textId="77777777" w:rsidR="00B56B41" w:rsidRPr="00B56B41" w:rsidRDefault="00B56B41" w:rsidP="000B67E6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B56B41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O3.5</w:t>
                  </w:r>
                </w:p>
              </w:tc>
              <w:tc>
                <w:tcPr>
                  <w:tcW w:w="8358" w:type="dxa"/>
                </w:tcPr>
                <w:p w14:paraId="4B91E17A" w14:textId="0FC0CD8B" w:rsidR="00B56B41" w:rsidRPr="005C583D" w:rsidRDefault="00B56B41" w:rsidP="000B67E6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Include a step-change for the costs of software</w:t>
                  </w:r>
                  <w:r w:rsidR="000D3FDA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-</w:t>
                  </w: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as</w:t>
                  </w:r>
                  <w:r w:rsidR="000D3FDA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-</w:t>
                  </w: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a</w:t>
                  </w:r>
                  <w:r w:rsidR="000D3FDA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-</w:t>
                  </w: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service (SaaS)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B56B41" w:rsidRPr="005C583D" w14:paraId="6796CA4F" w14:textId="77777777" w:rsidTr="00B56B41">
              <w:tc>
                <w:tcPr>
                  <w:tcW w:w="714" w:type="dxa"/>
                  <w:shd w:val="clear" w:color="auto" w:fill="7EA0AE"/>
                </w:tcPr>
                <w:p w14:paraId="7EDAF99F" w14:textId="77777777" w:rsidR="00B56B41" w:rsidRPr="00B56B41" w:rsidRDefault="00B56B41" w:rsidP="000B67E6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B56B41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O3.6</w:t>
                  </w:r>
                </w:p>
              </w:tc>
              <w:tc>
                <w:tcPr>
                  <w:tcW w:w="8358" w:type="dxa"/>
                </w:tcPr>
                <w:p w14:paraId="7685017B" w14:textId="77777777" w:rsidR="00B56B41" w:rsidRPr="005C583D" w:rsidRDefault="00B56B41" w:rsidP="000B67E6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Bidi"/>
                      <w:sz w:val="20"/>
                    </w:rPr>
                  </w:pPr>
                  <w:r w:rsidRPr="3CDF69F8">
                    <w:rPr>
                      <w:rStyle w:val="Tabletext-12point"/>
                      <w:rFonts w:asciiTheme="minorHAnsi" w:hAnsiTheme="minorHAnsi" w:cstheme="minorBidi"/>
                      <w:sz w:val="20"/>
                    </w:rPr>
                    <w:t>Include a negative step-change in Aurora’s indicative forecasts to capture the end of its CPP spend.</w:t>
                  </w:r>
                </w:p>
              </w:tc>
            </w:tr>
            <w:tr w:rsidR="00B56B41" w:rsidRPr="005C583D" w14:paraId="0FC00DAF" w14:textId="77777777" w:rsidTr="00B56B41">
              <w:tc>
                <w:tcPr>
                  <w:tcW w:w="714" w:type="dxa"/>
                  <w:shd w:val="clear" w:color="auto" w:fill="7EA0AE"/>
                </w:tcPr>
                <w:p w14:paraId="1EDC3801" w14:textId="77777777" w:rsidR="00B56B41" w:rsidRPr="00B56B41" w:rsidRDefault="00B56B41" w:rsidP="000B67E6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B56B41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O3.7</w:t>
                  </w:r>
                </w:p>
              </w:tc>
              <w:tc>
                <w:tcPr>
                  <w:tcW w:w="8358" w:type="dxa"/>
                </w:tcPr>
                <w:p w14:paraId="72CBCE8E" w14:textId="77777777" w:rsidR="00B56B41" w:rsidRPr="005C583D" w:rsidRDefault="00B56B41" w:rsidP="000B67E6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Bidi"/>
                      <w:sz w:val="20"/>
                    </w:rPr>
                  </w:pPr>
                  <w:r w:rsidRPr="63720A66">
                    <w:rPr>
                      <w:rStyle w:val="Tabletext-12point"/>
                      <w:rFonts w:asciiTheme="minorHAnsi" w:hAnsiTheme="minorHAnsi" w:cstheme="minorBidi"/>
                      <w:sz w:val="20"/>
                    </w:rPr>
                    <w:t>Cap aggregate step-changes (in real terms) at 5% of trended opex excluding step-changes.</w:t>
                  </w:r>
                </w:p>
              </w:tc>
            </w:tr>
          </w:tbl>
          <w:p w14:paraId="3A354CBD" w14:textId="2ABDC204" w:rsidR="00B56B41" w:rsidRPr="00B56B41" w:rsidRDefault="00B56B41" w:rsidP="00B56B41">
            <w:pPr>
              <w:pStyle w:val="Tablebodytext"/>
              <w:spacing w:after="120"/>
              <w:ind w:left="72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 </w:t>
            </w:r>
          </w:p>
        </w:tc>
      </w:tr>
      <w:tr w:rsidR="00871762" w:rsidRPr="008A5147" w14:paraId="3768D68D" w14:textId="77777777" w:rsidTr="002B57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top"/>
          </w:tcPr>
          <w:p w14:paraId="25AC3B09" w14:textId="77777777" w:rsidR="002B57B0" w:rsidRDefault="00035E6E" w:rsidP="002B57B0">
            <w:pPr>
              <w:pStyle w:val="Tablebodytext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15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Views/Response</w:t>
            </w:r>
            <w:r w:rsidR="002B57B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:</w:t>
            </w:r>
          </w:p>
          <w:p w14:paraId="4861A2B4" w14:textId="77777777" w:rsidR="002B57B0" w:rsidRDefault="002B57B0" w:rsidP="002B57B0">
            <w:pPr>
              <w:pStyle w:val="Tablebodytext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D9FC5C" w14:textId="77777777" w:rsidR="002B57B0" w:rsidRDefault="002B57B0" w:rsidP="002B57B0">
            <w:pPr>
              <w:pStyle w:val="Tablebodytext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AFB1C97" w14:textId="77777777" w:rsidR="002B57B0" w:rsidRDefault="002B57B0" w:rsidP="002B57B0">
            <w:pPr>
              <w:pStyle w:val="Tablebodytext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3859A9E" w14:textId="77777777" w:rsidR="002B57B0" w:rsidRDefault="002B57B0" w:rsidP="002B57B0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658463E" w14:textId="77777777" w:rsidR="002940E9" w:rsidRDefault="002940E9" w:rsidP="002B57B0">
            <w:pPr>
              <w:pStyle w:val="Tablebodytext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8F58CE" w14:textId="77777777" w:rsidR="002B57B0" w:rsidRDefault="002B57B0" w:rsidP="002B57B0">
            <w:pPr>
              <w:pStyle w:val="Tablebodytext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C05424" w14:textId="77C76577" w:rsidR="002B57B0" w:rsidRPr="008C0157" w:rsidRDefault="002B57B0" w:rsidP="002B57B0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6400E6" w:rsidRPr="008A5147" w14:paraId="32C0A9AA" w14:textId="77777777" w:rsidTr="005E6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top"/>
          </w:tcPr>
          <w:p w14:paraId="2F7B35EC" w14:textId="77777777" w:rsidR="006400E6" w:rsidRPr="002A2085" w:rsidRDefault="006400E6" w:rsidP="002A2085">
            <w:pPr>
              <w:pStyle w:val="Tablebodytext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A20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Opex trend factors</w:t>
            </w:r>
          </w:p>
          <w:tbl>
            <w:tblPr>
              <w:tblStyle w:val="TableGrid"/>
              <w:tblW w:w="907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8358"/>
            </w:tblGrid>
            <w:tr w:rsidR="00D60D10" w:rsidRPr="005C583D" w14:paraId="4862B83C" w14:textId="77777777" w:rsidTr="00E31025">
              <w:tc>
                <w:tcPr>
                  <w:tcW w:w="714" w:type="dxa"/>
                  <w:shd w:val="clear" w:color="auto" w:fill="7EA0AE"/>
                </w:tcPr>
                <w:p w14:paraId="0E661D75" w14:textId="77777777" w:rsidR="00D60D10" w:rsidRPr="00E31025" w:rsidRDefault="00D60D10" w:rsidP="00D60D10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E31025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O4.1</w:t>
                  </w:r>
                </w:p>
              </w:tc>
              <w:tc>
                <w:tcPr>
                  <w:tcW w:w="8358" w:type="dxa"/>
                </w:tcPr>
                <w:p w14:paraId="497C80B7" w14:textId="77777777" w:rsidR="00D60D10" w:rsidRPr="00E31025" w:rsidRDefault="00D60D10" w:rsidP="00D60D10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E31025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Escalate all opex costs using the same cost escalator.</w:t>
                  </w:r>
                </w:p>
              </w:tc>
            </w:tr>
            <w:tr w:rsidR="00D60D10" w:rsidRPr="005C583D" w14:paraId="3BE50C46" w14:textId="77777777" w:rsidTr="00E31025">
              <w:tc>
                <w:tcPr>
                  <w:tcW w:w="714" w:type="dxa"/>
                  <w:shd w:val="clear" w:color="auto" w:fill="7EA0AE"/>
                </w:tcPr>
                <w:p w14:paraId="0E42A1C7" w14:textId="77777777" w:rsidR="00D60D10" w:rsidRPr="00E31025" w:rsidRDefault="00D60D10" w:rsidP="00D60D10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E31025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O4.2</w:t>
                  </w:r>
                </w:p>
              </w:tc>
              <w:tc>
                <w:tcPr>
                  <w:tcW w:w="8358" w:type="dxa"/>
                </w:tcPr>
                <w:p w14:paraId="4C964515" w14:textId="77777777" w:rsidR="00D60D10" w:rsidRPr="00E31025" w:rsidRDefault="00D60D10" w:rsidP="00D60D10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Bidi"/>
                      <w:sz w:val="20"/>
                    </w:rPr>
                  </w:pPr>
                  <w:r w:rsidRPr="00E31025">
                    <w:rPr>
                      <w:rStyle w:val="Tabletext-12point"/>
                      <w:rFonts w:asciiTheme="minorHAnsi" w:hAnsiTheme="minorHAnsi" w:cstheme="minorBidi"/>
                      <w:sz w:val="20"/>
                    </w:rPr>
                    <w:t>Escalate opex using the all-industries labour cost (60% weighting) and a producers’ price (40%) indices, plus a 0.3% uplift to reflect EDB-specific inflation.</w:t>
                  </w:r>
                </w:p>
              </w:tc>
            </w:tr>
            <w:tr w:rsidR="00D60D10" w:rsidRPr="005C583D" w14:paraId="47C7EC01" w14:textId="77777777" w:rsidTr="00E31025">
              <w:tc>
                <w:tcPr>
                  <w:tcW w:w="714" w:type="dxa"/>
                  <w:shd w:val="clear" w:color="auto" w:fill="7EA0AE"/>
                </w:tcPr>
                <w:p w14:paraId="5D14A482" w14:textId="77777777" w:rsidR="00D60D10" w:rsidRPr="00E31025" w:rsidRDefault="00D60D10" w:rsidP="00D60D10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E31025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O5.1</w:t>
                  </w:r>
                </w:p>
              </w:tc>
              <w:tc>
                <w:tcPr>
                  <w:tcW w:w="8358" w:type="dxa"/>
                </w:tcPr>
                <w:p w14:paraId="70BAC296" w14:textId="77777777" w:rsidR="00D60D10" w:rsidRPr="00E31025" w:rsidRDefault="00D60D10" w:rsidP="00D60D10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E31025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Scale growth forecast separately for network and non-network opex.</w:t>
                  </w:r>
                </w:p>
              </w:tc>
            </w:tr>
            <w:tr w:rsidR="00D60D10" w:rsidRPr="005C583D" w14:paraId="4FB16B6B" w14:textId="77777777" w:rsidTr="00E31025">
              <w:tc>
                <w:tcPr>
                  <w:tcW w:w="714" w:type="dxa"/>
                  <w:shd w:val="clear" w:color="auto" w:fill="7EA0AE"/>
                </w:tcPr>
                <w:p w14:paraId="5BB5B169" w14:textId="77777777" w:rsidR="00D60D10" w:rsidRPr="00E31025" w:rsidRDefault="00D60D10" w:rsidP="00D60D10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E31025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O5.2</w:t>
                  </w:r>
                </w:p>
              </w:tc>
              <w:tc>
                <w:tcPr>
                  <w:tcW w:w="8358" w:type="dxa"/>
                </w:tcPr>
                <w:p w14:paraId="6AA82572" w14:textId="77777777" w:rsidR="00D60D10" w:rsidRPr="00E31025" w:rsidRDefault="00D60D10" w:rsidP="00D60D10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Bidi"/>
                      <w:sz w:val="20"/>
                    </w:rPr>
                  </w:pPr>
                  <w:r w:rsidRPr="00E31025">
                    <w:rPr>
                      <w:rStyle w:val="Tabletext-12point"/>
                      <w:rFonts w:asciiTheme="minorHAnsi" w:hAnsiTheme="minorHAnsi" w:cstheme="minorBidi"/>
                      <w:sz w:val="20"/>
                    </w:rPr>
                    <w:t>Use 2018-2024 as the reference period for scale elasticities and driver projections [2024 data available post-draft].</w:t>
                  </w:r>
                </w:p>
              </w:tc>
            </w:tr>
            <w:tr w:rsidR="00D60D10" w:rsidRPr="005C583D" w14:paraId="2A1B64BF" w14:textId="77777777" w:rsidTr="00E31025">
              <w:tc>
                <w:tcPr>
                  <w:tcW w:w="714" w:type="dxa"/>
                  <w:shd w:val="clear" w:color="auto" w:fill="7EA0AE"/>
                </w:tcPr>
                <w:p w14:paraId="6472BC03" w14:textId="77777777" w:rsidR="00D60D10" w:rsidRPr="00E31025" w:rsidRDefault="00D60D10" w:rsidP="00D60D10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E31025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O5.3</w:t>
                  </w:r>
                </w:p>
              </w:tc>
              <w:tc>
                <w:tcPr>
                  <w:tcW w:w="8358" w:type="dxa"/>
                </w:tcPr>
                <w:p w14:paraId="44D49315" w14:textId="77777777" w:rsidR="00D60D10" w:rsidRPr="00E31025" w:rsidRDefault="00D60D10" w:rsidP="00D60D10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E31025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Forecast network opex scale growth with line length (elasticity 0.52) and ICPs (0.45).</w:t>
                  </w:r>
                </w:p>
              </w:tc>
            </w:tr>
            <w:tr w:rsidR="00D60D10" w:rsidRPr="005C583D" w14:paraId="397FA4ED" w14:textId="77777777" w:rsidTr="00E31025">
              <w:tc>
                <w:tcPr>
                  <w:tcW w:w="714" w:type="dxa"/>
                  <w:shd w:val="clear" w:color="auto" w:fill="7EA0AE"/>
                </w:tcPr>
                <w:p w14:paraId="77F4BE3D" w14:textId="77777777" w:rsidR="00D60D10" w:rsidRPr="00E31025" w:rsidRDefault="00D60D10" w:rsidP="00D60D10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E31025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O5.4</w:t>
                  </w:r>
                </w:p>
              </w:tc>
              <w:tc>
                <w:tcPr>
                  <w:tcW w:w="8358" w:type="dxa"/>
                </w:tcPr>
                <w:p w14:paraId="59D0C76E" w14:textId="77777777" w:rsidR="00D60D10" w:rsidRPr="00E31025" w:rsidRDefault="00D60D10" w:rsidP="00D60D10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E31025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Forecast non-network opex scale growth with line length (elasticity 0.35), ICPs (0.22), capex (0.30).</w:t>
                  </w:r>
                </w:p>
              </w:tc>
            </w:tr>
            <w:tr w:rsidR="00D60D10" w:rsidRPr="005C583D" w14:paraId="046E647B" w14:textId="77777777" w:rsidTr="00E31025">
              <w:tc>
                <w:tcPr>
                  <w:tcW w:w="714" w:type="dxa"/>
                  <w:shd w:val="clear" w:color="auto" w:fill="7EA0AE"/>
                </w:tcPr>
                <w:p w14:paraId="70E6DA08" w14:textId="77777777" w:rsidR="00D60D10" w:rsidRPr="00E31025" w:rsidRDefault="00D60D10" w:rsidP="00D60D10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E31025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O5.5</w:t>
                  </w:r>
                </w:p>
              </w:tc>
              <w:tc>
                <w:tcPr>
                  <w:tcW w:w="8358" w:type="dxa"/>
                </w:tcPr>
                <w:p w14:paraId="4418BF44" w14:textId="3BB81598" w:rsidR="000B588D" w:rsidRPr="00E31025" w:rsidRDefault="00D60D10" w:rsidP="00D60D10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E31025">
                    <w:rPr>
                      <w:rFonts w:asciiTheme="minorHAnsi" w:hAnsiTheme="minorHAnsi" w:cstheme="minorHAnsi"/>
                      <w:sz w:val="20"/>
                    </w:rPr>
                    <w:t>Forecast lines length extrapolated using recent growth rate trend, and irregular data adjusted.</w:t>
                  </w:r>
                </w:p>
              </w:tc>
            </w:tr>
            <w:tr w:rsidR="000B588D" w:rsidRPr="005C583D" w14:paraId="2CE47E0A" w14:textId="77777777" w:rsidTr="00E31025">
              <w:tc>
                <w:tcPr>
                  <w:tcW w:w="714" w:type="dxa"/>
                  <w:shd w:val="clear" w:color="auto" w:fill="7EA0AE"/>
                </w:tcPr>
                <w:p w14:paraId="401185D9" w14:textId="7C013D9B" w:rsidR="000B588D" w:rsidRPr="00E31025" w:rsidRDefault="00AD1CF0" w:rsidP="00D60D10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O</w:t>
                  </w:r>
                  <w:r w:rsidR="00D42639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5.6</w:t>
                  </w:r>
                </w:p>
              </w:tc>
              <w:tc>
                <w:tcPr>
                  <w:tcW w:w="8358" w:type="dxa"/>
                </w:tcPr>
                <w:p w14:paraId="7B48A4BA" w14:textId="6D7F090C" w:rsidR="000B588D" w:rsidRPr="00E31025" w:rsidRDefault="00AD1CF0" w:rsidP="00D60D10">
                  <w:pPr>
                    <w:pStyle w:val="BodyText"/>
                    <w:spacing w:before="20" w:after="20"/>
                    <w:rPr>
                      <w:rFonts w:asciiTheme="minorHAnsi" w:hAnsiTheme="minorHAnsi" w:cstheme="minorHAnsi"/>
                      <w:sz w:val="20"/>
                    </w:rPr>
                  </w:pPr>
                  <w:r w:rsidRPr="00AD1CF0">
                    <w:rPr>
                      <w:rFonts w:asciiTheme="minorHAnsi" w:hAnsiTheme="minorHAnsi" w:cstheme="minorHAnsi"/>
                      <w:sz w:val="20"/>
                    </w:rPr>
                    <w:t>Forecast ICP count extrapolated using recent growth rate trend, and irregular data adjusted.</w:t>
                  </w:r>
                </w:p>
              </w:tc>
            </w:tr>
            <w:tr w:rsidR="000B588D" w:rsidRPr="005C583D" w14:paraId="0F65522F" w14:textId="77777777" w:rsidTr="00E31025">
              <w:tc>
                <w:tcPr>
                  <w:tcW w:w="714" w:type="dxa"/>
                  <w:shd w:val="clear" w:color="auto" w:fill="7EA0AE"/>
                </w:tcPr>
                <w:p w14:paraId="11116211" w14:textId="2B62196B" w:rsidR="000B588D" w:rsidRPr="00E31025" w:rsidRDefault="00D42639" w:rsidP="00D60D10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O5.7</w:t>
                  </w:r>
                </w:p>
              </w:tc>
              <w:tc>
                <w:tcPr>
                  <w:tcW w:w="8358" w:type="dxa"/>
                </w:tcPr>
                <w:p w14:paraId="62EBE962" w14:textId="7814E5D2" w:rsidR="000B588D" w:rsidRPr="00E31025" w:rsidRDefault="00864B5A" w:rsidP="00D60D10">
                  <w:pPr>
                    <w:pStyle w:val="BodyText"/>
                    <w:spacing w:before="20" w:after="20"/>
                    <w:rPr>
                      <w:rFonts w:asciiTheme="minorHAnsi" w:hAnsiTheme="minorHAnsi" w:cstheme="minorHAnsi"/>
                      <w:sz w:val="20"/>
                    </w:rPr>
                  </w:pPr>
                  <w:r w:rsidRPr="00864B5A">
                    <w:rPr>
                      <w:rFonts w:asciiTheme="minorHAnsi" w:hAnsiTheme="minorHAnsi" w:cstheme="minorHAnsi"/>
                      <w:sz w:val="20"/>
                    </w:rPr>
                    <w:t>Forecast capex based on a constant growth.</w:t>
                  </w:r>
                </w:p>
              </w:tc>
            </w:tr>
            <w:tr w:rsidR="000B588D" w:rsidRPr="005C583D" w14:paraId="147E79DD" w14:textId="77777777" w:rsidTr="00E31025">
              <w:tc>
                <w:tcPr>
                  <w:tcW w:w="714" w:type="dxa"/>
                  <w:shd w:val="clear" w:color="auto" w:fill="7EA0AE"/>
                </w:tcPr>
                <w:p w14:paraId="67C3DC86" w14:textId="023126C6" w:rsidR="000B588D" w:rsidRPr="00E31025" w:rsidRDefault="00D42639" w:rsidP="00D60D10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O</w:t>
                  </w:r>
                  <w:r w:rsidR="00864B5A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6.1</w:t>
                  </w:r>
                </w:p>
              </w:tc>
              <w:tc>
                <w:tcPr>
                  <w:tcW w:w="8358" w:type="dxa"/>
                </w:tcPr>
                <w:p w14:paraId="5FEFFB09" w14:textId="369EBB1F" w:rsidR="000B588D" w:rsidRPr="00E31025" w:rsidRDefault="00E27291" w:rsidP="00D60D10">
                  <w:pPr>
                    <w:pStyle w:val="BodyText"/>
                    <w:spacing w:before="20" w:after="20"/>
                    <w:rPr>
                      <w:rFonts w:asciiTheme="minorHAnsi" w:hAnsiTheme="minorHAnsi" w:cstheme="minorHAnsi"/>
                      <w:sz w:val="20"/>
                    </w:rPr>
                  </w:pPr>
                  <w:r w:rsidRPr="00E27291">
                    <w:rPr>
                      <w:rFonts w:asciiTheme="minorHAnsi" w:hAnsiTheme="minorHAnsi" w:cstheme="minorHAnsi"/>
                      <w:sz w:val="20"/>
                    </w:rPr>
                    <w:t>Apply an opex partial productivity factor of 0%.</w:t>
                  </w:r>
                </w:p>
              </w:tc>
            </w:tr>
          </w:tbl>
          <w:p w14:paraId="57DF760D" w14:textId="1C4C2B2B" w:rsidR="006400E6" w:rsidRPr="008A5147" w:rsidRDefault="00151BC2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 </w:t>
            </w:r>
          </w:p>
        </w:tc>
      </w:tr>
      <w:tr w:rsidR="00871762" w:rsidRPr="008A5147" w14:paraId="5329D13F" w14:textId="77777777" w:rsidTr="005E6E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left w:val="single" w:sz="6" w:space="0" w:color="auto"/>
              <w:right w:val="single" w:sz="6" w:space="0" w:color="auto"/>
            </w:tcBorders>
            <w:vAlign w:val="top"/>
          </w:tcPr>
          <w:p w14:paraId="2439A98A" w14:textId="2CF19F67" w:rsidR="00871762" w:rsidRPr="008C0157" w:rsidRDefault="008C0157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C015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Views/Response</w:t>
            </w:r>
          </w:p>
        </w:tc>
      </w:tr>
      <w:tr w:rsidR="00ED026A" w:rsidRPr="008A5147" w14:paraId="562BC035" w14:textId="77777777" w:rsidTr="005E6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left w:val="single" w:sz="6" w:space="0" w:color="auto"/>
              <w:right w:val="single" w:sz="6" w:space="0" w:color="auto"/>
            </w:tcBorders>
            <w:vAlign w:val="top"/>
          </w:tcPr>
          <w:p w14:paraId="70430535" w14:textId="0AC78AF8" w:rsidR="00ED026A" w:rsidRPr="00E95E8C" w:rsidRDefault="00C53013" w:rsidP="00E95E8C">
            <w:pPr>
              <w:pStyle w:val="Tablebodytext"/>
              <w:spacing w:after="120"/>
              <w:rPr>
                <w:rFonts w:asciiTheme="minorHAnsi" w:hAnsiTheme="minorHAnsi" w:cstheme="minorHAnsi"/>
                <w:szCs w:val="24"/>
              </w:rPr>
            </w:pPr>
            <w:r w:rsidRPr="00E95E8C">
              <w:rPr>
                <w:rFonts w:asciiTheme="minorHAnsi" w:hAnsiTheme="minorHAnsi" w:cstheme="minorHAnsi"/>
                <w:szCs w:val="24"/>
              </w:rPr>
              <w:t>Innovation and section 54Q incentives</w:t>
            </w:r>
          </w:p>
        </w:tc>
      </w:tr>
      <w:tr w:rsidR="008C0157" w:rsidRPr="008A5147" w14:paraId="00D7A34A" w14:textId="77777777" w:rsidTr="008C6A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left w:val="single" w:sz="6" w:space="0" w:color="auto"/>
              <w:right w:val="single" w:sz="6" w:space="0" w:color="auto"/>
            </w:tcBorders>
            <w:shd w:val="clear" w:color="auto" w:fill="E0E9EC"/>
            <w:vAlign w:val="top"/>
          </w:tcPr>
          <w:p w14:paraId="527154D9" w14:textId="77777777" w:rsidR="008C0157" w:rsidRDefault="008C0157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5. </w:t>
            </w:r>
            <w:r w:rsidRPr="002A2085">
              <w:rPr>
                <w:rFonts w:asciiTheme="minorHAnsi" w:hAnsiTheme="minorHAnsi" w:cstheme="minorHAnsi"/>
                <w:sz w:val="22"/>
                <w:szCs w:val="22"/>
              </w:rPr>
              <w:t>Innovation, energy efficiency and demand-side management</w:t>
            </w:r>
          </w:p>
          <w:tbl>
            <w:tblPr>
              <w:tblStyle w:val="TableGrid"/>
              <w:tblW w:w="907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8358"/>
            </w:tblGrid>
            <w:tr w:rsidR="007A5CC1" w:rsidRPr="005C583D" w14:paraId="20DA162E" w14:textId="77777777" w:rsidTr="007A5CC1">
              <w:tc>
                <w:tcPr>
                  <w:tcW w:w="714" w:type="dxa"/>
                  <w:shd w:val="clear" w:color="auto" w:fill="7EA0AE"/>
                </w:tcPr>
                <w:p w14:paraId="0A92CE4E" w14:textId="77777777" w:rsidR="007A5CC1" w:rsidRPr="00321925" w:rsidRDefault="007A5CC1" w:rsidP="000D693F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321925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U1</w:t>
                  </w:r>
                </w:p>
              </w:tc>
              <w:tc>
                <w:tcPr>
                  <w:tcW w:w="8358" w:type="dxa"/>
                </w:tcPr>
                <w:p w14:paraId="70EBCB10" w14:textId="6D8358EF" w:rsidR="007A5CC1" w:rsidRPr="005C583D" w:rsidRDefault="007A5CC1" w:rsidP="000D693F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 xml:space="preserve">Introduce an Innovation and </w:t>
                  </w:r>
                  <w:r w:rsidR="00DC3DE3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N</w:t>
                  </w: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 xml:space="preserve">on-traditional </w:t>
                  </w:r>
                  <w:r w:rsidR="00DC3DE3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S</w:t>
                  </w: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 xml:space="preserve">olutions </w:t>
                  </w:r>
                  <w:r w:rsidR="00DC3DE3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A</w:t>
                  </w: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llowance (INTSA), capped at 0.6%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7A5CC1" w:rsidRPr="005C583D" w14:paraId="1CB6E01C" w14:textId="77777777" w:rsidTr="007A5CC1">
              <w:trPr>
                <w:trHeight w:val="70"/>
              </w:trPr>
              <w:tc>
                <w:tcPr>
                  <w:tcW w:w="714" w:type="dxa"/>
                  <w:shd w:val="clear" w:color="auto" w:fill="7EA0AE"/>
                </w:tcPr>
                <w:p w14:paraId="6991B5CE" w14:textId="77777777" w:rsidR="007A5CC1" w:rsidRPr="00321925" w:rsidRDefault="007A5CC1" w:rsidP="000D693F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321925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U2</w:t>
                  </w:r>
                </w:p>
              </w:tc>
              <w:tc>
                <w:tcPr>
                  <w:tcW w:w="8358" w:type="dxa"/>
                </w:tcPr>
                <w:p w14:paraId="7AE7766B" w14:textId="77777777" w:rsidR="007A5CC1" w:rsidRPr="005C583D" w:rsidRDefault="007A5CC1" w:rsidP="000D693F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Incentivise energy efficiency and demand-side management incentives through the INTSA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7A5CC1" w:rsidRPr="005C583D" w14:paraId="7AA9FD4C" w14:textId="77777777" w:rsidTr="007A5CC1">
              <w:tc>
                <w:tcPr>
                  <w:tcW w:w="714" w:type="dxa"/>
                  <w:shd w:val="clear" w:color="auto" w:fill="7EA0AE"/>
                </w:tcPr>
                <w:p w14:paraId="2EC041C1" w14:textId="77777777" w:rsidR="007A5CC1" w:rsidRPr="00321925" w:rsidRDefault="007A5CC1" w:rsidP="000D693F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321925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U3</w:t>
                  </w:r>
                </w:p>
              </w:tc>
              <w:tc>
                <w:tcPr>
                  <w:tcW w:w="8358" w:type="dxa"/>
                </w:tcPr>
                <w:p w14:paraId="4CC347E5" w14:textId="77777777" w:rsidR="007A5CC1" w:rsidRPr="005C583D" w:rsidRDefault="007A5CC1" w:rsidP="000D693F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Do not introduce a reduction of energy losses incentive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</w:tbl>
          <w:p w14:paraId="4BA48037" w14:textId="37CC414D" w:rsidR="00151BC2" w:rsidRPr="008A5147" w:rsidRDefault="007A5CC1" w:rsidP="00E1189B">
            <w:pPr>
              <w:pStyle w:val="Tablebodytext"/>
              <w:spacing w:after="120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 xml:space="preserve">  </w:t>
            </w:r>
          </w:p>
        </w:tc>
      </w:tr>
      <w:tr w:rsidR="00871762" w:rsidRPr="008A5147" w14:paraId="71F41407" w14:textId="77777777" w:rsidTr="002B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5F9F9"/>
            <w:vAlign w:val="top"/>
          </w:tcPr>
          <w:p w14:paraId="6B9FF12C" w14:textId="3C08C722" w:rsidR="00871762" w:rsidRPr="008C0157" w:rsidRDefault="008C0157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C015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Views/Response</w:t>
            </w:r>
            <w:r w:rsidR="00AA303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:</w:t>
            </w:r>
          </w:p>
        </w:tc>
      </w:tr>
    </w:tbl>
    <w:p w14:paraId="3DB80174" w14:textId="77777777" w:rsidR="009D772D" w:rsidRDefault="009D772D">
      <w:r>
        <w:rPr>
          <w:b/>
        </w:rPr>
        <w:br w:type="page"/>
      </w:r>
    </w:p>
    <w:tbl>
      <w:tblPr>
        <w:tblStyle w:val="CommissionReports-Tablestyletemplate"/>
        <w:tblW w:w="9702" w:type="dxa"/>
        <w:tblLook w:val="04A0" w:firstRow="1" w:lastRow="0" w:firstColumn="1" w:lastColumn="0" w:noHBand="0" w:noVBand="1"/>
      </w:tblPr>
      <w:tblGrid>
        <w:gridCol w:w="9702"/>
      </w:tblGrid>
      <w:tr w:rsidR="00ED026A" w:rsidRPr="008A5147" w14:paraId="7F9B047E" w14:textId="77777777" w:rsidTr="008C6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E0E9EC"/>
            <w:vAlign w:val="top"/>
          </w:tcPr>
          <w:p w14:paraId="19BCEB49" w14:textId="3D95FA81" w:rsidR="00ED026A" w:rsidRPr="00E95E8C" w:rsidRDefault="00C53013" w:rsidP="00E95E8C">
            <w:pPr>
              <w:pStyle w:val="Tablebodytext"/>
              <w:spacing w:after="120"/>
              <w:rPr>
                <w:rFonts w:asciiTheme="minorHAnsi" w:hAnsiTheme="minorHAnsi" w:cstheme="minorHAnsi"/>
                <w:szCs w:val="24"/>
              </w:rPr>
            </w:pPr>
            <w:r w:rsidRPr="009D772D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 xml:space="preserve">Quality </w:t>
            </w:r>
          </w:p>
        </w:tc>
      </w:tr>
      <w:tr w:rsidR="008C0157" w:rsidRPr="008A5147" w14:paraId="3766DD86" w14:textId="77777777" w:rsidTr="0040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left w:val="single" w:sz="6" w:space="0" w:color="auto"/>
              <w:right w:val="single" w:sz="6" w:space="0" w:color="auto"/>
            </w:tcBorders>
            <w:vAlign w:val="top"/>
          </w:tcPr>
          <w:p w14:paraId="407C8D3B" w14:textId="38B5E507" w:rsidR="008C0157" w:rsidRPr="002A2085" w:rsidRDefault="004860ED" w:rsidP="004860ED">
            <w:pPr>
              <w:pStyle w:val="Tablebodytext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  <w:r w:rsidR="008C0157" w:rsidRPr="002A2085">
              <w:rPr>
                <w:rFonts w:asciiTheme="minorHAnsi" w:hAnsiTheme="minorHAnsi" w:cstheme="minorHAnsi"/>
                <w:sz w:val="22"/>
                <w:szCs w:val="22"/>
              </w:rPr>
              <w:t>Quality standards</w:t>
            </w:r>
          </w:p>
          <w:tbl>
            <w:tblPr>
              <w:tblStyle w:val="TableGrid"/>
              <w:tblW w:w="907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8358"/>
            </w:tblGrid>
            <w:tr w:rsidR="007A5CC1" w:rsidRPr="005C583D" w14:paraId="1B6101CD" w14:textId="77777777" w:rsidTr="007A5CC1">
              <w:tc>
                <w:tcPr>
                  <w:tcW w:w="714" w:type="dxa"/>
                  <w:shd w:val="clear" w:color="auto" w:fill="7EA0AE"/>
                </w:tcPr>
                <w:p w14:paraId="31580DC7" w14:textId="77777777" w:rsidR="007A5CC1" w:rsidRPr="00321925" w:rsidRDefault="007A5CC1" w:rsidP="00C46613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321925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QS1</w:t>
                  </w:r>
                </w:p>
              </w:tc>
              <w:tc>
                <w:tcPr>
                  <w:tcW w:w="8358" w:type="dxa"/>
                </w:tcPr>
                <w:p w14:paraId="4079CAAC" w14:textId="77777777" w:rsidR="007A5CC1" w:rsidRPr="005C583D" w:rsidRDefault="007A5CC1" w:rsidP="00C46613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Maintain separate standards for planned and unplanned SAIDI and SAIFI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7A5CC1" w:rsidRPr="005C583D" w14:paraId="0FF6759F" w14:textId="77777777" w:rsidTr="007A5CC1">
              <w:tc>
                <w:tcPr>
                  <w:tcW w:w="714" w:type="dxa"/>
                  <w:shd w:val="clear" w:color="auto" w:fill="7EA0AE"/>
                </w:tcPr>
                <w:p w14:paraId="738EDCBA" w14:textId="77777777" w:rsidR="007A5CC1" w:rsidRPr="00321925" w:rsidRDefault="007A5CC1" w:rsidP="00C46613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321925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QS2</w:t>
                  </w:r>
                </w:p>
              </w:tc>
              <w:tc>
                <w:tcPr>
                  <w:tcW w:w="8358" w:type="dxa"/>
                </w:tcPr>
                <w:p w14:paraId="6035EDF3" w14:textId="77777777" w:rsidR="007A5CC1" w:rsidRPr="005C583D" w:rsidRDefault="007A5CC1" w:rsidP="00C46613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Bidi"/>
                      <w:sz w:val="20"/>
                    </w:rPr>
                  </w:pPr>
                  <w:r w:rsidRPr="700BC950">
                    <w:rPr>
                      <w:rStyle w:val="Tabletext-12point"/>
                      <w:rFonts w:asciiTheme="minorHAnsi" w:hAnsiTheme="minorHAnsi" w:cstheme="minorBidi"/>
                      <w:sz w:val="20"/>
                    </w:rPr>
                    <w:t>Retain annual unplanned reliability standards for SAIDI and SAIFI.</w:t>
                  </w:r>
                </w:p>
              </w:tc>
            </w:tr>
            <w:tr w:rsidR="007A5CC1" w:rsidRPr="005C583D" w14:paraId="42207FDA" w14:textId="77777777" w:rsidTr="007A5CC1">
              <w:tc>
                <w:tcPr>
                  <w:tcW w:w="714" w:type="dxa"/>
                  <w:shd w:val="clear" w:color="auto" w:fill="7EA0AE"/>
                </w:tcPr>
                <w:p w14:paraId="7D0B0F47" w14:textId="77777777" w:rsidR="007A5CC1" w:rsidRPr="00321925" w:rsidRDefault="007A5CC1" w:rsidP="00C46613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321925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QS3</w:t>
                  </w:r>
                </w:p>
              </w:tc>
              <w:tc>
                <w:tcPr>
                  <w:tcW w:w="8358" w:type="dxa"/>
                </w:tcPr>
                <w:p w14:paraId="7CF0EF7D" w14:textId="77777777" w:rsidR="007A5CC1" w:rsidRPr="005C583D" w:rsidRDefault="007A5CC1" w:rsidP="00C46613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 xml:space="preserve">Retain the 2.0 standard deviation buffer for setting the unplanned 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 xml:space="preserve">interruptions </w:t>
                  </w: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reliability standards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7A5CC1" w:rsidRPr="005C583D" w14:paraId="7D428C53" w14:textId="77777777" w:rsidTr="007A5CC1">
              <w:tc>
                <w:tcPr>
                  <w:tcW w:w="714" w:type="dxa"/>
                  <w:shd w:val="clear" w:color="auto" w:fill="7EA0AE"/>
                </w:tcPr>
                <w:p w14:paraId="73D5A855" w14:textId="77777777" w:rsidR="007A5CC1" w:rsidRPr="00321925" w:rsidRDefault="007A5CC1" w:rsidP="00C46613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321925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QS4</w:t>
                  </w:r>
                </w:p>
              </w:tc>
              <w:tc>
                <w:tcPr>
                  <w:tcW w:w="8358" w:type="dxa"/>
                </w:tcPr>
                <w:p w14:paraId="4A74C8A7" w14:textId="77777777" w:rsidR="007A5CC1" w:rsidRPr="005C583D" w:rsidRDefault="007A5CC1" w:rsidP="00C46613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Maintain regulatory period length standard for planned SAIDI and SAIFI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7A5CC1" w:rsidRPr="005C583D" w14:paraId="6A264069" w14:textId="77777777" w:rsidTr="007A5CC1">
              <w:tc>
                <w:tcPr>
                  <w:tcW w:w="714" w:type="dxa"/>
                  <w:shd w:val="clear" w:color="auto" w:fill="7EA0AE"/>
                </w:tcPr>
                <w:p w14:paraId="7D0E4E4D" w14:textId="77777777" w:rsidR="007A5CC1" w:rsidRPr="00321925" w:rsidRDefault="007A5CC1" w:rsidP="00C46613">
                  <w:pPr>
                    <w:pStyle w:val="BodyText"/>
                    <w:spacing w:before="20" w:after="20"/>
                    <w:rPr>
                      <w:rStyle w:val="Emphasis-BOLD"/>
                      <w:rFonts w:asciiTheme="minorHAnsi" w:hAnsiTheme="minorHAnsi" w:cstheme="minorHAnsi"/>
                      <w:b w:val="0"/>
                      <w:color w:val="FFFFFF" w:themeColor="background1"/>
                    </w:rPr>
                  </w:pPr>
                  <w:r w:rsidRPr="00321925">
                    <w:rPr>
                      <w:rStyle w:val="Emphasis-BOLD"/>
                      <w:rFonts w:asciiTheme="minorHAnsi" w:hAnsiTheme="minorHAnsi" w:cstheme="minorHAnsi"/>
                      <w:b w:val="0"/>
                      <w:color w:val="FFFFFF" w:themeColor="background1"/>
                    </w:rPr>
                    <w:t>QS5</w:t>
                  </w:r>
                </w:p>
              </w:tc>
              <w:tc>
                <w:tcPr>
                  <w:tcW w:w="8358" w:type="dxa"/>
                </w:tcPr>
                <w:p w14:paraId="067C506E" w14:textId="77777777" w:rsidR="007A5CC1" w:rsidRPr="005C583D" w:rsidRDefault="007A5CC1" w:rsidP="00C46613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 xml:space="preserve">Change the planned reliability buffer for the planned </w:t>
                  </w:r>
                  <w:proofErr w:type="gramStart"/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interruption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s</w:t>
                  </w:r>
                  <w:proofErr w:type="gramEnd"/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 xml:space="preserve"> reliability standard to be a 100% uplift on the historic average, capped at a +/- 10% movement from the current standard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7A5CC1" w:rsidRPr="005C583D" w14:paraId="293F18EF" w14:textId="77777777" w:rsidTr="007A5CC1">
              <w:tc>
                <w:tcPr>
                  <w:tcW w:w="714" w:type="dxa"/>
                  <w:shd w:val="clear" w:color="auto" w:fill="7EA0AE"/>
                </w:tcPr>
                <w:p w14:paraId="5881DBAD" w14:textId="77777777" w:rsidR="007A5CC1" w:rsidRPr="00321925" w:rsidRDefault="007A5CC1" w:rsidP="00C46613">
                  <w:pPr>
                    <w:pStyle w:val="BodyText"/>
                    <w:spacing w:before="20" w:after="20"/>
                    <w:rPr>
                      <w:rStyle w:val="Emphasis-BOLD"/>
                      <w:rFonts w:asciiTheme="minorHAnsi" w:hAnsiTheme="minorHAnsi" w:cstheme="minorHAnsi"/>
                      <w:color w:val="FFFFFF" w:themeColor="background1"/>
                    </w:rPr>
                  </w:pPr>
                  <w:r w:rsidRPr="00321925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QS6</w:t>
                  </w:r>
                </w:p>
              </w:tc>
              <w:tc>
                <w:tcPr>
                  <w:tcW w:w="8358" w:type="dxa"/>
                </w:tcPr>
                <w:p w14:paraId="7EAC0B6C" w14:textId="77777777" w:rsidR="007A5CC1" w:rsidRPr="005C583D" w:rsidRDefault="007A5CC1" w:rsidP="00C46613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Bidi"/>
                      <w:sz w:val="20"/>
                    </w:rPr>
                  </w:pPr>
                  <w:r w:rsidRPr="00CF5523">
                    <w:rPr>
                      <w:rStyle w:val="Tabletext-12point"/>
                      <w:rFonts w:asciiTheme="minorHAnsi" w:hAnsiTheme="minorHAnsi" w:cstheme="minorBidi"/>
                      <w:sz w:val="20"/>
                    </w:rPr>
                    <w:t>De-weight</w:t>
                  </w:r>
                  <w:r w:rsidRPr="700BC950">
                    <w:rPr>
                      <w:rStyle w:val="Tabletext-12point"/>
                      <w:rFonts w:asciiTheme="minorHAnsi" w:hAnsiTheme="minorHAnsi" w:cstheme="minorBidi"/>
                      <w:sz w:val="20"/>
                    </w:rPr>
                    <w:t xml:space="preserve"> the </w:t>
                  </w:r>
                  <w:r w:rsidRPr="00CF5523">
                    <w:rPr>
                      <w:rStyle w:val="Tabletext-12point"/>
                      <w:rFonts w:asciiTheme="minorHAnsi" w:hAnsiTheme="minorHAnsi" w:cstheme="minorBidi"/>
                      <w:sz w:val="20"/>
                    </w:rPr>
                    <w:t xml:space="preserve">impact </w:t>
                  </w:r>
                  <w:r w:rsidRPr="700BC950">
                    <w:rPr>
                      <w:rStyle w:val="Tabletext-12point"/>
                      <w:rFonts w:asciiTheme="minorHAnsi" w:hAnsiTheme="minorHAnsi" w:cstheme="minorBidi"/>
                      <w:sz w:val="20"/>
                    </w:rPr>
                    <w:t xml:space="preserve">of notified planned interruptions </w:t>
                  </w:r>
                  <w:r w:rsidRPr="00CF5523">
                    <w:rPr>
                      <w:rStyle w:val="Tabletext-12point"/>
                      <w:rFonts w:asciiTheme="minorHAnsi" w:hAnsiTheme="minorHAnsi" w:cstheme="minorBidi"/>
                      <w:sz w:val="20"/>
                    </w:rPr>
                    <w:t xml:space="preserve">by 50% </w:t>
                  </w:r>
                  <w:r w:rsidRPr="700BC950">
                    <w:rPr>
                      <w:rStyle w:val="Tabletext-12point"/>
                      <w:rFonts w:asciiTheme="minorHAnsi" w:hAnsiTheme="minorHAnsi" w:cstheme="minorBidi"/>
                      <w:sz w:val="20"/>
                    </w:rPr>
                    <w:t>in the assessment of compliance with planned interruption standards.</w:t>
                  </w:r>
                </w:p>
              </w:tc>
            </w:tr>
            <w:tr w:rsidR="007A5CC1" w:rsidRPr="005C583D" w14:paraId="504C94F9" w14:textId="77777777" w:rsidTr="007A5CC1">
              <w:tc>
                <w:tcPr>
                  <w:tcW w:w="714" w:type="dxa"/>
                  <w:shd w:val="clear" w:color="auto" w:fill="7EA0AE"/>
                </w:tcPr>
                <w:p w14:paraId="74AC5579" w14:textId="77777777" w:rsidR="007A5CC1" w:rsidRPr="00321925" w:rsidRDefault="007A5CC1" w:rsidP="00C46613">
                  <w:pPr>
                    <w:pStyle w:val="BodyText"/>
                    <w:spacing w:before="20" w:after="20"/>
                    <w:rPr>
                      <w:rStyle w:val="Emphasis-BOLD"/>
                      <w:rFonts w:asciiTheme="minorHAnsi" w:hAnsiTheme="minorHAnsi" w:cstheme="minorHAnsi"/>
                      <w:b w:val="0"/>
                      <w:color w:val="FFFFFF" w:themeColor="background1"/>
                    </w:rPr>
                  </w:pPr>
                  <w:r w:rsidRPr="00321925">
                    <w:rPr>
                      <w:rStyle w:val="Emphasis-BOLD"/>
                      <w:rFonts w:asciiTheme="minorHAnsi" w:hAnsiTheme="minorHAnsi" w:cstheme="minorHAnsi"/>
                      <w:b w:val="0"/>
                      <w:color w:val="FFFFFF" w:themeColor="background1"/>
                    </w:rPr>
                    <w:t>QS7</w:t>
                  </w:r>
                </w:p>
              </w:tc>
              <w:tc>
                <w:tcPr>
                  <w:tcW w:w="8358" w:type="dxa"/>
                </w:tcPr>
                <w:p w14:paraId="5472B9BE" w14:textId="77777777" w:rsidR="007A5CC1" w:rsidRPr="005C583D" w:rsidRDefault="007A5CC1" w:rsidP="00C46613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Retain SAIDI extreme event standard set at 120 SAIDI minutes or 6,000,000 customer minutes where specified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7A5CC1" w:rsidRPr="005C583D" w14:paraId="238C5EC6" w14:textId="77777777" w:rsidTr="007A5CC1">
              <w:tc>
                <w:tcPr>
                  <w:tcW w:w="714" w:type="dxa"/>
                  <w:shd w:val="clear" w:color="auto" w:fill="7EA0AE"/>
                </w:tcPr>
                <w:p w14:paraId="24FC0454" w14:textId="77777777" w:rsidR="007A5CC1" w:rsidRPr="00321925" w:rsidRDefault="007A5CC1" w:rsidP="00C46613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321925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QS8</w:t>
                  </w:r>
                </w:p>
              </w:tc>
              <w:tc>
                <w:tcPr>
                  <w:tcW w:w="8358" w:type="dxa"/>
                </w:tcPr>
                <w:p w14:paraId="4A225E66" w14:textId="77777777" w:rsidR="007A5CC1" w:rsidRPr="005C583D" w:rsidRDefault="007A5CC1" w:rsidP="00C46613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Retain enhanced automatic reporting following a breach of a quality standard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7A5CC1" w:rsidRPr="005C583D" w14:paraId="2DC59C67" w14:textId="77777777" w:rsidTr="007A5CC1">
              <w:tc>
                <w:tcPr>
                  <w:tcW w:w="714" w:type="dxa"/>
                  <w:shd w:val="clear" w:color="auto" w:fill="7EA0AE"/>
                </w:tcPr>
                <w:p w14:paraId="5B1CA519" w14:textId="77777777" w:rsidR="007A5CC1" w:rsidRPr="00321925" w:rsidRDefault="007A5CC1" w:rsidP="00C46613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321925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QS9</w:t>
                  </w:r>
                </w:p>
              </w:tc>
              <w:tc>
                <w:tcPr>
                  <w:tcW w:w="8358" w:type="dxa"/>
                </w:tcPr>
                <w:p w14:paraId="34A80B48" w14:textId="77777777" w:rsidR="007A5CC1" w:rsidRPr="005C583D" w:rsidRDefault="007A5CC1" w:rsidP="00C46613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No new quality measures are introduced as part of the quality standards applying in DPP4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7A5CC1" w:rsidRPr="005C583D" w14:paraId="0358F16A" w14:textId="77777777" w:rsidTr="007A5CC1">
              <w:tc>
                <w:tcPr>
                  <w:tcW w:w="714" w:type="dxa"/>
                  <w:shd w:val="clear" w:color="auto" w:fill="7EA0AE"/>
                </w:tcPr>
                <w:p w14:paraId="110DEDB1" w14:textId="77777777" w:rsidR="007A5CC1" w:rsidRPr="00321925" w:rsidRDefault="007A5CC1" w:rsidP="00C46613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321925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QS10</w:t>
                  </w:r>
                </w:p>
              </w:tc>
              <w:tc>
                <w:tcPr>
                  <w:tcW w:w="8358" w:type="dxa"/>
                </w:tcPr>
                <w:p w14:paraId="4C5210BD" w14:textId="77777777" w:rsidR="007A5CC1" w:rsidRPr="005C583D" w:rsidRDefault="007A5CC1" w:rsidP="00C46613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 xml:space="preserve">Set 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 xml:space="preserve">interruptions </w:t>
                  </w: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quality standards and incentives for Aurora transitioning from a CPP to the DPP on the same basis as for other EDBs on the DPP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7A5CC1" w:rsidRPr="005C583D" w14:paraId="24957097" w14:textId="77777777" w:rsidTr="007A5CC1">
              <w:tc>
                <w:tcPr>
                  <w:tcW w:w="714" w:type="dxa"/>
                  <w:shd w:val="clear" w:color="auto" w:fill="7EA0AE"/>
                </w:tcPr>
                <w:p w14:paraId="06321F51" w14:textId="77777777" w:rsidR="007A5CC1" w:rsidRPr="00321925" w:rsidRDefault="007A5CC1" w:rsidP="00C46613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321925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QS11</w:t>
                  </w:r>
                </w:p>
              </w:tc>
              <w:tc>
                <w:tcPr>
                  <w:tcW w:w="8358" w:type="dxa"/>
                </w:tcPr>
                <w:p w14:paraId="218FCC18" w14:textId="77777777" w:rsidR="007A5CC1" w:rsidRPr="005C583D" w:rsidRDefault="007A5CC1" w:rsidP="00C46613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Retain the requirement for reasonable reallocation of SAIDI and SAIFI following an asset transfer between EDBs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</w:tbl>
          <w:p w14:paraId="5AE5A7E5" w14:textId="17E0603D" w:rsidR="008C0157" w:rsidRPr="008A5147" w:rsidRDefault="007A5CC1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 </w:t>
            </w:r>
          </w:p>
        </w:tc>
      </w:tr>
      <w:tr w:rsidR="00871762" w:rsidRPr="008A5147" w14:paraId="2D0FDE39" w14:textId="77777777" w:rsidTr="00403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top"/>
          </w:tcPr>
          <w:p w14:paraId="4F81C5F0" w14:textId="77777777" w:rsidR="00403C35" w:rsidRDefault="008C0157" w:rsidP="00E1189B">
            <w:pPr>
              <w:pStyle w:val="Tablebodytext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15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Views/Response</w:t>
            </w:r>
          </w:p>
          <w:p w14:paraId="70A8DDC6" w14:textId="77777777" w:rsidR="00403C35" w:rsidRDefault="00403C35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F97252B" w14:textId="77777777" w:rsidR="00403C35" w:rsidRDefault="00403C35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CEC7049" w14:textId="77777777" w:rsidR="00403C35" w:rsidRDefault="00403C35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569E3F9" w14:textId="77777777" w:rsidR="00403C35" w:rsidRDefault="00403C35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4A73C0D" w14:textId="77777777" w:rsidR="00403C35" w:rsidRDefault="00403C35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8559097" w14:textId="77777777" w:rsidR="00403C35" w:rsidRDefault="00403C35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3488D74" w14:textId="77777777" w:rsidR="00403C35" w:rsidRDefault="00403C35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ABFFEAF" w14:textId="77777777" w:rsidR="00403C35" w:rsidRDefault="00403C35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1F87C22" w14:textId="77777777" w:rsidR="00403C35" w:rsidRDefault="00403C35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FF671C9" w14:textId="77777777" w:rsidR="00403C35" w:rsidRDefault="00403C35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1049770" w14:textId="77777777" w:rsidR="00403C35" w:rsidRDefault="00403C35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DF63B8D" w14:textId="77777777" w:rsidR="00403C35" w:rsidRDefault="00403C35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686F9BF" w14:textId="77777777" w:rsidR="00403C35" w:rsidRDefault="00403C35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9562D82" w14:textId="77777777" w:rsidR="00403C35" w:rsidRDefault="00403C35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8407701" w14:textId="77777777" w:rsidR="00403C35" w:rsidRDefault="00403C35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04D35A6" w14:textId="777EAB5A" w:rsidR="00403C35" w:rsidRPr="00403C35" w:rsidRDefault="00403C35" w:rsidP="00E1189B">
            <w:pPr>
              <w:pStyle w:val="Tablebodytext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C0157" w:rsidRPr="008A5147" w14:paraId="0798EDED" w14:textId="77777777" w:rsidTr="0040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top"/>
          </w:tcPr>
          <w:p w14:paraId="5C98049B" w14:textId="7E966223" w:rsidR="00023104" w:rsidRPr="00321925" w:rsidRDefault="004860ED" w:rsidP="00321925">
            <w:pPr>
              <w:pStyle w:val="Tablebodytext"/>
              <w:spacing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7. </w:t>
            </w:r>
            <w:r w:rsidR="008C0157" w:rsidRPr="002A2085">
              <w:rPr>
                <w:rFonts w:asciiTheme="minorHAnsi" w:hAnsiTheme="minorHAnsi" w:cstheme="minorHAnsi"/>
                <w:sz w:val="22"/>
                <w:szCs w:val="22"/>
              </w:rPr>
              <w:t>Quality incentives</w:t>
            </w:r>
          </w:p>
          <w:tbl>
            <w:tblPr>
              <w:tblStyle w:val="TableGrid"/>
              <w:tblW w:w="907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8358"/>
            </w:tblGrid>
            <w:tr w:rsidR="008649AB" w:rsidRPr="005C583D" w14:paraId="69EE7737" w14:textId="77777777" w:rsidTr="008649AB">
              <w:tc>
                <w:tcPr>
                  <w:tcW w:w="714" w:type="dxa"/>
                  <w:shd w:val="clear" w:color="auto" w:fill="7EA0AE"/>
                </w:tcPr>
                <w:p w14:paraId="4EF59509" w14:textId="77777777" w:rsidR="008649AB" w:rsidRPr="008649AB" w:rsidRDefault="008649AB" w:rsidP="00023104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QIS1</w:t>
                  </w:r>
                </w:p>
              </w:tc>
              <w:tc>
                <w:tcPr>
                  <w:tcW w:w="8358" w:type="dxa"/>
                </w:tcPr>
                <w:p w14:paraId="03C9A5E8" w14:textId="77777777" w:rsidR="008649AB" w:rsidRPr="008649AB" w:rsidRDefault="008649AB" w:rsidP="00023104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Retain the revenue-linked quality incentive scheme for planned and unplanned SAIDI. SAIFI is excluded.</w:t>
                  </w:r>
                </w:p>
              </w:tc>
            </w:tr>
            <w:tr w:rsidR="008649AB" w:rsidRPr="005C583D" w14:paraId="30A6010A" w14:textId="77777777" w:rsidTr="008649AB">
              <w:tc>
                <w:tcPr>
                  <w:tcW w:w="714" w:type="dxa"/>
                  <w:shd w:val="clear" w:color="auto" w:fill="7EA0AE"/>
                </w:tcPr>
                <w:p w14:paraId="7C60732F" w14:textId="77777777" w:rsidR="008649AB" w:rsidRPr="008649AB" w:rsidRDefault="008649AB" w:rsidP="00023104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QIS2</w:t>
                  </w:r>
                </w:p>
              </w:tc>
              <w:tc>
                <w:tcPr>
                  <w:tcW w:w="8358" w:type="dxa"/>
                </w:tcPr>
                <w:p w14:paraId="161B4EAD" w14:textId="77777777" w:rsidR="008649AB" w:rsidRPr="008649AB" w:rsidRDefault="008649AB" w:rsidP="00023104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Unplanned incentive rates are informed by the value of lost load (VOLL), discounted by (1-IRIS retention factor) to reflect expenditure incentives, and a further 10% to reflect quality standard incentives, with VOLL set at $35,374r/MWh.</w:t>
                  </w:r>
                </w:p>
              </w:tc>
            </w:tr>
            <w:tr w:rsidR="008649AB" w:rsidRPr="005C583D" w14:paraId="0DA61B3B" w14:textId="77777777" w:rsidTr="008649AB">
              <w:tc>
                <w:tcPr>
                  <w:tcW w:w="714" w:type="dxa"/>
                  <w:shd w:val="clear" w:color="auto" w:fill="7EA0AE"/>
                </w:tcPr>
                <w:p w14:paraId="6B82AD54" w14:textId="77777777" w:rsidR="008649AB" w:rsidRPr="008649AB" w:rsidRDefault="008649AB" w:rsidP="00023104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QIS3</w:t>
                  </w:r>
                </w:p>
              </w:tc>
              <w:tc>
                <w:tcPr>
                  <w:tcW w:w="8358" w:type="dxa"/>
                </w:tcPr>
                <w:p w14:paraId="33E5B038" w14:textId="77777777" w:rsidR="008649AB" w:rsidRPr="008649AB" w:rsidRDefault="008649AB" w:rsidP="00023104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Planned incentive rates are reduced by 35% relative to the unplanned incentive rate.</w:t>
                  </w:r>
                </w:p>
              </w:tc>
            </w:tr>
            <w:tr w:rsidR="008649AB" w:rsidRPr="005C583D" w14:paraId="5A0013B6" w14:textId="77777777" w:rsidTr="008649AB">
              <w:tc>
                <w:tcPr>
                  <w:tcW w:w="714" w:type="dxa"/>
                  <w:shd w:val="clear" w:color="auto" w:fill="7EA0AE"/>
                </w:tcPr>
                <w:p w14:paraId="386F5377" w14:textId="77777777" w:rsidR="008649AB" w:rsidRPr="008649AB" w:rsidRDefault="008649AB" w:rsidP="00023104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QIS4</w:t>
                  </w:r>
                </w:p>
              </w:tc>
              <w:tc>
                <w:tcPr>
                  <w:tcW w:w="8358" w:type="dxa"/>
                </w:tcPr>
                <w:p w14:paraId="70D29737" w14:textId="77777777" w:rsidR="008649AB" w:rsidRPr="008649AB" w:rsidRDefault="008649AB" w:rsidP="00023104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Planned ‘notified’ interruptions are reduced by 75% relative to the unplanned incentive rate to reflect less inconvenience to consumers.</w:t>
                  </w:r>
                </w:p>
              </w:tc>
            </w:tr>
            <w:tr w:rsidR="008649AB" w:rsidRPr="005C583D" w14:paraId="6CA5FD89" w14:textId="77777777" w:rsidTr="008649AB">
              <w:tc>
                <w:tcPr>
                  <w:tcW w:w="714" w:type="dxa"/>
                  <w:shd w:val="clear" w:color="auto" w:fill="7EA0AE"/>
                </w:tcPr>
                <w:p w14:paraId="50011B56" w14:textId="77777777" w:rsidR="008649AB" w:rsidRPr="008649AB" w:rsidRDefault="008649AB" w:rsidP="00023104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QIS5</w:t>
                  </w:r>
                </w:p>
              </w:tc>
              <w:tc>
                <w:tcPr>
                  <w:tcW w:w="8358" w:type="dxa"/>
                </w:tcPr>
                <w:p w14:paraId="0D616680" w14:textId="77777777" w:rsidR="008649AB" w:rsidRPr="008649AB" w:rsidRDefault="008649AB" w:rsidP="00023104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Incentives are revenue-neutral at the average of the reference period, also known as the target.</w:t>
                  </w:r>
                </w:p>
              </w:tc>
            </w:tr>
            <w:tr w:rsidR="008649AB" w:rsidRPr="005C583D" w14:paraId="21997F7B" w14:textId="77777777" w:rsidTr="008649AB">
              <w:tc>
                <w:tcPr>
                  <w:tcW w:w="714" w:type="dxa"/>
                  <w:shd w:val="clear" w:color="auto" w:fill="7EA0AE"/>
                </w:tcPr>
                <w:p w14:paraId="36FC6416" w14:textId="77777777" w:rsidR="008649AB" w:rsidRPr="008649AB" w:rsidRDefault="008649AB" w:rsidP="00023104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QIS6</w:t>
                  </w:r>
                </w:p>
              </w:tc>
              <w:tc>
                <w:tcPr>
                  <w:tcW w:w="8358" w:type="dxa"/>
                </w:tcPr>
                <w:p w14:paraId="70EBD00D" w14:textId="77777777" w:rsidR="008649AB" w:rsidRPr="008649AB" w:rsidRDefault="008649AB" w:rsidP="00023104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The SAIDI caps (which determine maximum losses) are set equal to the SAIDI limits for planned and unplanned SAIDI.</w:t>
                  </w:r>
                </w:p>
              </w:tc>
            </w:tr>
            <w:tr w:rsidR="008649AB" w:rsidRPr="005C583D" w14:paraId="30DB2A6B" w14:textId="77777777" w:rsidTr="008649AB">
              <w:tc>
                <w:tcPr>
                  <w:tcW w:w="714" w:type="dxa"/>
                  <w:shd w:val="clear" w:color="auto" w:fill="7EA0AE"/>
                </w:tcPr>
                <w:p w14:paraId="18BC55CC" w14:textId="77777777" w:rsidR="008649AB" w:rsidRPr="008649AB" w:rsidRDefault="008649AB" w:rsidP="00023104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QIS7</w:t>
                  </w:r>
                </w:p>
              </w:tc>
              <w:tc>
                <w:tcPr>
                  <w:tcW w:w="8358" w:type="dxa"/>
                </w:tcPr>
                <w:p w14:paraId="485CF2CB" w14:textId="77777777" w:rsidR="008649AB" w:rsidRPr="008649AB" w:rsidRDefault="008649AB" w:rsidP="00023104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The SAIDI collars (which determine maximum gains) are set at 0 for unplanned and planned SAIDI.</w:t>
                  </w:r>
                </w:p>
              </w:tc>
            </w:tr>
            <w:tr w:rsidR="008649AB" w:rsidRPr="005C583D" w14:paraId="37D175B3" w14:textId="77777777" w:rsidTr="008649AB">
              <w:tc>
                <w:tcPr>
                  <w:tcW w:w="714" w:type="dxa"/>
                  <w:shd w:val="clear" w:color="auto" w:fill="7EA0AE"/>
                </w:tcPr>
                <w:p w14:paraId="62F70816" w14:textId="77777777" w:rsidR="008649AB" w:rsidRPr="008649AB" w:rsidRDefault="008649AB" w:rsidP="00023104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QIS8</w:t>
                  </w:r>
                </w:p>
              </w:tc>
              <w:tc>
                <w:tcPr>
                  <w:tcW w:w="8358" w:type="dxa"/>
                </w:tcPr>
                <w:p w14:paraId="64B2BB89" w14:textId="77777777" w:rsidR="008649AB" w:rsidRPr="008649AB" w:rsidRDefault="008649AB" w:rsidP="00023104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Cap revenue at risk at 2% of actual net allowable revenue.</w:t>
                  </w:r>
                </w:p>
              </w:tc>
            </w:tr>
            <w:tr w:rsidR="008649AB" w:rsidRPr="005C583D" w14:paraId="3C2651B6" w14:textId="77777777" w:rsidTr="008649AB">
              <w:tc>
                <w:tcPr>
                  <w:tcW w:w="714" w:type="dxa"/>
                  <w:shd w:val="clear" w:color="auto" w:fill="7EA0AE"/>
                </w:tcPr>
                <w:p w14:paraId="799D2253" w14:textId="77777777" w:rsidR="008649AB" w:rsidRPr="008649AB" w:rsidRDefault="008649AB" w:rsidP="00023104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QIS9</w:t>
                  </w:r>
                </w:p>
              </w:tc>
              <w:tc>
                <w:tcPr>
                  <w:tcW w:w="8358" w:type="dxa"/>
                </w:tcPr>
                <w:p w14:paraId="1560C305" w14:textId="77777777" w:rsidR="008649AB" w:rsidRPr="008649AB" w:rsidRDefault="008649AB" w:rsidP="00023104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Do not implement any new incentive schemes.</w:t>
                  </w:r>
                </w:p>
              </w:tc>
            </w:tr>
            <w:tr w:rsidR="008649AB" w:rsidRPr="005C583D" w14:paraId="2A8E6C76" w14:textId="77777777" w:rsidTr="008649AB">
              <w:tc>
                <w:tcPr>
                  <w:tcW w:w="714" w:type="dxa"/>
                  <w:shd w:val="clear" w:color="auto" w:fill="7EA0AE"/>
                </w:tcPr>
                <w:p w14:paraId="2519841E" w14:textId="77777777" w:rsidR="008649AB" w:rsidRPr="008649AB" w:rsidRDefault="008649AB" w:rsidP="00023104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QIS10</w:t>
                  </w:r>
                </w:p>
              </w:tc>
              <w:tc>
                <w:tcPr>
                  <w:tcW w:w="8358" w:type="dxa"/>
                </w:tcPr>
                <w:p w14:paraId="734B4B23" w14:textId="77777777" w:rsidR="008649AB" w:rsidRPr="008649AB" w:rsidRDefault="008649AB" w:rsidP="00023104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 xml:space="preserve">Do not make an explicit adjustment to match the duration of retention benefits between EDBs and consumers. </w:t>
                  </w:r>
                </w:p>
              </w:tc>
            </w:tr>
          </w:tbl>
          <w:p w14:paraId="68044A07" w14:textId="30F936DB" w:rsidR="008C0157" w:rsidRPr="008A5147" w:rsidRDefault="008649AB" w:rsidP="00E1189B">
            <w:pPr>
              <w:pStyle w:val="Tablebodytext"/>
              <w:spacing w:after="120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 xml:space="preserve">   </w:t>
            </w:r>
          </w:p>
        </w:tc>
      </w:tr>
      <w:tr w:rsidR="00871762" w:rsidRPr="008A5147" w14:paraId="53A5770A" w14:textId="77777777" w:rsidTr="00403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left w:val="single" w:sz="6" w:space="0" w:color="auto"/>
              <w:right w:val="single" w:sz="6" w:space="0" w:color="auto"/>
            </w:tcBorders>
            <w:vAlign w:val="top"/>
          </w:tcPr>
          <w:p w14:paraId="10EC487C" w14:textId="37CC32ED" w:rsidR="00871762" w:rsidRPr="008C0157" w:rsidRDefault="008C0157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C015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Views/Response</w:t>
            </w:r>
            <w:r w:rsidR="00AA303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:</w:t>
            </w:r>
          </w:p>
        </w:tc>
      </w:tr>
      <w:tr w:rsidR="008C0157" w:rsidRPr="008A5147" w14:paraId="00AA539F" w14:textId="77777777" w:rsidTr="0040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left w:val="single" w:sz="6" w:space="0" w:color="auto"/>
              <w:right w:val="single" w:sz="6" w:space="0" w:color="auto"/>
            </w:tcBorders>
            <w:vAlign w:val="top"/>
          </w:tcPr>
          <w:p w14:paraId="078C9D34" w14:textId="7357A0D2" w:rsidR="008C0157" w:rsidRPr="002A2085" w:rsidRDefault="004860ED" w:rsidP="004860ED">
            <w:pPr>
              <w:pStyle w:val="Tablebodytext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8. </w:t>
            </w:r>
            <w:r w:rsidR="008C0157" w:rsidRPr="002A2085">
              <w:rPr>
                <w:rFonts w:asciiTheme="minorHAnsi" w:hAnsiTheme="minorHAnsi" w:cstheme="minorHAnsi"/>
                <w:sz w:val="22"/>
                <w:szCs w:val="22"/>
              </w:rPr>
              <w:t>Normalisation</w:t>
            </w:r>
          </w:p>
          <w:tbl>
            <w:tblPr>
              <w:tblStyle w:val="TableGrid"/>
              <w:tblW w:w="907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8358"/>
            </w:tblGrid>
            <w:tr w:rsidR="008649AB" w:rsidRPr="005C583D" w14:paraId="7CA1D4FF" w14:textId="77777777" w:rsidTr="008649AB">
              <w:tc>
                <w:tcPr>
                  <w:tcW w:w="714" w:type="dxa"/>
                  <w:shd w:val="clear" w:color="auto" w:fill="7EA0AE"/>
                </w:tcPr>
                <w:p w14:paraId="5B6BA271" w14:textId="77777777" w:rsidR="008649AB" w:rsidRPr="008649AB" w:rsidRDefault="008649AB" w:rsidP="0092529D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N1</w:t>
                  </w:r>
                </w:p>
              </w:tc>
              <w:tc>
                <w:tcPr>
                  <w:tcW w:w="8358" w:type="dxa"/>
                </w:tcPr>
                <w:p w14:paraId="7D81EE59" w14:textId="77777777" w:rsidR="008649AB" w:rsidRPr="005C583D" w:rsidRDefault="008649AB" w:rsidP="0092529D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Normalisation only applies to unplanned interruptions, which are the only initiators of a major event day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8649AB" w:rsidRPr="005C583D" w14:paraId="4689A631" w14:textId="77777777" w:rsidTr="008649AB">
              <w:trPr>
                <w:trHeight w:val="1505"/>
              </w:trPr>
              <w:tc>
                <w:tcPr>
                  <w:tcW w:w="714" w:type="dxa"/>
                  <w:shd w:val="clear" w:color="auto" w:fill="7EA0AE"/>
                </w:tcPr>
                <w:p w14:paraId="677546D3" w14:textId="77777777" w:rsidR="008649AB" w:rsidRPr="008649AB" w:rsidRDefault="008649AB" w:rsidP="0092529D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N2</w:t>
                  </w:r>
                </w:p>
              </w:tc>
              <w:tc>
                <w:tcPr>
                  <w:tcW w:w="8358" w:type="dxa"/>
                </w:tcPr>
                <w:p w14:paraId="22BE8910" w14:textId="77777777" w:rsidR="008649AB" w:rsidRPr="005C583D" w:rsidRDefault="008649AB" w:rsidP="0092529D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Retain the normalisation approach used in DPP3, being:</w:t>
                  </w:r>
                </w:p>
                <w:p w14:paraId="029CE423" w14:textId="77777777" w:rsidR="008649AB" w:rsidRPr="005C583D" w:rsidRDefault="008649AB" w:rsidP="0092529D">
                  <w:pPr>
                    <w:pStyle w:val="BodyText"/>
                    <w:numPr>
                      <w:ilvl w:val="0"/>
                      <w:numId w:val="22"/>
                    </w:numPr>
                    <w:spacing w:before="20" w:after="20" w:line="240" w:lineRule="auto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d</w:t>
                  </w: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efine a major event as 24-hour rolling periods (assessed in 30-minute blocks)</w:t>
                  </w:r>
                </w:p>
                <w:p w14:paraId="57E8C477" w14:textId="77777777" w:rsidR="008649AB" w:rsidRPr="00B91799" w:rsidRDefault="008649AB" w:rsidP="0092529D">
                  <w:pPr>
                    <w:pStyle w:val="BodyText"/>
                    <w:numPr>
                      <w:ilvl w:val="0"/>
                      <w:numId w:val="22"/>
                    </w:numPr>
                    <w:spacing w:before="20" w:after="20" w:line="240" w:lineRule="auto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t</w:t>
                  </w:r>
                  <w:r w:rsidRPr="00B91799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he</w:t>
                  </w:r>
                  <w:r w:rsidRPr="00B91799">
                    <w:rPr>
                      <w:rStyle w:val="Tabletext-12point"/>
                      <w:rFonts w:asciiTheme="minorHAnsi" w:eastAsia="Aptos Narrow" w:hAnsiTheme="minorHAnsi" w:cstheme="minorHAnsi"/>
                      <w:sz w:val="20"/>
                    </w:rPr>
                    <w:t xml:space="preserve"> major event boundary value has been identified as the 1104th highest rolling 24-hour period for SAIDI and SAIFI over the 10-year reference </w:t>
                  </w:r>
                  <w:proofErr w:type="gramStart"/>
                  <w:r w:rsidRPr="00B91799">
                    <w:rPr>
                      <w:rStyle w:val="Tabletext-12point"/>
                      <w:rFonts w:asciiTheme="minorHAnsi" w:eastAsia="Aptos Narrow" w:hAnsiTheme="minorHAnsi" w:cstheme="minorHAnsi"/>
                      <w:sz w:val="20"/>
                    </w:rPr>
                    <w:t>period</w:t>
                  </w:r>
                  <w:proofErr w:type="gramEnd"/>
                  <w:r w:rsidRPr="00B91799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 xml:space="preserve">                                           </w:t>
                  </w:r>
                </w:p>
                <w:p w14:paraId="17C5FA74" w14:textId="77777777" w:rsidR="008649AB" w:rsidRPr="005C583D" w:rsidRDefault="008649AB" w:rsidP="0092529D">
                  <w:pPr>
                    <w:pStyle w:val="BodyText"/>
                    <w:numPr>
                      <w:ilvl w:val="0"/>
                      <w:numId w:val="22"/>
                    </w:numPr>
                    <w:spacing w:before="20" w:after="20" w:line="240" w:lineRule="auto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n</w:t>
                  </w: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ormalisation is applied on half-hour blocks, within a major event, where the SAIDI figure exceeds 1/48th of the boundary value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, and</w:t>
                  </w:r>
                </w:p>
                <w:p w14:paraId="2125E9DE" w14:textId="77777777" w:rsidR="008649AB" w:rsidRPr="005C583D" w:rsidRDefault="008649AB" w:rsidP="0092529D">
                  <w:pPr>
                    <w:pStyle w:val="BodyText"/>
                    <w:numPr>
                      <w:ilvl w:val="0"/>
                      <w:numId w:val="22"/>
                    </w:numPr>
                    <w:spacing w:before="20" w:after="20" w:line="240" w:lineRule="auto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t</w:t>
                  </w: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reat major events by replacing any half-hour that is greater than 1/48th of the boundary value with 1/48th of the boundary value if that half-hour is part of the major event (can exceed 24 hours in duration)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8649AB" w:rsidRPr="005C583D" w14:paraId="6AEB4178" w14:textId="77777777" w:rsidTr="008649AB">
              <w:tc>
                <w:tcPr>
                  <w:tcW w:w="714" w:type="dxa"/>
                  <w:shd w:val="clear" w:color="auto" w:fill="7EA0AE"/>
                </w:tcPr>
                <w:p w14:paraId="29B976A6" w14:textId="77777777" w:rsidR="008649AB" w:rsidRPr="008649AB" w:rsidRDefault="008649AB" w:rsidP="0092529D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N3</w:t>
                  </w:r>
                </w:p>
              </w:tc>
              <w:tc>
                <w:tcPr>
                  <w:tcW w:w="8358" w:type="dxa"/>
                </w:tcPr>
                <w:p w14:paraId="4A1035C2" w14:textId="77777777" w:rsidR="008649AB" w:rsidRPr="005C583D" w:rsidRDefault="008649AB" w:rsidP="0092529D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SAIDI and SAIFI major events are triggered independently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8649AB" w:rsidRPr="005C583D" w14:paraId="59789CFA" w14:textId="77777777" w:rsidTr="008649AB">
              <w:tc>
                <w:tcPr>
                  <w:tcW w:w="714" w:type="dxa"/>
                  <w:shd w:val="clear" w:color="auto" w:fill="7EA0AE"/>
                </w:tcPr>
                <w:p w14:paraId="5E3B8B4F" w14:textId="77777777" w:rsidR="008649AB" w:rsidRPr="008649AB" w:rsidRDefault="008649AB" w:rsidP="0092529D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N4</w:t>
                  </w:r>
                </w:p>
              </w:tc>
              <w:tc>
                <w:tcPr>
                  <w:tcW w:w="8358" w:type="dxa"/>
                </w:tcPr>
                <w:p w14:paraId="45228C99" w14:textId="3AB83DA4" w:rsidR="008649AB" w:rsidRPr="005C583D" w:rsidRDefault="008649AB" w:rsidP="0092529D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 xml:space="preserve">Set a higher boundary for very small </w:t>
                  </w:r>
                  <w:r w:rsidR="00930E85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EDBs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8649AB" w:rsidRPr="005C583D" w14:paraId="3F09EB24" w14:textId="77777777" w:rsidTr="008649AB">
              <w:tc>
                <w:tcPr>
                  <w:tcW w:w="714" w:type="dxa"/>
                  <w:shd w:val="clear" w:color="auto" w:fill="7EA0AE"/>
                </w:tcPr>
                <w:p w14:paraId="032B0308" w14:textId="77777777" w:rsidR="008649AB" w:rsidRPr="008649AB" w:rsidRDefault="008649AB" w:rsidP="0092529D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N5</w:t>
                  </w:r>
                </w:p>
              </w:tc>
              <w:tc>
                <w:tcPr>
                  <w:tcW w:w="8358" w:type="dxa"/>
                </w:tcPr>
                <w:p w14:paraId="7B95DB45" w14:textId="77777777" w:rsidR="008649AB" w:rsidRPr="005C583D" w:rsidRDefault="008649AB" w:rsidP="0092529D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Retain additional reporting by EDBs for each unplanned major event in its compliance statement</w:t>
                  </w:r>
                  <w:r w:rsidRPr="001E38E1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 xml:space="preserve"> consistent with DPP3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</w:tbl>
          <w:p w14:paraId="402FB11C" w14:textId="5391ACAF" w:rsidR="008C0157" w:rsidRPr="008A5147" w:rsidRDefault="008649AB" w:rsidP="00E1189B">
            <w:pPr>
              <w:pStyle w:val="Tablebodytext"/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</w:tr>
      <w:tr w:rsidR="00871762" w:rsidRPr="008A5147" w14:paraId="13BADF1B" w14:textId="77777777" w:rsidTr="00403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top"/>
          </w:tcPr>
          <w:p w14:paraId="2156A313" w14:textId="5511BCFE" w:rsidR="00871762" w:rsidRPr="008C0157" w:rsidRDefault="008C0157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C015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Views/Response</w:t>
            </w:r>
            <w:r w:rsidR="00AA303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:</w:t>
            </w:r>
          </w:p>
        </w:tc>
      </w:tr>
      <w:tr w:rsidR="008927F4" w:rsidRPr="008A5147" w14:paraId="50844EC4" w14:textId="77777777" w:rsidTr="0040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top"/>
          </w:tcPr>
          <w:p w14:paraId="6B6AE7C5" w14:textId="6AF59A65" w:rsidR="008927F4" w:rsidRPr="00BE2168" w:rsidRDefault="004860ED" w:rsidP="004860ED">
            <w:pPr>
              <w:pStyle w:val="Tablebodytext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9. </w:t>
            </w:r>
            <w:r w:rsidR="008927F4" w:rsidRPr="00BE2168">
              <w:rPr>
                <w:rFonts w:asciiTheme="minorHAnsi" w:hAnsiTheme="minorHAnsi" w:cstheme="minorHAnsi"/>
                <w:sz w:val="22"/>
                <w:szCs w:val="22"/>
              </w:rPr>
              <w:t>Reference period</w:t>
            </w:r>
          </w:p>
          <w:tbl>
            <w:tblPr>
              <w:tblStyle w:val="TableGrid"/>
              <w:tblW w:w="907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8358"/>
            </w:tblGrid>
            <w:tr w:rsidR="008649AB" w:rsidRPr="00D841B0" w14:paraId="20DE6B52" w14:textId="77777777" w:rsidTr="1BB6C731">
              <w:tc>
                <w:tcPr>
                  <w:tcW w:w="714" w:type="dxa"/>
                  <w:shd w:val="clear" w:color="auto" w:fill="7EA0AE"/>
                </w:tcPr>
                <w:p w14:paraId="4E03A6E1" w14:textId="77777777" w:rsidR="008649AB" w:rsidRPr="008649AB" w:rsidRDefault="008649AB" w:rsidP="005124F2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RP1</w:t>
                  </w:r>
                </w:p>
              </w:tc>
              <w:tc>
                <w:tcPr>
                  <w:tcW w:w="8358" w:type="dxa"/>
                </w:tcPr>
                <w:p w14:paraId="2F3BB6BE" w14:textId="77777777" w:rsidR="008649AB" w:rsidRPr="00D841B0" w:rsidRDefault="008649AB" w:rsidP="005124F2">
                  <w:pPr>
                    <w:pStyle w:val="BodyText"/>
                    <w:spacing w:before="20" w:after="20"/>
                    <w:rPr>
                      <w:rStyle w:val="Tabletext-12point"/>
                      <w:rFonts w:cs="Calibri"/>
                      <w:sz w:val="20"/>
                    </w:rPr>
                  </w:pPr>
                  <w:r w:rsidRPr="00D841B0">
                    <w:rPr>
                      <w:rStyle w:val="Tabletext-12point"/>
                      <w:rFonts w:cs="Calibri"/>
                      <w:sz w:val="20"/>
                    </w:rPr>
                    <w:t>Use a 10-year reference period from 1 April 2013 to 31 March 2023 to inform the parameters for unplanned interruptions reliability standards and incentives, with the period adjusted to 1 April 2014 to 31 March 2024 for the final determination.</w:t>
                  </w:r>
                </w:p>
              </w:tc>
            </w:tr>
            <w:tr w:rsidR="008649AB" w:rsidRPr="00D841B0" w14:paraId="4CF91CD1" w14:textId="77777777" w:rsidTr="1BB6C731">
              <w:tc>
                <w:tcPr>
                  <w:tcW w:w="714" w:type="dxa"/>
                  <w:shd w:val="clear" w:color="auto" w:fill="7EA0AE"/>
                </w:tcPr>
                <w:p w14:paraId="0FC7E988" w14:textId="77777777" w:rsidR="008649AB" w:rsidRPr="008649AB" w:rsidRDefault="008649AB" w:rsidP="005124F2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RP2</w:t>
                  </w:r>
                </w:p>
              </w:tc>
              <w:tc>
                <w:tcPr>
                  <w:tcW w:w="8358" w:type="dxa"/>
                </w:tcPr>
                <w:p w14:paraId="30C9E8EA" w14:textId="77777777" w:rsidR="008649AB" w:rsidRPr="00D841B0" w:rsidRDefault="008649AB" w:rsidP="005124F2">
                  <w:pPr>
                    <w:pStyle w:val="BodyText"/>
                    <w:spacing w:before="20" w:after="20"/>
                    <w:rPr>
                      <w:rStyle w:val="Tabletext-12point"/>
                      <w:rFonts w:cs="Calibri"/>
                      <w:sz w:val="20"/>
                    </w:rPr>
                  </w:pPr>
                  <w:r w:rsidRPr="00D841B0">
                    <w:rPr>
                      <w:rStyle w:val="Tabletext-12point"/>
                      <w:rFonts w:cs="Calibri"/>
                      <w:sz w:val="20"/>
                    </w:rPr>
                    <w:t>Apply a reference period for planned interruptions of 2017 – 2023 for the draft decision, extended to 2017 – 2024 for the final decision.</w:t>
                  </w:r>
                </w:p>
              </w:tc>
            </w:tr>
            <w:tr w:rsidR="008649AB" w:rsidRPr="00D841B0" w14:paraId="3E24CA60" w14:textId="77777777" w:rsidTr="1BB6C731">
              <w:tc>
                <w:tcPr>
                  <w:tcW w:w="714" w:type="dxa"/>
                  <w:shd w:val="clear" w:color="auto" w:fill="7EA0AE"/>
                </w:tcPr>
                <w:p w14:paraId="0BD36687" w14:textId="77777777" w:rsidR="008649AB" w:rsidRPr="008649AB" w:rsidRDefault="008649AB" w:rsidP="005124F2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RP3</w:t>
                  </w:r>
                </w:p>
              </w:tc>
              <w:tc>
                <w:tcPr>
                  <w:tcW w:w="8358" w:type="dxa"/>
                </w:tcPr>
                <w:p w14:paraId="51FBA639" w14:textId="77777777" w:rsidR="008649AB" w:rsidRPr="00D841B0" w:rsidRDefault="008649AB" w:rsidP="1BB6C731">
                  <w:pPr>
                    <w:pStyle w:val="BodyText"/>
                    <w:spacing w:before="20" w:after="20"/>
                    <w:rPr>
                      <w:rStyle w:val="Tabletext-12point"/>
                      <w:rFonts w:cs="Calibri"/>
                      <w:sz w:val="20"/>
                    </w:rPr>
                  </w:pPr>
                  <w:r w:rsidRPr="1BB6C731">
                    <w:rPr>
                      <w:rStyle w:val="Tabletext-12point"/>
                      <w:rFonts w:cs="Calibri"/>
                      <w:sz w:val="20"/>
                    </w:rPr>
                    <w:t xml:space="preserve">Retain the cap on inter-period movement, ±5% for unplanned interruptions for both the SAIDI and SAIFI unplanned target </w:t>
                  </w:r>
                  <w:bookmarkStart w:id="0" w:name="_Int_6RMdT1PG"/>
                  <w:proofErr w:type="gramStart"/>
                  <w:r w:rsidRPr="1BB6C731">
                    <w:rPr>
                      <w:rStyle w:val="Tabletext-12point"/>
                      <w:rFonts w:cs="Calibri"/>
                      <w:sz w:val="20"/>
                    </w:rPr>
                    <w:t>and also</w:t>
                  </w:r>
                  <w:bookmarkEnd w:id="0"/>
                  <w:proofErr w:type="gramEnd"/>
                  <w:r w:rsidRPr="1BB6C731">
                    <w:rPr>
                      <w:rStyle w:val="Tabletext-12point"/>
                      <w:rFonts w:cs="Calibri"/>
                      <w:sz w:val="20"/>
                    </w:rPr>
                    <w:t xml:space="preserve"> apply this to the SAIDI and SAIFI unplanned limits.</w:t>
                  </w:r>
                </w:p>
              </w:tc>
            </w:tr>
            <w:tr w:rsidR="008649AB" w:rsidRPr="00D841B0" w14:paraId="136BEE57" w14:textId="77777777" w:rsidTr="1BB6C731">
              <w:tc>
                <w:tcPr>
                  <w:tcW w:w="714" w:type="dxa"/>
                  <w:shd w:val="clear" w:color="auto" w:fill="7EA0AE"/>
                </w:tcPr>
                <w:p w14:paraId="24748D68" w14:textId="77777777" w:rsidR="008649AB" w:rsidRPr="008649AB" w:rsidRDefault="008649AB" w:rsidP="005124F2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RP4</w:t>
                  </w:r>
                </w:p>
              </w:tc>
              <w:tc>
                <w:tcPr>
                  <w:tcW w:w="8358" w:type="dxa"/>
                </w:tcPr>
                <w:p w14:paraId="0A91B8D1" w14:textId="77777777" w:rsidR="008649AB" w:rsidRPr="00D841B0" w:rsidRDefault="008649AB" w:rsidP="005124F2">
                  <w:pPr>
                    <w:pStyle w:val="BodyText"/>
                    <w:spacing w:before="20" w:after="20"/>
                    <w:rPr>
                      <w:rStyle w:val="Tabletext-12point"/>
                      <w:rFonts w:cs="Calibri"/>
                      <w:sz w:val="20"/>
                    </w:rPr>
                  </w:pPr>
                  <w:r w:rsidRPr="00D841B0">
                    <w:rPr>
                      <w:rStyle w:val="Tabletext-12point"/>
                      <w:rFonts w:cs="Calibri"/>
                      <w:sz w:val="20"/>
                    </w:rPr>
                    <w:t>Make no explicit step changes to reliability targets or incentives.</w:t>
                  </w:r>
                </w:p>
              </w:tc>
            </w:tr>
            <w:tr w:rsidR="008649AB" w:rsidRPr="00D841B0" w14:paraId="43D6A22E" w14:textId="77777777" w:rsidTr="1BB6C731">
              <w:tc>
                <w:tcPr>
                  <w:tcW w:w="714" w:type="dxa"/>
                  <w:shd w:val="clear" w:color="auto" w:fill="7EA0AE"/>
                </w:tcPr>
                <w:p w14:paraId="2EA32CDD" w14:textId="77777777" w:rsidR="008649AB" w:rsidRPr="008649AB" w:rsidRDefault="008649AB" w:rsidP="005124F2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RP5</w:t>
                  </w:r>
                </w:p>
              </w:tc>
              <w:tc>
                <w:tcPr>
                  <w:tcW w:w="8358" w:type="dxa"/>
                </w:tcPr>
                <w:p w14:paraId="3584D470" w14:textId="77777777" w:rsidR="008649AB" w:rsidRPr="00D841B0" w:rsidRDefault="008649AB" w:rsidP="005124F2">
                  <w:pPr>
                    <w:pStyle w:val="BodyText"/>
                    <w:spacing w:before="20" w:after="20"/>
                    <w:rPr>
                      <w:rStyle w:val="Tabletext-12point"/>
                      <w:rFonts w:cs="Calibri"/>
                      <w:sz w:val="20"/>
                    </w:rPr>
                  </w:pPr>
                  <w:r w:rsidRPr="00D841B0">
                    <w:rPr>
                      <w:rStyle w:val="Tabletext-12point"/>
                      <w:rFonts w:cs="Calibri"/>
                      <w:sz w:val="20"/>
                    </w:rPr>
                    <w:t>Make no explicit adjustments for instances of non-compliance contained within the unplanned interruption reference period dataset.</w:t>
                  </w:r>
                </w:p>
              </w:tc>
            </w:tr>
            <w:tr w:rsidR="008649AB" w:rsidRPr="00D841B0" w14:paraId="1B81C8AA" w14:textId="77777777" w:rsidTr="1BB6C731">
              <w:tc>
                <w:tcPr>
                  <w:tcW w:w="714" w:type="dxa"/>
                  <w:shd w:val="clear" w:color="auto" w:fill="7EA0AE"/>
                </w:tcPr>
                <w:p w14:paraId="1C18A238" w14:textId="77777777" w:rsidR="008649AB" w:rsidRPr="008649AB" w:rsidRDefault="008649AB" w:rsidP="005124F2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RP6</w:t>
                  </w:r>
                </w:p>
              </w:tc>
              <w:tc>
                <w:tcPr>
                  <w:tcW w:w="8358" w:type="dxa"/>
                </w:tcPr>
                <w:p w14:paraId="3172C87A" w14:textId="77777777" w:rsidR="008649AB" w:rsidRPr="00D841B0" w:rsidRDefault="008649AB" w:rsidP="005124F2">
                  <w:pPr>
                    <w:pStyle w:val="BodyText"/>
                    <w:spacing w:before="20" w:after="20"/>
                    <w:rPr>
                      <w:rStyle w:val="Tabletext-12point"/>
                      <w:rFonts w:cs="Calibri"/>
                      <w:sz w:val="20"/>
                    </w:rPr>
                  </w:pPr>
                  <w:r w:rsidRPr="00D841B0">
                    <w:rPr>
                      <w:rStyle w:val="Tabletext-12point"/>
                      <w:rFonts w:cs="Calibri"/>
                      <w:sz w:val="20"/>
                    </w:rPr>
                    <w:t xml:space="preserve">EDBs must record successive interruptions on the same basis they employed in responding to the </w:t>
                  </w:r>
                  <w:r>
                    <w:rPr>
                      <w:rStyle w:val="Tabletext-12point"/>
                      <w:rFonts w:cs="Calibri"/>
                      <w:sz w:val="20"/>
                    </w:rPr>
                    <w:t xml:space="preserve">     </w:t>
                  </w:r>
                  <w:r w:rsidRPr="00D841B0">
                    <w:rPr>
                      <w:rStyle w:val="Tabletext-12point"/>
                      <w:rFonts w:cs="Calibri"/>
                      <w:sz w:val="20"/>
                    </w:rPr>
                    <w:t>s 53ZD notice.</w:t>
                  </w:r>
                </w:p>
              </w:tc>
            </w:tr>
            <w:tr w:rsidR="008649AB" w:rsidRPr="00D841B0" w14:paraId="7AB005CA" w14:textId="77777777" w:rsidTr="1BB6C731">
              <w:tc>
                <w:tcPr>
                  <w:tcW w:w="714" w:type="dxa"/>
                  <w:shd w:val="clear" w:color="auto" w:fill="7EA0AE"/>
                </w:tcPr>
                <w:p w14:paraId="5CFBDB27" w14:textId="77777777" w:rsidR="008649AB" w:rsidRPr="008649AB" w:rsidRDefault="008649AB" w:rsidP="005124F2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RP7</w:t>
                  </w:r>
                </w:p>
              </w:tc>
              <w:tc>
                <w:tcPr>
                  <w:tcW w:w="8358" w:type="dxa"/>
                </w:tcPr>
                <w:p w14:paraId="0F7AF259" w14:textId="77777777" w:rsidR="008649AB" w:rsidRPr="00D841B0" w:rsidRDefault="008649AB" w:rsidP="005124F2">
                  <w:pPr>
                    <w:pStyle w:val="BodyText"/>
                    <w:spacing w:before="20" w:after="20"/>
                    <w:rPr>
                      <w:rStyle w:val="Tabletext-12point"/>
                      <w:rFonts w:cs="Calibri"/>
                      <w:sz w:val="20"/>
                    </w:rPr>
                  </w:pPr>
                  <w:r w:rsidRPr="00D841B0">
                    <w:rPr>
                      <w:rStyle w:val="Tabletext-12point"/>
                      <w:rFonts w:cs="Calibri"/>
                      <w:sz w:val="20"/>
                    </w:rPr>
                    <w:t>Interruptions directly associated with an approved INTSA project are excluded for calculation of SAIDI and SAIFI values up to a cap of 0.5% of the respective SAIDI and SAIFI limit.</w:t>
                  </w:r>
                </w:p>
              </w:tc>
            </w:tr>
          </w:tbl>
          <w:p w14:paraId="79D08B7E" w14:textId="251B6710" w:rsidR="008927F4" w:rsidRPr="00BE2168" w:rsidRDefault="008649AB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871762" w:rsidRPr="008A5147" w14:paraId="590CBFBB" w14:textId="77777777" w:rsidTr="00403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top"/>
          </w:tcPr>
          <w:p w14:paraId="7ECEA7EA" w14:textId="75CA0F00" w:rsidR="00871762" w:rsidRPr="008C0157" w:rsidRDefault="008C0157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C015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Views/ Response</w:t>
            </w:r>
            <w:r w:rsidR="00EC26B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:</w:t>
            </w:r>
          </w:p>
        </w:tc>
      </w:tr>
      <w:tr w:rsidR="00ED026A" w:rsidRPr="008A5147" w14:paraId="4A0E0B35" w14:textId="77777777" w:rsidTr="008C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top"/>
          </w:tcPr>
          <w:p w14:paraId="4C39375F" w14:textId="54FB6032" w:rsidR="00ED026A" w:rsidRPr="00E95E8C" w:rsidRDefault="00C53013" w:rsidP="00E95E8C">
            <w:pPr>
              <w:pStyle w:val="Tablebodytext"/>
              <w:spacing w:after="120"/>
              <w:rPr>
                <w:rFonts w:asciiTheme="minorHAnsi" w:hAnsiTheme="minorHAnsi" w:cstheme="minorHAnsi"/>
                <w:szCs w:val="24"/>
              </w:rPr>
            </w:pPr>
            <w:r w:rsidRPr="00E95E8C">
              <w:rPr>
                <w:szCs w:val="24"/>
              </w:rPr>
              <w:t>Revenue path</w:t>
            </w:r>
          </w:p>
        </w:tc>
      </w:tr>
      <w:tr w:rsidR="008C0157" w:rsidRPr="008A5147" w14:paraId="151A8789" w14:textId="77777777" w:rsidTr="00403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left w:val="single" w:sz="6" w:space="0" w:color="auto"/>
              <w:right w:val="single" w:sz="6" w:space="0" w:color="auto"/>
            </w:tcBorders>
            <w:shd w:val="clear" w:color="auto" w:fill="E0E9EC"/>
            <w:vAlign w:val="top"/>
          </w:tcPr>
          <w:p w14:paraId="2C55AF89" w14:textId="5168475A" w:rsidR="008C0157" w:rsidRDefault="004860ED" w:rsidP="004860ED">
            <w:pPr>
              <w:pStyle w:val="Tablebodytext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87F66">
              <w:rPr>
                <w:rFonts w:asciiTheme="minorHAnsi" w:hAnsiTheme="minorHAnsi" w:cstheme="minorHAnsi"/>
                <w:sz w:val="22"/>
                <w:szCs w:val="22"/>
              </w:rPr>
              <w:t>0.</w:t>
            </w:r>
            <w:r w:rsidR="008C0157" w:rsidRPr="00BE2168">
              <w:rPr>
                <w:rFonts w:asciiTheme="minorHAnsi" w:hAnsiTheme="minorHAnsi" w:cstheme="minorHAnsi"/>
                <w:sz w:val="22"/>
                <w:szCs w:val="22"/>
              </w:rPr>
              <w:t xml:space="preserve"> Price path</w:t>
            </w:r>
          </w:p>
          <w:tbl>
            <w:tblPr>
              <w:tblStyle w:val="TableGrid"/>
              <w:tblW w:w="907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8358"/>
            </w:tblGrid>
            <w:tr w:rsidR="008649AB" w:rsidRPr="00D841B0" w14:paraId="2083AF76" w14:textId="77777777" w:rsidTr="008649AB">
              <w:tc>
                <w:tcPr>
                  <w:tcW w:w="714" w:type="dxa"/>
                  <w:shd w:val="clear" w:color="auto" w:fill="7EA0AE"/>
                </w:tcPr>
                <w:p w14:paraId="358528A0" w14:textId="77777777" w:rsidR="008649AB" w:rsidRPr="008649AB" w:rsidRDefault="008649AB" w:rsidP="006A2383">
                  <w:pPr>
                    <w:pStyle w:val="TableText-LeftJustify"/>
                    <w:rPr>
                      <w:rStyle w:val="Emphasis-Remove"/>
                      <w:rFonts w:asciiTheme="minorHAnsi" w:hAnsiTheme="minorHAnsi" w:cstheme="minorHAnsi"/>
                      <w:color w:val="FFFFFF" w:themeColor="background1"/>
                    </w:rPr>
                  </w:pPr>
                  <w:r w:rsidRPr="008649AB">
                    <w:rPr>
                      <w:rStyle w:val="Emphasis-Remove"/>
                      <w:rFonts w:asciiTheme="minorHAnsi" w:hAnsiTheme="minorHAnsi" w:cstheme="minorHAnsi"/>
                      <w:color w:val="FFFFFF" w:themeColor="background1"/>
                    </w:rPr>
                    <w:t>P1</w:t>
                  </w:r>
                </w:p>
              </w:tc>
              <w:tc>
                <w:tcPr>
                  <w:tcW w:w="8358" w:type="dxa"/>
                </w:tcPr>
                <w:p w14:paraId="1977B5BC" w14:textId="77777777" w:rsidR="008649AB" w:rsidRPr="00D841B0" w:rsidRDefault="008649AB" w:rsidP="006A2383">
                  <w:pPr>
                    <w:pStyle w:val="BodyText"/>
                    <w:spacing w:before="20" w:after="20"/>
                    <w:rPr>
                      <w:rStyle w:val="Tabletext-12point"/>
                      <w:rFonts w:cs="Calibri"/>
                      <w:sz w:val="20"/>
                    </w:rPr>
                  </w:pPr>
                  <w:r w:rsidRPr="00D841B0">
                    <w:rPr>
                      <w:rStyle w:val="Tabletext-12point"/>
                      <w:rFonts w:cs="Calibri"/>
                      <w:sz w:val="20"/>
                    </w:rPr>
                    <w:t>Set starting prices based on the current and projected profitability of each supplier using a building blocks allowable revenue (BBAR) model.</w:t>
                  </w:r>
                </w:p>
              </w:tc>
            </w:tr>
            <w:tr w:rsidR="008649AB" w:rsidRPr="00D841B0" w14:paraId="4061FE8A" w14:textId="77777777" w:rsidTr="008649AB">
              <w:tc>
                <w:tcPr>
                  <w:tcW w:w="714" w:type="dxa"/>
                  <w:shd w:val="clear" w:color="auto" w:fill="7EA0AE"/>
                </w:tcPr>
                <w:p w14:paraId="76EF0440" w14:textId="77777777" w:rsidR="008649AB" w:rsidRPr="008649AB" w:rsidRDefault="008649AB" w:rsidP="006A2383">
                  <w:pPr>
                    <w:pStyle w:val="TableText-LeftJustify"/>
                    <w:rPr>
                      <w:rStyle w:val="Emphasis-Remove"/>
                      <w:rFonts w:asciiTheme="minorHAnsi" w:hAnsiTheme="minorHAnsi" w:cstheme="minorHAnsi"/>
                      <w:color w:val="FFFFFF" w:themeColor="background1"/>
                    </w:rPr>
                  </w:pPr>
                  <w:r w:rsidRPr="008649AB">
                    <w:rPr>
                      <w:rStyle w:val="Emphasis-Remove"/>
                      <w:rFonts w:asciiTheme="minorHAnsi" w:hAnsiTheme="minorHAnsi" w:cstheme="minorHAnsi"/>
                      <w:color w:val="FFFFFF" w:themeColor="background1"/>
                    </w:rPr>
                    <w:t>P2</w:t>
                  </w:r>
                </w:p>
              </w:tc>
              <w:tc>
                <w:tcPr>
                  <w:tcW w:w="8358" w:type="dxa"/>
                </w:tcPr>
                <w:p w14:paraId="1FF97749" w14:textId="77777777" w:rsidR="008649AB" w:rsidRPr="00D841B0" w:rsidRDefault="008649AB" w:rsidP="006A2383">
                  <w:pPr>
                    <w:pStyle w:val="BodyText"/>
                    <w:spacing w:before="20" w:after="20"/>
                    <w:rPr>
                      <w:rStyle w:val="Tabletext-12point"/>
                      <w:rFonts w:cs="Calibri"/>
                      <w:sz w:val="20"/>
                    </w:rPr>
                  </w:pPr>
                  <w:r w:rsidRPr="00D841B0">
                    <w:rPr>
                      <w:rStyle w:val="Tabletext-12point"/>
                      <w:rFonts w:cs="Calibri"/>
                      <w:sz w:val="20"/>
                    </w:rPr>
                    <w:t>Set a default rate of change relative to CPI (X-factor) of 0%.</w:t>
                  </w:r>
                </w:p>
              </w:tc>
            </w:tr>
            <w:tr w:rsidR="008649AB" w:rsidRPr="00D841B0" w14:paraId="3ED6243B" w14:textId="77777777" w:rsidTr="008649AB">
              <w:tc>
                <w:tcPr>
                  <w:tcW w:w="714" w:type="dxa"/>
                  <w:shd w:val="clear" w:color="auto" w:fill="7EA0AE"/>
                </w:tcPr>
                <w:p w14:paraId="0A6ED7DE" w14:textId="77777777" w:rsidR="008649AB" w:rsidRPr="008649AB" w:rsidRDefault="008649AB" w:rsidP="006A2383">
                  <w:pPr>
                    <w:pStyle w:val="TableText-LeftJustify"/>
                    <w:rPr>
                      <w:rStyle w:val="Emphasis-Remove"/>
                      <w:color w:val="FFFFFF" w:themeColor="background1"/>
                      <w:highlight w:val="yellow"/>
                    </w:rPr>
                  </w:pPr>
                  <w:r w:rsidRPr="008649AB">
                    <w:rPr>
                      <w:rStyle w:val="Emphasis-Remove"/>
                      <w:rFonts w:asciiTheme="minorHAnsi" w:hAnsiTheme="minorHAnsi" w:cstheme="minorHAnsi"/>
                      <w:color w:val="FFFFFF" w:themeColor="background1"/>
                    </w:rPr>
                    <w:t>P3</w:t>
                  </w:r>
                </w:p>
              </w:tc>
              <w:tc>
                <w:tcPr>
                  <w:tcW w:w="8358" w:type="dxa"/>
                </w:tcPr>
                <w:p w14:paraId="3AFAB3F2" w14:textId="77777777" w:rsidR="008649AB" w:rsidRPr="00D841B0" w:rsidRDefault="008649AB" w:rsidP="006A2383">
                  <w:pPr>
                    <w:pStyle w:val="BodyText"/>
                    <w:spacing w:before="20" w:after="20"/>
                    <w:rPr>
                      <w:rStyle w:val="Tabletext-12point"/>
                      <w:rFonts w:cs="Calibri"/>
                      <w:sz w:val="20"/>
                    </w:rPr>
                  </w:pPr>
                  <w:r w:rsidRPr="00D841B0">
                    <w:rPr>
                      <w:rStyle w:val="Tabletext-12point"/>
                      <w:rFonts w:cs="Calibri"/>
                      <w:sz w:val="20"/>
                    </w:rPr>
                    <w:t>Set alternative X-factors such that, in most cases, initial price shock is limited to 20% in real per ICP. terms, and the change between years within the regulatory period to 10% (based on the price shock and notional financeability assessments).</w:t>
                  </w:r>
                </w:p>
              </w:tc>
            </w:tr>
            <w:tr w:rsidR="008649AB" w:rsidRPr="00D841B0" w14:paraId="782C13C1" w14:textId="77777777" w:rsidTr="008649AB">
              <w:tc>
                <w:tcPr>
                  <w:tcW w:w="714" w:type="dxa"/>
                  <w:shd w:val="clear" w:color="auto" w:fill="7EA0AE"/>
                </w:tcPr>
                <w:p w14:paraId="3838B2B1" w14:textId="77777777" w:rsidR="008649AB" w:rsidRPr="008649AB" w:rsidRDefault="008649AB" w:rsidP="006A2383">
                  <w:pPr>
                    <w:pStyle w:val="TableText-LeftJustify"/>
                    <w:rPr>
                      <w:rStyle w:val="Emphasis-Remove"/>
                      <w:rFonts w:asciiTheme="minorHAnsi" w:hAnsiTheme="minorHAnsi" w:cstheme="minorHAnsi"/>
                      <w:color w:val="FFFFFF" w:themeColor="background1"/>
                      <w:highlight w:val="yellow"/>
                    </w:rPr>
                  </w:pPr>
                  <w:r w:rsidRPr="008649AB">
                    <w:rPr>
                      <w:rStyle w:val="Emphasis-Remove"/>
                      <w:rFonts w:asciiTheme="minorHAnsi" w:hAnsiTheme="minorHAnsi" w:cstheme="minorHAnsi"/>
                      <w:color w:val="FFFFFF" w:themeColor="background1"/>
                    </w:rPr>
                    <w:t>P4</w:t>
                  </w:r>
                </w:p>
              </w:tc>
              <w:tc>
                <w:tcPr>
                  <w:tcW w:w="8358" w:type="dxa"/>
                </w:tcPr>
                <w:p w14:paraId="1D0F89F4" w14:textId="77777777" w:rsidR="008649AB" w:rsidRPr="00D841B0" w:rsidRDefault="008649AB" w:rsidP="006A2383">
                  <w:pPr>
                    <w:pStyle w:val="BodyText"/>
                    <w:spacing w:before="20" w:after="20"/>
                    <w:rPr>
                      <w:rStyle w:val="Tabletext-12point"/>
                      <w:rFonts w:cs="Calibri"/>
                      <w:sz w:val="20"/>
                    </w:rPr>
                  </w:pPr>
                  <w:r w:rsidRPr="00D841B0">
                    <w:rPr>
                      <w:rStyle w:val="Tabletext-12point"/>
                      <w:rFonts w:cs="Calibri"/>
                      <w:sz w:val="20"/>
                    </w:rPr>
                    <w:t>Assess price shocks on a real revenue per ICP basis, incorporating wash-ups and IRIS.</w:t>
                  </w:r>
                </w:p>
              </w:tc>
            </w:tr>
            <w:tr w:rsidR="008649AB" w:rsidRPr="00D841B0" w14:paraId="23EA4897" w14:textId="77777777" w:rsidTr="008649AB">
              <w:tc>
                <w:tcPr>
                  <w:tcW w:w="714" w:type="dxa"/>
                  <w:shd w:val="clear" w:color="auto" w:fill="7EA0AE"/>
                </w:tcPr>
                <w:p w14:paraId="4DFEC335" w14:textId="74B1340F" w:rsidR="008649AB" w:rsidRPr="008649AB" w:rsidRDefault="008649AB" w:rsidP="006A2383">
                  <w:pPr>
                    <w:pStyle w:val="TableText-LeftJustify"/>
                    <w:rPr>
                      <w:rStyle w:val="Emphasis-Remove"/>
                      <w:rFonts w:asciiTheme="minorHAnsi" w:hAnsiTheme="minorHAnsi" w:cstheme="minorHAnsi"/>
                      <w:color w:val="FFFFFF" w:themeColor="background1"/>
                    </w:rPr>
                  </w:pPr>
                  <w:r w:rsidRPr="008649AB">
                    <w:rPr>
                      <w:rStyle w:val="Emphasis-Remove"/>
                      <w:rFonts w:asciiTheme="minorHAnsi" w:hAnsiTheme="minorHAnsi" w:cstheme="minorHAnsi"/>
                      <w:color w:val="FFFFFF" w:themeColor="background1"/>
                    </w:rPr>
                    <w:t>P5</w:t>
                  </w:r>
                  <w:r>
                    <w:rPr>
                      <w:rStyle w:val="Emphasis-Remove"/>
                      <w:rFonts w:asciiTheme="minorHAnsi" w:hAnsiTheme="minorHAnsi" w:cstheme="minorHAnsi"/>
                      <w:color w:val="FFFFFF" w:themeColor="background1"/>
                    </w:rPr>
                    <w:t xml:space="preserve"> </w:t>
                  </w:r>
                  <w:r>
                    <w:rPr>
                      <w:rStyle w:val="Emphasis-Remove"/>
                      <w:color w:val="FFFFFF" w:themeColor="background1"/>
                    </w:rPr>
                    <w:t xml:space="preserve"> </w:t>
                  </w:r>
                </w:p>
              </w:tc>
              <w:tc>
                <w:tcPr>
                  <w:tcW w:w="8358" w:type="dxa"/>
                </w:tcPr>
                <w:p w14:paraId="563755FA" w14:textId="77777777" w:rsidR="008649AB" w:rsidRPr="00D841B0" w:rsidRDefault="008649AB" w:rsidP="006A2383">
                  <w:pPr>
                    <w:pStyle w:val="BodyText"/>
                    <w:spacing w:before="20" w:after="20"/>
                    <w:rPr>
                      <w:rStyle w:val="Tabletext-12point"/>
                      <w:rFonts w:cs="Calibri"/>
                      <w:sz w:val="20"/>
                    </w:rPr>
                  </w:pPr>
                  <w:r w:rsidRPr="00D841B0">
                    <w:rPr>
                      <w:rStyle w:val="Tabletext-12point"/>
                      <w:rFonts w:cs="Calibri"/>
                      <w:sz w:val="20"/>
                    </w:rPr>
                    <w:t>Assess notional financeability using FFO/Debt and Debt/EBITDA ratios.</w:t>
                  </w:r>
                </w:p>
              </w:tc>
            </w:tr>
          </w:tbl>
          <w:p w14:paraId="30A71698" w14:textId="3C371A72" w:rsidR="005124F2" w:rsidRPr="008C0157" w:rsidRDefault="008649AB" w:rsidP="005124F2">
            <w:pPr>
              <w:pStyle w:val="Tablebodytext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871762" w:rsidRPr="008A5147" w14:paraId="43FCA0FC" w14:textId="77777777" w:rsidTr="0040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9F9"/>
            <w:vAlign w:val="top"/>
          </w:tcPr>
          <w:p w14:paraId="35CE3CBB" w14:textId="65B6A168" w:rsidR="00871762" w:rsidRPr="008C0157" w:rsidRDefault="008C0157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C015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Views/Response</w:t>
            </w:r>
            <w:r w:rsidR="00AA303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:</w:t>
            </w:r>
          </w:p>
        </w:tc>
      </w:tr>
      <w:tr w:rsidR="00F51EE7" w:rsidRPr="008A5147" w14:paraId="2DF375D2" w14:textId="77777777" w:rsidTr="00403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0E9EC"/>
            <w:vAlign w:val="top"/>
          </w:tcPr>
          <w:p w14:paraId="15C9DE82" w14:textId="1DA6A46F" w:rsidR="00F51EE7" w:rsidRDefault="00BF6F3E" w:rsidP="00EC35BD">
            <w:pPr>
              <w:pStyle w:val="Tablebodytext"/>
              <w:spacing w:after="160" w:line="240" w:lineRule="auto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       </w:t>
            </w:r>
            <w:r w:rsidRPr="00BF6F3E">
              <w:rPr>
                <w:rFonts w:cstheme="minorHAnsi"/>
                <w:sz w:val="22"/>
                <w:szCs w:val="22"/>
              </w:rPr>
              <w:t>1</w:t>
            </w:r>
            <w:r w:rsidR="000923EB">
              <w:rPr>
                <w:rFonts w:cstheme="minorHAnsi"/>
                <w:sz w:val="22"/>
                <w:szCs w:val="22"/>
              </w:rPr>
              <w:t>1</w:t>
            </w:r>
            <w:r w:rsidRPr="00BF6F3E">
              <w:rPr>
                <w:rFonts w:cstheme="minorHAnsi"/>
                <w:sz w:val="20"/>
                <w:szCs w:val="20"/>
              </w:rPr>
              <w:t>.</w:t>
            </w:r>
            <w:r w:rsidRPr="00EC26B5">
              <w:rPr>
                <w:rFonts w:cstheme="minorHAnsi"/>
                <w:sz w:val="22"/>
                <w:szCs w:val="22"/>
              </w:rPr>
              <w:t xml:space="preserve"> </w:t>
            </w:r>
            <w:r w:rsidR="00116898" w:rsidRPr="00EC26B5">
              <w:rPr>
                <w:rFonts w:cstheme="minorHAnsi"/>
                <w:sz w:val="22"/>
                <w:szCs w:val="22"/>
              </w:rPr>
              <w:t>IRIS</w:t>
            </w:r>
          </w:p>
          <w:tbl>
            <w:tblPr>
              <w:tblStyle w:val="TableGrid"/>
              <w:tblW w:w="907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8358"/>
            </w:tblGrid>
            <w:tr w:rsidR="008649AB" w:rsidRPr="005C583D" w14:paraId="4BBD58F1" w14:textId="77777777" w:rsidTr="008649AB">
              <w:tc>
                <w:tcPr>
                  <w:tcW w:w="714" w:type="dxa"/>
                  <w:shd w:val="clear" w:color="auto" w:fill="7EA0AE"/>
                </w:tcPr>
                <w:p w14:paraId="02930492" w14:textId="77777777" w:rsidR="008649AB" w:rsidRPr="008649AB" w:rsidRDefault="008649AB" w:rsidP="001D1717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I1</w:t>
                  </w:r>
                </w:p>
              </w:tc>
              <w:tc>
                <w:tcPr>
                  <w:tcW w:w="8358" w:type="dxa"/>
                </w:tcPr>
                <w:p w14:paraId="255512C2" w14:textId="77777777" w:rsidR="008649AB" w:rsidRPr="005C583D" w:rsidRDefault="008649AB" w:rsidP="001D1717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IRIS retention rate for capex is equivalent to the opex rate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8649AB" w:rsidRPr="005C583D" w14:paraId="14F2B52F" w14:textId="77777777" w:rsidTr="008649AB">
              <w:tc>
                <w:tcPr>
                  <w:tcW w:w="714" w:type="dxa"/>
                  <w:shd w:val="clear" w:color="auto" w:fill="7EA0AE"/>
                </w:tcPr>
                <w:p w14:paraId="3A0A05CB" w14:textId="77777777" w:rsidR="008649AB" w:rsidRPr="008649AB" w:rsidRDefault="008649AB" w:rsidP="001D1717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I2</w:t>
                  </w:r>
                </w:p>
              </w:tc>
              <w:tc>
                <w:tcPr>
                  <w:tcW w:w="8358" w:type="dxa"/>
                </w:tcPr>
                <w:p w14:paraId="193803B3" w14:textId="77777777" w:rsidR="008649AB" w:rsidRPr="005C583D" w:rsidRDefault="008649AB" w:rsidP="001D1717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Determine IRIS opex and capex forecasts in real terms (inflated by CPI)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</w:tbl>
          <w:p w14:paraId="60581390" w14:textId="13791788" w:rsidR="00116898" w:rsidRPr="00BF6F3E" w:rsidRDefault="001978ED" w:rsidP="00EC35BD">
            <w:pPr>
              <w:pStyle w:val="Tablebodytext"/>
              <w:spacing w:after="1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</w:tc>
      </w:tr>
      <w:tr w:rsidR="002523D8" w:rsidRPr="008A5147" w14:paraId="2DD23C64" w14:textId="77777777" w:rsidTr="005E6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5F9F9"/>
            <w:vAlign w:val="top"/>
          </w:tcPr>
          <w:p w14:paraId="02AC9499" w14:textId="77777777" w:rsidR="002523D8" w:rsidRDefault="002523D8" w:rsidP="00EC35BD">
            <w:pPr>
              <w:pStyle w:val="Tablebodytext"/>
              <w:spacing w:after="16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15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Views/Response</w:t>
            </w:r>
            <w:r w:rsidR="00EC26B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:</w:t>
            </w:r>
          </w:p>
          <w:p w14:paraId="30B8F5F8" w14:textId="77777777" w:rsidR="005E6ECF" w:rsidRDefault="005E6ECF" w:rsidP="00EC35BD">
            <w:pPr>
              <w:pStyle w:val="Tablebodytext"/>
              <w:spacing w:after="160" w:line="240" w:lineRule="auto"/>
              <w:rPr>
                <w:rFonts w:cstheme="minorHAnsi"/>
                <w:sz w:val="20"/>
                <w:szCs w:val="20"/>
              </w:rPr>
            </w:pPr>
          </w:p>
          <w:p w14:paraId="62B82F16" w14:textId="77777777" w:rsidR="005E6ECF" w:rsidRDefault="005E6ECF" w:rsidP="00EC35BD">
            <w:pPr>
              <w:pStyle w:val="Tablebodytext"/>
              <w:spacing w:after="160" w:line="240" w:lineRule="auto"/>
              <w:rPr>
                <w:rFonts w:cstheme="minorHAnsi"/>
                <w:sz w:val="20"/>
                <w:szCs w:val="20"/>
              </w:rPr>
            </w:pPr>
          </w:p>
          <w:p w14:paraId="61E73AD6" w14:textId="77777777" w:rsidR="005E6ECF" w:rsidRDefault="005E6ECF" w:rsidP="00EC35BD">
            <w:pPr>
              <w:pStyle w:val="Tablebodytext"/>
              <w:spacing w:after="160" w:line="240" w:lineRule="auto"/>
              <w:rPr>
                <w:rFonts w:cstheme="minorHAnsi"/>
                <w:b w:val="0"/>
                <w:sz w:val="20"/>
                <w:szCs w:val="20"/>
              </w:rPr>
            </w:pPr>
          </w:p>
          <w:p w14:paraId="6188F8F5" w14:textId="77777777" w:rsidR="002940E9" w:rsidRDefault="002940E9" w:rsidP="00EC35BD">
            <w:pPr>
              <w:pStyle w:val="Tablebodytext"/>
              <w:spacing w:after="160" w:line="240" w:lineRule="auto"/>
              <w:rPr>
                <w:rFonts w:cstheme="minorHAnsi"/>
                <w:b w:val="0"/>
                <w:sz w:val="20"/>
                <w:szCs w:val="20"/>
              </w:rPr>
            </w:pPr>
          </w:p>
          <w:p w14:paraId="1A39933D" w14:textId="2A5AF05E" w:rsidR="002940E9" w:rsidRDefault="002940E9" w:rsidP="00EC35BD">
            <w:pPr>
              <w:pStyle w:val="Tablebodytext"/>
              <w:spacing w:after="1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C0157" w:rsidRPr="008A5147" w14:paraId="0C067884" w14:textId="77777777" w:rsidTr="005E6E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E0E9EC"/>
            <w:vAlign w:val="top"/>
          </w:tcPr>
          <w:p w14:paraId="3B7A49D5" w14:textId="07D155F6" w:rsidR="008C0157" w:rsidRDefault="005F242C" w:rsidP="005F242C">
            <w:pPr>
              <w:pStyle w:val="Tablebodytext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923E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978ED">
              <w:rPr>
                <w:rFonts w:asciiTheme="minorHAnsi" w:hAnsiTheme="minorHAnsi" w:cstheme="minorHAnsi"/>
                <w:sz w:val="22"/>
                <w:szCs w:val="22"/>
              </w:rPr>
              <w:t>Revenu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Path</w:t>
            </w:r>
          </w:p>
          <w:tbl>
            <w:tblPr>
              <w:tblStyle w:val="TableGrid"/>
              <w:tblW w:w="907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8358"/>
            </w:tblGrid>
            <w:tr w:rsidR="008649AB" w:rsidRPr="005C583D" w14:paraId="1FFAAC04" w14:textId="77777777" w:rsidTr="008649AB">
              <w:tc>
                <w:tcPr>
                  <w:tcW w:w="714" w:type="dxa"/>
                  <w:shd w:val="clear" w:color="auto" w:fill="7EA0AE"/>
                </w:tcPr>
                <w:p w14:paraId="0F19B284" w14:textId="77777777" w:rsidR="008649AB" w:rsidRPr="008649AB" w:rsidRDefault="008649AB" w:rsidP="002523D8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R1.1</w:t>
                  </w:r>
                </w:p>
              </w:tc>
              <w:tc>
                <w:tcPr>
                  <w:tcW w:w="8358" w:type="dxa"/>
                </w:tcPr>
                <w:p w14:paraId="6BD686B5" w14:textId="77777777" w:rsidR="008649AB" w:rsidRPr="005C583D" w:rsidRDefault="008649AB" w:rsidP="002523D8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Apply a revenue cap with wash-up as the form of control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8649AB" w:rsidRPr="005C583D" w14:paraId="22154CC9" w14:textId="77777777" w:rsidTr="008649AB">
              <w:tc>
                <w:tcPr>
                  <w:tcW w:w="714" w:type="dxa"/>
                  <w:shd w:val="clear" w:color="auto" w:fill="7EA0AE"/>
                </w:tcPr>
                <w:p w14:paraId="6EA5DC68" w14:textId="77777777" w:rsidR="008649AB" w:rsidRPr="008649AB" w:rsidRDefault="008649AB" w:rsidP="002523D8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R1.2</w:t>
                  </w:r>
                </w:p>
              </w:tc>
              <w:tc>
                <w:tcPr>
                  <w:tcW w:w="8358" w:type="dxa"/>
                </w:tcPr>
                <w:p w14:paraId="2A6C9177" w14:textId="77777777" w:rsidR="008649AB" w:rsidRPr="005C583D" w:rsidRDefault="008649AB" w:rsidP="002523D8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Forecast CPI based on the four-quarter average change in CPI between the first year of the regulatory period and the current year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8649AB" w:rsidRPr="005C583D" w14:paraId="7EE4181D" w14:textId="77777777" w:rsidTr="008649AB">
              <w:tc>
                <w:tcPr>
                  <w:tcW w:w="714" w:type="dxa"/>
                  <w:shd w:val="clear" w:color="auto" w:fill="7EA0AE"/>
                </w:tcPr>
                <w:p w14:paraId="262F8A98" w14:textId="77777777" w:rsidR="008649AB" w:rsidRPr="008649AB" w:rsidRDefault="008649AB" w:rsidP="002523D8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R1.3</w:t>
                  </w:r>
                </w:p>
              </w:tc>
              <w:tc>
                <w:tcPr>
                  <w:tcW w:w="8358" w:type="dxa"/>
                </w:tcPr>
                <w:p w14:paraId="4A8C2E96" w14:textId="77777777" w:rsidR="008649AB" w:rsidRPr="005C583D" w:rsidRDefault="008649AB" w:rsidP="002523D8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Apply a 90% "voluntary undercharging" limit (or an alternative in some cases)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8649AB" w:rsidRPr="00F13D71" w14:paraId="05F090EC" w14:textId="77777777" w:rsidTr="008649AB">
              <w:tc>
                <w:tcPr>
                  <w:tcW w:w="714" w:type="dxa"/>
                  <w:shd w:val="clear" w:color="auto" w:fill="7EA0AE"/>
                </w:tcPr>
                <w:p w14:paraId="0F7E18C2" w14:textId="77777777" w:rsidR="008649AB" w:rsidRPr="008649AB" w:rsidRDefault="008649AB" w:rsidP="002523D8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R1.4</w:t>
                  </w:r>
                </w:p>
              </w:tc>
              <w:tc>
                <w:tcPr>
                  <w:tcW w:w="8358" w:type="dxa"/>
                  <w:shd w:val="clear" w:color="auto" w:fill="auto"/>
                </w:tcPr>
                <w:p w14:paraId="57A23C4F" w14:textId="55259760" w:rsidR="008649AB" w:rsidRPr="00F13D71" w:rsidRDefault="008649AB" w:rsidP="002523D8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F13D71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 xml:space="preserve">Include a large connection contract </w:t>
                  </w:r>
                  <w:r w:rsidR="00A621D4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(</w:t>
                  </w:r>
                  <w:r w:rsidR="00A621D4" w:rsidRPr="007647CC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 xml:space="preserve">LCC) </w:t>
                  </w:r>
                  <w:r w:rsidRPr="00F13D71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wash-up term in the wash-up accrual formula, to avoid recovery of LCC revenue from other customers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8649AB" w:rsidRPr="00F13D71" w14:paraId="0CED359A" w14:textId="77777777" w:rsidTr="008649AB">
              <w:tc>
                <w:tcPr>
                  <w:tcW w:w="714" w:type="dxa"/>
                  <w:shd w:val="clear" w:color="auto" w:fill="7EA0AE"/>
                </w:tcPr>
                <w:p w14:paraId="78F468A0" w14:textId="77777777" w:rsidR="008649AB" w:rsidRPr="008649AB" w:rsidRDefault="008649AB" w:rsidP="002523D8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R1.5</w:t>
                  </w:r>
                </w:p>
              </w:tc>
              <w:tc>
                <w:tcPr>
                  <w:tcW w:w="8358" w:type="dxa"/>
                  <w:shd w:val="clear" w:color="auto" w:fill="auto"/>
                </w:tcPr>
                <w:p w14:paraId="73FEB185" w14:textId="77777777" w:rsidR="008649AB" w:rsidRPr="00F13D71" w:rsidRDefault="008649AB" w:rsidP="002523D8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Allow distributors to agree a reasonable reallocation of revenue following an asset transfer.</w:t>
                  </w:r>
                </w:p>
              </w:tc>
            </w:tr>
            <w:tr w:rsidR="008649AB" w:rsidRPr="005C583D" w14:paraId="40720A22" w14:textId="77777777" w:rsidTr="008649AB">
              <w:tc>
                <w:tcPr>
                  <w:tcW w:w="714" w:type="dxa"/>
                  <w:shd w:val="clear" w:color="auto" w:fill="7EA0AE"/>
                </w:tcPr>
                <w:p w14:paraId="032E1936" w14:textId="77777777" w:rsidR="008649AB" w:rsidRPr="008649AB" w:rsidRDefault="008649AB" w:rsidP="002523D8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R2.1</w:t>
                  </w:r>
                </w:p>
              </w:tc>
              <w:tc>
                <w:tcPr>
                  <w:tcW w:w="8358" w:type="dxa"/>
                </w:tcPr>
                <w:p w14:paraId="33618D2F" w14:textId="77777777" w:rsidR="008649AB" w:rsidRPr="005C583D" w:rsidRDefault="008649AB" w:rsidP="002523D8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Apply the revenue smoothing limit based on forecast net allowable revenue for the current year and CPI-adjusted recoverable costs from the prior year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8649AB" w:rsidRPr="00D841B0" w14:paraId="73ECA731" w14:textId="77777777" w:rsidTr="008649AB">
              <w:tc>
                <w:tcPr>
                  <w:tcW w:w="714" w:type="dxa"/>
                  <w:shd w:val="clear" w:color="auto" w:fill="7EA0AE"/>
                </w:tcPr>
                <w:p w14:paraId="71FB8DD2" w14:textId="77777777" w:rsidR="008649AB" w:rsidRPr="008649AB" w:rsidRDefault="008649AB" w:rsidP="002523D8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R2.2</w:t>
                  </w:r>
                </w:p>
              </w:tc>
              <w:tc>
                <w:tcPr>
                  <w:tcW w:w="8358" w:type="dxa"/>
                </w:tcPr>
                <w:p w14:paraId="78F1EBB6" w14:textId="77777777" w:rsidR="008649AB" w:rsidRPr="00D841B0" w:rsidRDefault="008649AB" w:rsidP="002523D8">
                  <w:pPr>
                    <w:pStyle w:val="BodyText"/>
                    <w:spacing w:before="20" w:after="20"/>
                    <w:rPr>
                      <w:rStyle w:val="Tabletext-12point"/>
                      <w:sz w:val="20"/>
                    </w:rPr>
                  </w:pPr>
                  <w:r w:rsidRPr="00D841B0">
                    <w:rPr>
                      <w:rStyle w:val="Tabletext-12point"/>
                      <w:sz w:val="20"/>
                    </w:rPr>
                    <w:t>Apply a revenue smoothing limit of 10%.</w:t>
                  </w:r>
                </w:p>
              </w:tc>
            </w:tr>
            <w:tr w:rsidR="008649AB" w:rsidRPr="005C583D" w14:paraId="1246B6C3" w14:textId="77777777" w:rsidTr="008649AB">
              <w:tc>
                <w:tcPr>
                  <w:tcW w:w="714" w:type="dxa"/>
                  <w:shd w:val="clear" w:color="auto" w:fill="7EA0AE"/>
                </w:tcPr>
                <w:p w14:paraId="58D6E93A" w14:textId="77777777" w:rsidR="008649AB" w:rsidRPr="008649AB" w:rsidRDefault="008649AB" w:rsidP="002523D8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R3.1</w:t>
                  </w:r>
                </w:p>
              </w:tc>
              <w:tc>
                <w:tcPr>
                  <w:tcW w:w="8358" w:type="dxa"/>
                </w:tcPr>
                <w:p w14:paraId="68013B24" w14:textId="77777777" w:rsidR="008649AB" w:rsidRPr="005C583D" w:rsidRDefault="008649AB" w:rsidP="002523D8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Implement the revenue wash-up by specifying a re-run of the DPP4 financial model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8649AB" w:rsidRPr="005C583D" w14:paraId="45051E18" w14:textId="77777777" w:rsidTr="008649AB">
              <w:tc>
                <w:tcPr>
                  <w:tcW w:w="714" w:type="dxa"/>
                  <w:shd w:val="clear" w:color="auto" w:fill="7EA0AE"/>
                </w:tcPr>
                <w:p w14:paraId="3DDE12C8" w14:textId="77777777" w:rsidR="008649AB" w:rsidRPr="008649AB" w:rsidRDefault="008649AB" w:rsidP="002523D8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R3.2</w:t>
                  </w:r>
                </w:p>
              </w:tc>
              <w:tc>
                <w:tcPr>
                  <w:tcW w:w="8358" w:type="dxa"/>
                </w:tcPr>
                <w:p w14:paraId="4B4C311E" w14:textId="77777777" w:rsidR="008649AB" w:rsidRPr="005C583D" w:rsidRDefault="008649AB" w:rsidP="002523D8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Calculate the Y1 inflation wash-up based on the four-quarter average change in inflation between Y0 and Y1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8649AB" w:rsidRPr="005C583D" w14:paraId="35C4393C" w14:textId="77777777" w:rsidTr="008649AB">
              <w:tc>
                <w:tcPr>
                  <w:tcW w:w="714" w:type="dxa"/>
                  <w:shd w:val="clear" w:color="auto" w:fill="7EA0AE"/>
                </w:tcPr>
                <w:p w14:paraId="70606285" w14:textId="77777777" w:rsidR="008649AB" w:rsidRPr="008649AB" w:rsidRDefault="008649AB" w:rsidP="002523D8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R3.3</w:t>
                  </w:r>
                </w:p>
              </w:tc>
              <w:tc>
                <w:tcPr>
                  <w:tcW w:w="8358" w:type="dxa"/>
                </w:tcPr>
                <w:p w14:paraId="5B21ABAF" w14:textId="77777777" w:rsidR="008649AB" w:rsidRPr="005C583D" w:rsidRDefault="008649AB" w:rsidP="002523D8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Do not specify base revenue wash-up draw down amounts for DPP4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8649AB" w:rsidRPr="005C583D" w14:paraId="4336ABD1" w14:textId="77777777" w:rsidTr="008649AB">
              <w:tc>
                <w:tcPr>
                  <w:tcW w:w="714" w:type="dxa"/>
                  <w:shd w:val="clear" w:color="auto" w:fill="7EA0AE"/>
                </w:tcPr>
                <w:p w14:paraId="43D47269" w14:textId="77777777" w:rsidR="008649AB" w:rsidRPr="008649AB" w:rsidRDefault="008649AB" w:rsidP="002523D8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R3.4</w:t>
                  </w:r>
                </w:p>
              </w:tc>
              <w:tc>
                <w:tcPr>
                  <w:tcW w:w="8358" w:type="dxa"/>
                </w:tcPr>
                <w:p w14:paraId="5BE38A1F" w14:textId="77777777" w:rsidR="008649AB" w:rsidRPr="005C583D" w:rsidRDefault="008649AB" w:rsidP="002523D8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Calculate the time-value of money of the opening wash-up balance using one year of the DPP3 WACC and one year of a blended DPP3/DPP4 WACC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 xml:space="preserve"> (for a value of 5.25%). </w:t>
                  </w:r>
                  <w:r w:rsidRPr="00D841B0">
                    <w:rPr>
                      <w:rStyle w:val="Tabletext-12point"/>
                      <w:sz w:val="20"/>
                    </w:rPr>
                    <w:t>[This will be updated for the final decision.]</w:t>
                  </w:r>
                </w:p>
              </w:tc>
            </w:tr>
          </w:tbl>
          <w:p w14:paraId="3B49747B" w14:textId="678C46B5" w:rsidR="008C0157" w:rsidRPr="00BE2168" w:rsidRDefault="00D76CF9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</w:t>
            </w:r>
          </w:p>
        </w:tc>
      </w:tr>
      <w:tr w:rsidR="00F51EE7" w:rsidRPr="008A5147" w14:paraId="06FADE98" w14:textId="77777777" w:rsidTr="0040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5F9F9"/>
            <w:vAlign w:val="top"/>
          </w:tcPr>
          <w:p w14:paraId="6F4A0DA8" w14:textId="3160F221" w:rsidR="00871762" w:rsidRPr="008C0157" w:rsidRDefault="008C0157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C015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Views/ Response</w:t>
            </w:r>
            <w:r w:rsidR="00EC26B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:</w:t>
            </w:r>
          </w:p>
        </w:tc>
      </w:tr>
      <w:tr w:rsidR="008C0157" w:rsidRPr="008A5147" w14:paraId="60B1F741" w14:textId="77777777" w:rsidTr="00403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9EC"/>
            <w:vAlign w:val="top"/>
          </w:tcPr>
          <w:p w14:paraId="5320D4B1" w14:textId="3E9B08B9" w:rsidR="008C0157" w:rsidRPr="008C0157" w:rsidRDefault="008C0157" w:rsidP="00E1189B">
            <w:pPr>
              <w:pStyle w:val="Table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C01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      13.</w:t>
            </w:r>
            <w:r w:rsidR="00EC26B5">
              <w:rPr>
                <w:rFonts w:asciiTheme="minorHAnsi" w:hAnsiTheme="minorHAnsi" w:cstheme="minorHAnsi"/>
                <w:sz w:val="22"/>
                <w:szCs w:val="22"/>
              </w:rPr>
              <w:t xml:space="preserve"> Other Matters</w:t>
            </w:r>
            <w:r w:rsidRPr="008C01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907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8358"/>
            </w:tblGrid>
            <w:tr w:rsidR="008649AB" w:rsidRPr="005C583D" w14:paraId="1FEC18B3" w14:textId="77777777" w:rsidTr="00F06803">
              <w:tc>
                <w:tcPr>
                  <w:tcW w:w="714" w:type="dxa"/>
                  <w:shd w:val="clear" w:color="auto" w:fill="7EA0AE"/>
                </w:tcPr>
                <w:p w14:paraId="5E5E179B" w14:textId="77777777" w:rsidR="008649AB" w:rsidRPr="008649AB" w:rsidRDefault="008649AB" w:rsidP="007135B0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X1</w:t>
                  </w:r>
                </w:p>
              </w:tc>
              <w:tc>
                <w:tcPr>
                  <w:tcW w:w="8358" w:type="dxa"/>
                  <w:shd w:val="clear" w:color="auto" w:fill="E0E9EC"/>
                </w:tcPr>
                <w:p w14:paraId="0B56E717" w14:textId="77777777" w:rsidR="008649AB" w:rsidRPr="005C583D" w:rsidRDefault="008649AB" w:rsidP="007135B0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Retain the current five-year regulatory period length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8649AB" w:rsidRPr="005C583D" w14:paraId="5FEC1556" w14:textId="77777777" w:rsidTr="00F06803">
              <w:tc>
                <w:tcPr>
                  <w:tcW w:w="714" w:type="dxa"/>
                  <w:shd w:val="clear" w:color="auto" w:fill="7EA0AE"/>
                </w:tcPr>
                <w:p w14:paraId="3F7C5F79" w14:textId="77777777" w:rsidR="008649AB" w:rsidRPr="008649AB" w:rsidRDefault="008649AB" w:rsidP="007135B0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X2</w:t>
                  </w:r>
                </w:p>
              </w:tc>
              <w:tc>
                <w:tcPr>
                  <w:tcW w:w="8358" w:type="dxa"/>
                  <w:shd w:val="clear" w:color="auto" w:fill="E0E9EC"/>
                </w:tcPr>
                <w:p w14:paraId="18CBDD0E" w14:textId="77777777" w:rsidR="008649AB" w:rsidRPr="005C583D" w:rsidRDefault="008649AB" w:rsidP="007135B0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Bidi"/>
                      <w:sz w:val="20"/>
                    </w:rPr>
                  </w:pPr>
                  <w:r w:rsidRPr="00D51EB3">
                    <w:rPr>
                      <w:rStyle w:val="Tabletext-12point"/>
                      <w:rFonts w:asciiTheme="minorHAnsi" w:hAnsiTheme="minorHAnsi" w:cstheme="minorBidi"/>
                      <w:sz w:val="20"/>
                    </w:rPr>
                    <w:t>Include Aurora in the DPP4 expenditure and revenue setting process.</w:t>
                  </w:r>
                </w:p>
              </w:tc>
            </w:tr>
            <w:tr w:rsidR="008649AB" w:rsidRPr="005C583D" w14:paraId="52E212E5" w14:textId="77777777" w:rsidTr="00F06803">
              <w:tc>
                <w:tcPr>
                  <w:tcW w:w="714" w:type="dxa"/>
                  <w:shd w:val="clear" w:color="auto" w:fill="7EA0AE"/>
                </w:tcPr>
                <w:p w14:paraId="7EFB675E" w14:textId="77777777" w:rsidR="008649AB" w:rsidRPr="008649AB" w:rsidRDefault="008649AB" w:rsidP="007135B0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X3</w:t>
                  </w:r>
                </w:p>
              </w:tc>
              <w:tc>
                <w:tcPr>
                  <w:tcW w:w="8358" w:type="dxa"/>
                  <w:shd w:val="clear" w:color="auto" w:fill="E0E9EC"/>
                </w:tcPr>
                <w:p w14:paraId="226D36F5" w14:textId="77777777" w:rsidR="008649AB" w:rsidRPr="005C583D" w:rsidRDefault="008649AB" w:rsidP="007135B0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5C583D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Retain the CPP application timings set for DPP3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</w:tbl>
          <w:p w14:paraId="7B615976" w14:textId="33786B99" w:rsidR="008C0157" w:rsidRPr="008C0157" w:rsidRDefault="008649AB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8649AB" w:rsidRPr="008A5147" w14:paraId="69004DB3" w14:textId="77777777" w:rsidTr="0040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9F9"/>
            <w:vAlign w:val="top"/>
          </w:tcPr>
          <w:p w14:paraId="26676E54" w14:textId="674B673F" w:rsidR="00871762" w:rsidRPr="008C0157" w:rsidRDefault="008C0157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C015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Views/Response</w:t>
            </w:r>
            <w:r w:rsidR="00EC26B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:</w:t>
            </w:r>
          </w:p>
        </w:tc>
      </w:tr>
      <w:tr w:rsidR="00D76CF9" w:rsidRPr="008A5147" w14:paraId="5571952F" w14:textId="77777777" w:rsidTr="00416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9EC"/>
          </w:tcPr>
          <w:p w14:paraId="20A3FF60" w14:textId="1A3717DA" w:rsidR="00D76CF9" w:rsidRPr="00BE2168" w:rsidRDefault="00D76CF9" w:rsidP="00E1189B">
            <w:pPr>
              <w:pStyle w:val="Tablebodytext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35E0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44DF8">
              <w:rPr>
                <w:rFonts w:asciiTheme="minorHAnsi" w:hAnsiTheme="minorHAnsi" w:cstheme="minorHAnsi"/>
                <w:sz w:val="22"/>
                <w:szCs w:val="22"/>
              </w:rPr>
              <w:t>Other inputs to the financial model</w:t>
            </w:r>
          </w:p>
          <w:tbl>
            <w:tblPr>
              <w:tblStyle w:val="TableGrid"/>
              <w:tblW w:w="907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8358"/>
            </w:tblGrid>
            <w:tr w:rsidR="008649AB" w:rsidRPr="00D841B0" w14:paraId="1AEBF0DE" w14:textId="77777777" w:rsidTr="00416249">
              <w:tc>
                <w:tcPr>
                  <w:tcW w:w="714" w:type="dxa"/>
                  <w:shd w:val="clear" w:color="auto" w:fill="7EA0AE"/>
                </w:tcPr>
                <w:p w14:paraId="4E88C1AB" w14:textId="77777777" w:rsidR="008649AB" w:rsidRPr="008649AB" w:rsidRDefault="008649AB" w:rsidP="00E1189B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M1</w:t>
                  </w:r>
                </w:p>
              </w:tc>
              <w:tc>
                <w:tcPr>
                  <w:tcW w:w="8358" w:type="dxa"/>
                  <w:shd w:val="clear" w:color="auto" w:fill="E0E9EC"/>
                </w:tcPr>
                <w:p w14:paraId="4CB37067" w14:textId="77777777" w:rsidR="008649AB" w:rsidRPr="00D841B0" w:rsidRDefault="008649AB" w:rsidP="00E1189B">
                  <w:pPr>
                    <w:pStyle w:val="BodyText"/>
                    <w:spacing w:before="20" w:after="20"/>
                    <w:rPr>
                      <w:rStyle w:val="Tabletext-12point"/>
                      <w:sz w:val="20"/>
                    </w:rPr>
                  </w:pPr>
                  <w:r w:rsidRPr="00D841B0">
                    <w:rPr>
                      <w:rStyle w:val="Tabletext-12point"/>
                      <w:sz w:val="20"/>
                    </w:rPr>
                    <w:t>Weighted average cost of capital (WACC) of 7.37%. [This will be updated for the final decision.]</w:t>
                  </w:r>
                </w:p>
              </w:tc>
            </w:tr>
            <w:tr w:rsidR="008649AB" w:rsidRPr="005C583D" w14:paraId="1F262241" w14:textId="77777777" w:rsidTr="00416249">
              <w:tc>
                <w:tcPr>
                  <w:tcW w:w="714" w:type="dxa"/>
                  <w:shd w:val="clear" w:color="auto" w:fill="7EA0AE"/>
                </w:tcPr>
                <w:p w14:paraId="68843921" w14:textId="77777777" w:rsidR="008649AB" w:rsidRPr="008649AB" w:rsidRDefault="008649AB" w:rsidP="00E1189B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M2</w:t>
                  </w:r>
                </w:p>
              </w:tc>
              <w:tc>
                <w:tcPr>
                  <w:tcW w:w="8358" w:type="dxa"/>
                  <w:shd w:val="clear" w:color="auto" w:fill="E0E9EC"/>
                </w:tcPr>
                <w:p w14:paraId="4F87932E" w14:textId="77777777" w:rsidR="008649AB" w:rsidRPr="005C583D" w:rsidRDefault="008649AB" w:rsidP="00E1189B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D841B0">
                    <w:rPr>
                      <w:rStyle w:val="Tabletext-12point"/>
                      <w:sz w:val="20"/>
                    </w:rPr>
                    <w:t>Include an allowance for disposed assets, based on historical levels.</w:t>
                  </w:r>
                </w:p>
              </w:tc>
            </w:tr>
            <w:tr w:rsidR="008649AB" w:rsidRPr="005C583D" w14:paraId="740FAD93" w14:textId="77777777" w:rsidTr="00416249">
              <w:tc>
                <w:tcPr>
                  <w:tcW w:w="714" w:type="dxa"/>
                  <w:shd w:val="clear" w:color="auto" w:fill="7EA0AE"/>
                </w:tcPr>
                <w:p w14:paraId="14FCE996" w14:textId="77777777" w:rsidR="008649AB" w:rsidRPr="008649AB" w:rsidRDefault="008649AB" w:rsidP="00E1189B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M3</w:t>
                  </w:r>
                </w:p>
              </w:tc>
              <w:tc>
                <w:tcPr>
                  <w:tcW w:w="8358" w:type="dxa"/>
                  <w:shd w:val="clear" w:color="auto" w:fill="E0E9EC"/>
                </w:tcPr>
                <w:p w14:paraId="3D5B566F" w14:textId="77777777" w:rsidR="008649AB" w:rsidRPr="005C583D" w:rsidRDefault="008649AB" w:rsidP="00E1189B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C83385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Forecast depreciation on existing assets based on information provided by each EDB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8649AB" w:rsidRPr="005C583D" w14:paraId="0251AEEE" w14:textId="77777777" w:rsidTr="00416249">
              <w:tc>
                <w:tcPr>
                  <w:tcW w:w="714" w:type="dxa"/>
                  <w:shd w:val="clear" w:color="auto" w:fill="7EA0AE"/>
                </w:tcPr>
                <w:p w14:paraId="1882C4A9" w14:textId="77777777" w:rsidR="008649AB" w:rsidRPr="008649AB" w:rsidRDefault="008649AB" w:rsidP="00E1189B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M4</w:t>
                  </w:r>
                </w:p>
              </w:tc>
              <w:tc>
                <w:tcPr>
                  <w:tcW w:w="8358" w:type="dxa"/>
                  <w:shd w:val="clear" w:color="auto" w:fill="E0E9EC"/>
                </w:tcPr>
                <w:p w14:paraId="227BCC19" w14:textId="77777777" w:rsidR="008649AB" w:rsidRPr="005C583D" w:rsidRDefault="008649AB" w:rsidP="00E1189B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 w:rsidRPr="008B2605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Use base year data from 2024 Information Disclosures in our final decisions, and data from 2023 Information Disclosures for our draft decisions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  <w:tr w:rsidR="008649AB" w:rsidRPr="008B2605" w14:paraId="09832227" w14:textId="77777777" w:rsidTr="00416249">
              <w:tc>
                <w:tcPr>
                  <w:tcW w:w="714" w:type="dxa"/>
                  <w:shd w:val="clear" w:color="auto" w:fill="7EA0AE"/>
                </w:tcPr>
                <w:p w14:paraId="12B09DC1" w14:textId="77777777" w:rsidR="008649AB" w:rsidRPr="008649AB" w:rsidRDefault="008649AB" w:rsidP="00E1189B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  <w:r w:rsidRPr="008649AB">
                    <w:rPr>
                      <w:rStyle w:val="Tabletext-12point"/>
                      <w:rFonts w:asciiTheme="minorHAnsi" w:hAnsiTheme="minorHAnsi" w:cstheme="minorHAnsi"/>
                      <w:color w:val="FFFFFF" w:themeColor="background1"/>
                      <w:sz w:val="20"/>
                    </w:rPr>
                    <w:t>M5</w:t>
                  </w:r>
                </w:p>
              </w:tc>
              <w:tc>
                <w:tcPr>
                  <w:tcW w:w="8358" w:type="dxa"/>
                  <w:shd w:val="clear" w:color="auto" w:fill="E0E9EC"/>
                </w:tcPr>
                <w:p w14:paraId="5DC92AFD" w14:textId="77777777" w:rsidR="008649AB" w:rsidRPr="008B2605" w:rsidRDefault="008649AB" w:rsidP="00E1189B">
                  <w:pPr>
                    <w:pStyle w:val="BodyText"/>
                    <w:spacing w:before="20" w:after="20"/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 xml:space="preserve">For CPI forecasts, use </w:t>
                  </w:r>
                  <w:r w:rsidRPr="00D40810"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the most recently available RBNZ MPS forecasts from when the WACC was determined</w:t>
                  </w:r>
                  <w:r>
                    <w:rPr>
                      <w:rStyle w:val="Tabletext-12point"/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</w:tbl>
          <w:p w14:paraId="06C1D769" w14:textId="78316B69" w:rsidR="00D76CF9" w:rsidRPr="00BE2168" w:rsidRDefault="008649AB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7A5CC1" w:rsidRPr="008A5147" w14:paraId="03BB194D" w14:textId="77777777" w:rsidTr="0040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5F9F9"/>
          </w:tcPr>
          <w:p w14:paraId="01751534" w14:textId="7DC41AF7" w:rsidR="00D76CF9" w:rsidRPr="008C0157" w:rsidRDefault="00D76CF9" w:rsidP="00E1189B">
            <w:pPr>
              <w:pStyle w:val="Tablebodytext"/>
              <w:spacing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C015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Views/Response</w:t>
            </w:r>
            <w:r w:rsidR="00EC26B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:</w:t>
            </w:r>
            <w:r w:rsidR="009D772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br/>
            </w:r>
            <w:r w:rsidR="009D772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br/>
            </w:r>
            <w:r w:rsidR="009D772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br/>
            </w:r>
          </w:p>
        </w:tc>
      </w:tr>
    </w:tbl>
    <w:p w14:paraId="4648D146" w14:textId="77777777" w:rsidR="006112C5" w:rsidRPr="009448AB" w:rsidRDefault="006112C5" w:rsidP="001D7657"/>
    <w:sectPr w:rsidR="006112C5" w:rsidRPr="009448AB" w:rsidSect="001F06A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1134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2054" w14:textId="77777777" w:rsidR="00186A9B" w:rsidRDefault="00186A9B">
      <w:r>
        <w:separator/>
      </w:r>
    </w:p>
  </w:endnote>
  <w:endnote w:type="continuationSeparator" w:id="0">
    <w:p w14:paraId="48B52EF2" w14:textId="77777777" w:rsidR="00186A9B" w:rsidRDefault="00186A9B">
      <w:r>
        <w:continuationSeparator/>
      </w:r>
    </w:p>
  </w:endnote>
  <w:endnote w:type="continuationNotice" w:id="1">
    <w:p w14:paraId="7443C53A" w14:textId="77777777" w:rsidR="00186A9B" w:rsidRDefault="00186A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7A59" w14:textId="70CCCE41" w:rsidR="008314F1" w:rsidRDefault="00FD129C" w:rsidP="008314F1">
    <w:pPr>
      <w:pStyle w:val="Footer"/>
      <w:jc w:val="left"/>
    </w:pPr>
    <w:fldSimple w:instr=" DOCPROPERTY CCNZ.imProfileDocNum \* MERGEFORMAT ">
      <w:r>
        <w:t>5114499</w:t>
      </w:r>
    </w:fldSimple>
    <w:r w:rsidR="008314F1">
      <w:t>-</w:t>
    </w:r>
    <w:r w:rsidR="0019677B">
      <w:fldChar w:fldCharType="begin"/>
    </w:r>
    <w:r w:rsidR="0019677B">
      <w:instrText>DOCPROPERTY  CCNZ.imProfileVersion  \* MERGEFORMAT</w:instrText>
    </w:r>
    <w:r w:rsidR="0019677B">
      <w:fldChar w:fldCharType="separate"/>
    </w:r>
    <w:r w:rsidR="001A7A67">
      <w:t>1</w:t>
    </w:r>
    <w:r w:rsidR="0019677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F370" w14:textId="77777777" w:rsidR="00125AA6" w:rsidRDefault="00125AA6" w:rsidP="00125AA6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C52C" w14:textId="77777777" w:rsidR="00186A9B" w:rsidRDefault="00186A9B">
      <w:r>
        <w:separator/>
      </w:r>
    </w:p>
  </w:footnote>
  <w:footnote w:type="continuationSeparator" w:id="0">
    <w:p w14:paraId="584EC0A0" w14:textId="77777777" w:rsidR="00186A9B" w:rsidRDefault="00186A9B">
      <w:r>
        <w:continuationSeparator/>
      </w:r>
    </w:p>
  </w:footnote>
  <w:footnote w:type="continuationNotice" w:id="1">
    <w:p w14:paraId="2814A0EE" w14:textId="77777777" w:rsidR="00186A9B" w:rsidRDefault="00186A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066F" w14:textId="77777777" w:rsidR="001D7657" w:rsidRPr="001D7657" w:rsidRDefault="00D8236E">
    <w:pPr>
      <w:pStyle w:val="Header"/>
    </w:pPr>
    <w:r w:rsidRPr="001D7657">
      <w:rPr>
        <w:rStyle w:val="PageNumber"/>
      </w:rPr>
      <w:fldChar w:fldCharType="begin"/>
    </w:r>
    <w:r w:rsidR="001D7657" w:rsidRPr="001D7657">
      <w:rPr>
        <w:rStyle w:val="PageNumber"/>
      </w:rPr>
      <w:instrText xml:space="preserve"> PAGE   \* MERGEFORMAT </w:instrText>
    </w:r>
    <w:r w:rsidRPr="001D7657">
      <w:rPr>
        <w:rStyle w:val="PageNumber"/>
      </w:rPr>
      <w:fldChar w:fldCharType="separate"/>
    </w:r>
    <w:r w:rsidR="001D7657">
      <w:rPr>
        <w:rStyle w:val="PageNumber"/>
        <w:noProof/>
      </w:rPr>
      <w:t>2</w:t>
    </w:r>
    <w:r w:rsidRPr="001D7657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852C" w14:textId="09D53758" w:rsidR="00CA368F" w:rsidRDefault="00CA368F">
    <w:pPr>
      <w:pStyle w:val="Header"/>
    </w:pPr>
    <w:r>
      <w:rPr>
        <w:noProof/>
      </w:rPr>
      <w:drawing>
        <wp:inline distT="0" distB="0" distL="0" distR="0" wp14:anchorId="38513E67" wp14:editId="1FD3C8AB">
          <wp:extent cx="1988185" cy="595630"/>
          <wp:effectExtent l="0" t="0" r="0" b="0"/>
          <wp:docPr id="1269817477" name="Picture 1269817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55D0"/>
    <w:multiLevelType w:val="hybridMultilevel"/>
    <w:tmpl w:val="944EE97E"/>
    <w:lvl w:ilvl="0" w:tplc="DA0C8E9A">
      <w:start w:val="1"/>
      <w:numFmt w:val="decimal"/>
      <w:pStyle w:val="Lis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12237"/>
    <w:multiLevelType w:val="hybridMultilevel"/>
    <w:tmpl w:val="36AA933E"/>
    <w:lvl w:ilvl="0" w:tplc="0174046E">
      <w:start w:val="1"/>
      <w:numFmt w:val="decimal"/>
      <w:pStyle w:val="Numberedlist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4035E"/>
    <w:multiLevelType w:val="hybridMultilevel"/>
    <w:tmpl w:val="40102C9E"/>
    <w:lvl w:ilvl="0" w:tplc="B5B4420C">
      <w:numFmt w:val="bullet"/>
      <w:pStyle w:val="Level3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Calibri" w:hAnsi="Symbol" w:cs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2503"/>
    <w:multiLevelType w:val="multilevel"/>
    <w:tmpl w:val="58C625A4"/>
    <w:styleLink w:val="Tablebulletlis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D2244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B9D0251"/>
    <w:multiLevelType w:val="hybridMultilevel"/>
    <w:tmpl w:val="59CEA274"/>
    <w:lvl w:ilvl="0" w:tplc="84B0CCE0">
      <w:start w:val="1"/>
      <w:numFmt w:val="bullet"/>
      <w:lvlText w:val="-"/>
      <w:lvlJc w:val="left"/>
      <w:pPr>
        <w:ind w:left="360" w:hanging="360"/>
      </w:pPr>
      <w:rPr>
        <w:rFonts w:ascii="Aptos" w:hAnsi="Apto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0253B"/>
    <w:multiLevelType w:val="multilevel"/>
    <w:tmpl w:val="A57616B4"/>
    <w:lvl w:ilvl="0">
      <w:start w:val="1"/>
      <w:numFmt w:val="decimal"/>
      <w:pStyle w:val="Outline2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33A62BAE"/>
    <w:multiLevelType w:val="multilevel"/>
    <w:tmpl w:val="102E164E"/>
    <w:styleLink w:val="Outlinestyle"/>
    <w:lvl w:ilvl="0">
      <w:start w:val="1"/>
      <w:numFmt w:val="decimal"/>
      <w:pStyle w:val="Par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pStyle w:val="Para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Roman"/>
      <w:pStyle w:val="Para5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37E2163D"/>
    <w:multiLevelType w:val="hybridMultilevel"/>
    <w:tmpl w:val="5CC2E3B8"/>
    <w:lvl w:ilvl="0" w:tplc="723E0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314D2"/>
    <w:multiLevelType w:val="hybridMultilevel"/>
    <w:tmpl w:val="FEC20E48"/>
    <w:lvl w:ilvl="0" w:tplc="24A2CDFC">
      <w:start w:val="1"/>
      <w:numFmt w:val="decimal"/>
      <w:pStyle w:val="Tablenumberedlist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4B0130"/>
    <w:multiLevelType w:val="hybridMultilevel"/>
    <w:tmpl w:val="74D8E4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5353F"/>
    <w:multiLevelType w:val="multilevel"/>
    <w:tmpl w:val="8292B964"/>
    <w:styleLink w:val="zInstructionsbulletlist"/>
    <w:lvl w:ilvl="0">
      <w:start w:val="1"/>
      <w:numFmt w:val="bullet"/>
      <w:pStyle w:val="zInstructions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70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26"/>
        </w:tabs>
        <w:ind w:left="2126" w:hanging="708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8C66B4A"/>
    <w:multiLevelType w:val="multilevel"/>
    <w:tmpl w:val="9D00A394"/>
    <w:styleLink w:val="Attachmentsliststyle"/>
    <w:lvl w:ilvl="0">
      <w:start w:val="1"/>
      <w:numFmt w:val="upperLetter"/>
      <w:pStyle w:val="Attachmentsheading"/>
      <w:lvlText w:val="Attachment %1: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591E0F60"/>
    <w:multiLevelType w:val="hybridMultilevel"/>
    <w:tmpl w:val="AA062754"/>
    <w:lvl w:ilvl="0" w:tplc="A6C42CF8">
      <w:start w:val="1"/>
      <w:numFmt w:val="bullet"/>
      <w:pStyle w:val="Level1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9788F"/>
    <w:multiLevelType w:val="multilevel"/>
    <w:tmpl w:val="102E164E"/>
    <w:numStyleLink w:val="Outlinestyle"/>
  </w:abstractNum>
  <w:abstractNum w:abstractNumId="14" w15:restartNumberingAfterBreak="0">
    <w:nsid w:val="79AE6065"/>
    <w:multiLevelType w:val="multilevel"/>
    <w:tmpl w:val="FD2E6198"/>
    <w:styleLink w:val="Bulletliststyle"/>
    <w:lvl w:ilvl="0">
      <w:start w:val="1"/>
      <w:numFmt w:val="bullet"/>
      <w:pStyle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709"/>
      </w:pPr>
      <w:rPr>
        <w:rFonts w:ascii="Courier New" w:hAnsi="Courier New"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u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7CCB3E2C"/>
    <w:multiLevelType w:val="hybridMultilevel"/>
    <w:tmpl w:val="94A29726"/>
    <w:lvl w:ilvl="0" w:tplc="26B6920E">
      <w:numFmt w:val="bullet"/>
      <w:pStyle w:val="Level2bullet"/>
      <w:lvlText w:val=""/>
      <w:lvlJc w:val="left"/>
      <w:pPr>
        <w:tabs>
          <w:tab w:val="num" w:pos="568"/>
        </w:tabs>
        <w:ind w:left="568" w:hanging="284"/>
      </w:pPr>
      <w:rPr>
        <w:rFonts w:ascii="Symbol" w:eastAsia="Calibri" w:hAnsi="Symbol" w:cs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894494">
    <w:abstractNumId w:val="10"/>
  </w:num>
  <w:num w:numId="2" w16cid:durableId="1046027827">
    <w:abstractNumId w:val="10"/>
  </w:num>
  <w:num w:numId="3" w16cid:durableId="523446240">
    <w:abstractNumId w:val="11"/>
  </w:num>
  <w:num w:numId="4" w16cid:durableId="1068840636">
    <w:abstractNumId w:val="14"/>
  </w:num>
  <w:num w:numId="5" w16cid:durableId="2111537093">
    <w:abstractNumId w:val="12"/>
  </w:num>
  <w:num w:numId="6" w16cid:durableId="2115243747">
    <w:abstractNumId w:val="15"/>
  </w:num>
  <w:num w:numId="7" w16cid:durableId="1116409332">
    <w:abstractNumId w:val="2"/>
  </w:num>
  <w:num w:numId="8" w16cid:durableId="849756382">
    <w:abstractNumId w:val="0"/>
  </w:num>
  <w:num w:numId="9" w16cid:durableId="63257203">
    <w:abstractNumId w:val="1"/>
  </w:num>
  <w:num w:numId="10" w16cid:durableId="227038981">
    <w:abstractNumId w:val="5"/>
  </w:num>
  <w:num w:numId="11" w16cid:durableId="634605880">
    <w:abstractNumId w:val="6"/>
  </w:num>
  <w:num w:numId="12" w16cid:durableId="710616487">
    <w:abstractNumId w:val="13"/>
  </w:num>
  <w:num w:numId="13" w16cid:durableId="1456950437">
    <w:abstractNumId w:val="3"/>
  </w:num>
  <w:num w:numId="14" w16cid:durableId="554002562">
    <w:abstractNumId w:val="8"/>
  </w:num>
  <w:num w:numId="15" w16cid:durableId="1205871544">
    <w:abstractNumId w:val="14"/>
  </w:num>
  <w:num w:numId="16" w16cid:durableId="1337074224">
    <w:abstractNumId w:val="14"/>
  </w:num>
  <w:num w:numId="17" w16cid:durableId="1786847849">
    <w:abstractNumId w:val="14"/>
  </w:num>
  <w:num w:numId="18" w16cid:durableId="1825003214">
    <w:abstractNumId w:val="14"/>
  </w:num>
  <w:num w:numId="19" w16cid:durableId="1691567080">
    <w:abstractNumId w:val="14"/>
  </w:num>
  <w:num w:numId="20" w16cid:durableId="826015995">
    <w:abstractNumId w:val="14"/>
  </w:num>
  <w:num w:numId="21" w16cid:durableId="242492766">
    <w:abstractNumId w:val="7"/>
  </w:num>
  <w:num w:numId="22" w16cid:durableId="290941382">
    <w:abstractNumId w:val="4"/>
  </w:num>
  <w:num w:numId="23" w16cid:durableId="1662079710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ordOperator" w:val="AMW"/>
  </w:docVars>
  <w:rsids>
    <w:rsidRoot w:val="00871762"/>
    <w:rsid w:val="000065D3"/>
    <w:rsid w:val="00012AF2"/>
    <w:rsid w:val="00014CC1"/>
    <w:rsid w:val="00023104"/>
    <w:rsid w:val="00035E6E"/>
    <w:rsid w:val="000753DF"/>
    <w:rsid w:val="00076602"/>
    <w:rsid w:val="00080FB6"/>
    <w:rsid w:val="00087F5D"/>
    <w:rsid w:val="000923EB"/>
    <w:rsid w:val="00096237"/>
    <w:rsid w:val="0009718A"/>
    <w:rsid w:val="000B588D"/>
    <w:rsid w:val="000B67E6"/>
    <w:rsid w:val="000D3FDA"/>
    <w:rsid w:val="000D693F"/>
    <w:rsid w:val="000D6FA8"/>
    <w:rsid w:val="000E04E6"/>
    <w:rsid w:val="000E1087"/>
    <w:rsid w:val="000E16F5"/>
    <w:rsid w:val="000F7BE5"/>
    <w:rsid w:val="001132DE"/>
    <w:rsid w:val="00116898"/>
    <w:rsid w:val="00125AA6"/>
    <w:rsid w:val="00126C06"/>
    <w:rsid w:val="00136164"/>
    <w:rsid w:val="0014245B"/>
    <w:rsid w:val="00151BC2"/>
    <w:rsid w:val="001566BF"/>
    <w:rsid w:val="001633DA"/>
    <w:rsid w:val="00166810"/>
    <w:rsid w:val="00176486"/>
    <w:rsid w:val="001774C6"/>
    <w:rsid w:val="00180A21"/>
    <w:rsid w:val="0018229F"/>
    <w:rsid w:val="00186A9B"/>
    <w:rsid w:val="00192759"/>
    <w:rsid w:val="00193DFB"/>
    <w:rsid w:val="001948F4"/>
    <w:rsid w:val="0019677B"/>
    <w:rsid w:val="001978ED"/>
    <w:rsid w:val="001A17D5"/>
    <w:rsid w:val="001A487F"/>
    <w:rsid w:val="001A7A67"/>
    <w:rsid w:val="001B333B"/>
    <w:rsid w:val="001C0A9C"/>
    <w:rsid w:val="001C182D"/>
    <w:rsid w:val="001C1ED0"/>
    <w:rsid w:val="001D1717"/>
    <w:rsid w:val="001D7657"/>
    <w:rsid w:val="001F06A4"/>
    <w:rsid w:val="002045EF"/>
    <w:rsid w:val="00230876"/>
    <w:rsid w:val="002523D8"/>
    <w:rsid w:val="00260727"/>
    <w:rsid w:val="002649D8"/>
    <w:rsid w:val="002753FE"/>
    <w:rsid w:val="00275C8F"/>
    <w:rsid w:val="002934A8"/>
    <w:rsid w:val="002940E9"/>
    <w:rsid w:val="002A0ED2"/>
    <w:rsid w:val="002A1B47"/>
    <w:rsid w:val="002A2085"/>
    <w:rsid w:val="002A489B"/>
    <w:rsid w:val="002B57B0"/>
    <w:rsid w:val="002D4070"/>
    <w:rsid w:val="002D77B5"/>
    <w:rsid w:val="002F0B53"/>
    <w:rsid w:val="0030068A"/>
    <w:rsid w:val="0031466A"/>
    <w:rsid w:val="00321925"/>
    <w:rsid w:val="00322F85"/>
    <w:rsid w:val="00326524"/>
    <w:rsid w:val="0032752A"/>
    <w:rsid w:val="00330FB4"/>
    <w:rsid w:val="00334E24"/>
    <w:rsid w:val="003379AC"/>
    <w:rsid w:val="003423F3"/>
    <w:rsid w:val="0035708D"/>
    <w:rsid w:val="00364035"/>
    <w:rsid w:val="00367EAA"/>
    <w:rsid w:val="00386A4A"/>
    <w:rsid w:val="003C3CF5"/>
    <w:rsid w:val="003E419E"/>
    <w:rsid w:val="003E6140"/>
    <w:rsid w:val="003F154A"/>
    <w:rsid w:val="003F512B"/>
    <w:rsid w:val="004021E7"/>
    <w:rsid w:val="00403C35"/>
    <w:rsid w:val="00416249"/>
    <w:rsid w:val="00422F52"/>
    <w:rsid w:val="004349D3"/>
    <w:rsid w:val="0044141A"/>
    <w:rsid w:val="0046186F"/>
    <w:rsid w:val="00462990"/>
    <w:rsid w:val="00463233"/>
    <w:rsid w:val="004860ED"/>
    <w:rsid w:val="004A5BA2"/>
    <w:rsid w:val="004B10DD"/>
    <w:rsid w:val="004B2F8F"/>
    <w:rsid w:val="004C45B1"/>
    <w:rsid w:val="004D1A98"/>
    <w:rsid w:val="004E0D29"/>
    <w:rsid w:val="004F036B"/>
    <w:rsid w:val="004F1448"/>
    <w:rsid w:val="004F33C2"/>
    <w:rsid w:val="00500FE4"/>
    <w:rsid w:val="00504641"/>
    <w:rsid w:val="00504C28"/>
    <w:rsid w:val="00507FAD"/>
    <w:rsid w:val="00510CA2"/>
    <w:rsid w:val="005124F2"/>
    <w:rsid w:val="00513467"/>
    <w:rsid w:val="0051581A"/>
    <w:rsid w:val="0051746A"/>
    <w:rsid w:val="005217C5"/>
    <w:rsid w:val="00530202"/>
    <w:rsid w:val="00532A9D"/>
    <w:rsid w:val="00545CF5"/>
    <w:rsid w:val="005574D2"/>
    <w:rsid w:val="0056165D"/>
    <w:rsid w:val="00561FB6"/>
    <w:rsid w:val="005719EB"/>
    <w:rsid w:val="0057306C"/>
    <w:rsid w:val="005858FC"/>
    <w:rsid w:val="005930F3"/>
    <w:rsid w:val="005966A0"/>
    <w:rsid w:val="005A4292"/>
    <w:rsid w:val="005A7573"/>
    <w:rsid w:val="005D2DD3"/>
    <w:rsid w:val="005D6528"/>
    <w:rsid w:val="005E6ECF"/>
    <w:rsid w:val="005F242C"/>
    <w:rsid w:val="00610D0C"/>
    <w:rsid w:val="006112C5"/>
    <w:rsid w:val="006117AE"/>
    <w:rsid w:val="006172CA"/>
    <w:rsid w:val="00627666"/>
    <w:rsid w:val="00633709"/>
    <w:rsid w:val="00633EB5"/>
    <w:rsid w:val="00634B97"/>
    <w:rsid w:val="006400E6"/>
    <w:rsid w:val="00640B44"/>
    <w:rsid w:val="00642109"/>
    <w:rsid w:val="006428BA"/>
    <w:rsid w:val="0065325A"/>
    <w:rsid w:val="0065724A"/>
    <w:rsid w:val="0065787B"/>
    <w:rsid w:val="00663CEF"/>
    <w:rsid w:val="00664E51"/>
    <w:rsid w:val="00674E3F"/>
    <w:rsid w:val="00675A81"/>
    <w:rsid w:val="006804C2"/>
    <w:rsid w:val="0069380F"/>
    <w:rsid w:val="006A2383"/>
    <w:rsid w:val="006A4A29"/>
    <w:rsid w:val="006A56BC"/>
    <w:rsid w:val="006A6DFE"/>
    <w:rsid w:val="006C328D"/>
    <w:rsid w:val="0070548D"/>
    <w:rsid w:val="00710590"/>
    <w:rsid w:val="007135B0"/>
    <w:rsid w:val="0072124E"/>
    <w:rsid w:val="0072325A"/>
    <w:rsid w:val="00733434"/>
    <w:rsid w:val="00734BDC"/>
    <w:rsid w:val="0074496D"/>
    <w:rsid w:val="00762923"/>
    <w:rsid w:val="007647CC"/>
    <w:rsid w:val="00767FAF"/>
    <w:rsid w:val="0077327C"/>
    <w:rsid w:val="00793EF5"/>
    <w:rsid w:val="00795B57"/>
    <w:rsid w:val="007A45D3"/>
    <w:rsid w:val="007A5CC1"/>
    <w:rsid w:val="007B126A"/>
    <w:rsid w:val="007B387A"/>
    <w:rsid w:val="007E468E"/>
    <w:rsid w:val="007F7260"/>
    <w:rsid w:val="007F72A1"/>
    <w:rsid w:val="008314F1"/>
    <w:rsid w:val="008649AB"/>
    <w:rsid w:val="00864B5A"/>
    <w:rsid w:val="008710FB"/>
    <w:rsid w:val="00871762"/>
    <w:rsid w:val="0087576F"/>
    <w:rsid w:val="00876EC2"/>
    <w:rsid w:val="008927F4"/>
    <w:rsid w:val="008928D2"/>
    <w:rsid w:val="008C0157"/>
    <w:rsid w:val="008C6AAA"/>
    <w:rsid w:val="008D31A8"/>
    <w:rsid w:val="008E1250"/>
    <w:rsid w:val="008F7A2C"/>
    <w:rsid w:val="00902488"/>
    <w:rsid w:val="00921730"/>
    <w:rsid w:val="0092529D"/>
    <w:rsid w:val="00930E85"/>
    <w:rsid w:val="0093306B"/>
    <w:rsid w:val="00934D05"/>
    <w:rsid w:val="00936922"/>
    <w:rsid w:val="009448AB"/>
    <w:rsid w:val="00955509"/>
    <w:rsid w:val="009733C6"/>
    <w:rsid w:val="00980C00"/>
    <w:rsid w:val="009818B7"/>
    <w:rsid w:val="009908F8"/>
    <w:rsid w:val="009A7C31"/>
    <w:rsid w:val="009D761F"/>
    <w:rsid w:val="009D772D"/>
    <w:rsid w:val="009D7C79"/>
    <w:rsid w:val="00A22BFA"/>
    <w:rsid w:val="00A37E54"/>
    <w:rsid w:val="00A507F1"/>
    <w:rsid w:val="00A62111"/>
    <w:rsid w:val="00A621D4"/>
    <w:rsid w:val="00A665BC"/>
    <w:rsid w:val="00A74E55"/>
    <w:rsid w:val="00A82AB9"/>
    <w:rsid w:val="00A84184"/>
    <w:rsid w:val="00A928D4"/>
    <w:rsid w:val="00AA3032"/>
    <w:rsid w:val="00AA31D8"/>
    <w:rsid w:val="00AB490B"/>
    <w:rsid w:val="00AB4D66"/>
    <w:rsid w:val="00AC160C"/>
    <w:rsid w:val="00AC3272"/>
    <w:rsid w:val="00AC54B2"/>
    <w:rsid w:val="00AC6B05"/>
    <w:rsid w:val="00AC788D"/>
    <w:rsid w:val="00AD1CF0"/>
    <w:rsid w:val="00AE015F"/>
    <w:rsid w:val="00AE52B5"/>
    <w:rsid w:val="00B04967"/>
    <w:rsid w:val="00B065FA"/>
    <w:rsid w:val="00B32B3B"/>
    <w:rsid w:val="00B349BA"/>
    <w:rsid w:val="00B40A2D"/>
    <w:rsid w:val="00B4446B"/>
    <w:rsid w:val="00B46EF3"/>
    <w:rsid w:val="00B56B41"/>
    <w:rsid w:val="00B73A1D"/>
    <w:rsid w:val="00B862D2"/>
    <w:rsid w:val="00B92943"/>
    <w:rsid w:val="00BA5AC3"/>
    <w:rsid w:val="00BB1628"/>
    <w:rsid w:val="00BB68DF"/>
    <w:rsid w:val="00BC027A"/>
    <w:rsid w:val="00BC08EC"/>
    <w:rsid w:val="00BC3666"/>
    <w:rsid w:val="00BD706E"/>
    <w:rsid w:val="00BE2168"/>
    <w:rsid w:val="00BF5A5D"/>
    <w:rsid w:val="00BF6F3E"/>
    <w:rsid w:val="00C018E3"/>
    <w:rsid w:val="00C155C0"/>
    <w:rsid w:val="00C35E08"/>
    <w:rsid w:val="00C465A7"/>
    <w:rsid w:val="00C46613"/>
    <w:rsid w:val="00C51273"/>
    <w:rsid w:val="00C53013"/>
    <w:rsid w:val="00C846D0"/>
    <w:rsid w:val="00C85104"/>
    <w:rsid w:val="00C97EB2"/>
    <w:rsid w:val="00CA2AEB"/>
    <w:rsid w:val="00CA368F"/>
    <w:rsid w:val="00CB43C6"/>
    <w:rsid w:val="00CD1375"/>
    <w:rsid w:val="00CE5565"/>
    <w:rsid w:val="00CF2833"/>
    <w:rsid w:val="00CF2DEB"/>
    <w:rsid w:val="00D42639"/>
    <w:rsid w:val="00D51DF9"/>
    <w:rsid w:val="00D55756"/>
    <w:rsid w:val="00D605C2"/>
    <w:rsid w:val="00D60D10"/>
    <w:rsid w:val="00D6179F"/>
    <w:rsid w:val="00D64583"/>
    <w:rsid w:val="00D649D1"/>
    <w:rsid w:val="00D70A8F"/>
    <w:rsid w:val="00D76CF9"/>
    <w:rsid w:val="00D8236E"/>
    <w:rsid w:val="00D87F66"/>
    <w:rsid w:val="00DA0FB6"/>
    <w:rsid w:val="00DA69D6"/>
    <w:rsid w:val="00DB3359"/>
    <w:rsid w:val="00DC38EC"/>
    <w:rsid w:val="00DC3DE3"/>
    <w:rsid w:val="00DD066C"/>
    <w:rsid w:val="00DD282A"/>
    <w:rsid w:val="00DE10A7"/>
    <w:rsid w:val="00DE4B82"/>
    <w:rsid w:val="00DF75D1"/>
    <w:rsid w:val="00E01567"/>
    <w:rsid w:val="00E1189B"/>
    <w:rsid w:val="00E11D69"/>
    <w:rsid w:val="00E27291"/>
    <w:rsid w:val="00E31025"/>
    <w:rsid w:val="00E32321"/>
    <w:rsid w:val="00E4073F"/>
    <w:rsid w:val="00E40836"/>
    <w:rsid w:val="00E44DF8"/>
    <w:rsid w:val="00E47DCD"/>
    <w:rsid w:val="00E50237"/>
    <w:rsid w:val="00E52778"/>
    <w:rsid w:val="00E61EA9"/>
    <w:rsid w:val="00E72B9E"/>
    <w:rsid w:val="00E802ED"/>
    <w:rsid w:val="00E80775"/>
    <w:rsid w:val="00E95E8C"/>
    <w:rsid w:val="00EC26B5"/>
    <w:rsid w:val="00EC35BD"/>
    <w:rsid w:val="00ED026A"/>
    <w:rsid w:val="00EE4799"/>
    <w:rsid w:val="00EE50B4"/>
    <w:rsid w:val="00EE715F"/>
    <w:rsid w:val="00EF5C7E"/>
    <w:rsid w:val="00F06803"/>
    <w:rsid w:val="00F51EE7"/>
    <w:rsid w:val="00F60C7B"/>
    <w:rsid w:val="00F642CE"/>
    <w:rsid w:val="00F8404A"/>
    <w:rsid w:val="00F9086B"/>
    <w:rsid w:val="00FA0734"/>
    <w:rsid w:val="00FA6D08"/>
    <w:rsid w:val="00FB18C2"/>
    <w:rsid w:val="00FC017A"/>
    <w:rsid w:val="00FC1B1B"/>
    <w:rsid w:val="00FC23A2"/>
    <w:rsid w:val="00FC3391"/>
    <w:rsid w:val="00FD129C"/>
    <w:rsid w:val="00FD5133"/>
    <w:rsid w:val="00FD5B9F"/>
    <w:rsid w:val="00FE7613"/>
    <w:rsid w:val="04846C2B"/>
    <w:rsid w:val="1BB6C731"/>
    <w:rsid w:val="1BDCDAE2"/>
    <w:rsid w:val="247171BD"/>
    <w:rsid w:val="5A4B7051"/>
    <w:rsid w:val="6A3BB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14FC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E2168"/>
    <w:rPr>
      <w:rFonts w:ascii="Calibri" w:hAnsi="Calibri"/>
      <w:sz w:val="24"/>
      <w:lang w:eastAsia="en-GB"/>
    </w:rPr>
  </w:style>
  <w:style w:type="paragraph" w:styleId="Heading1">
    <w:name w:val="heading 1"/>
    <w:basedOn w:val="Normal"/>
    <w:next w:val="BodyText"/>
    <w:qFormat/>
    <w:rsid w:val="001D7657"/>
    <w:pPr>
      <w:keepNext/>
      <w:spacing w:after="120"/>
      <w:outlineLvl w:val="0"/>
    </w:pPr>
    <w:rPr>
      <w:b/>
      <w:sz w:val="28"/>
    </w:rPr>
  </w:style>
  <w:style w:type="paragraph" w:styleId="Heading2">
    <w:name w:val="heading 2"/>
    <w:basedOn w:val="Normal"/>
    <w:next w:val="BodyText"/>
    <w:qFormat/>
    <w:rsid w:val="001D7657"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1D7657"/>
    <w:pPr>
      <w:keepNext/>
      <w:spacing w:after="120"/>
      <w:outlineLvl w:val="2"/>
    </w:pPr>
    <w:rPr>
      <w:i/>
    </w:rPr>
  </w:style>
  <w:style w:type="paragraph" w:styleId="Heading4">
    <w:name w:val="heading 4"/>
    <w:basedOn w:val="Normal"/>
    <w:semiHidden/>
    <w:qFormat/>
    <w:rsid w:val="001D7657"/>
    <w:pPr>
      <w:outlineLvl w:val="3"/>
    </w:pPr>
  </w:style>
  <w:style w:type="paragraph" w:styleId="Heading5">
    <w:name w:val="heading 5"/>
    <w:basedOn w:val="Normal"/>
    <w:semiHidden/>
    <w:qFormat/>
    <w:rsid w:val="001D7657"/>
    <w:pPr>
      <w:outlineLvl w:val="4"/>
    </w:pPr>
  </w:style>
  <w:style w:type="paragraph" w:styleId="Heading6">
    <w:name w:val="heading 6"/>
    <w:basedOn w:val="Normal"/>
    <w:semiHidden/>
    <w:qFormat/>
    <w:rsid w:val="001D7657"/>
    <w:pPr>
      <w:outlineLvl w:val="5"/>
    </w:pPr>
  </w:style>
  <w:style w:type="paragraph" w:styleId="Heading7">
    <w:name w:val="heading 7"/>
    <w:basedOn w:val="Normal"/>
    <w:next w:val="Normal"/>
    <w:semiHidden/>
    <w:qFormat/>
    <w:rsid w:val="001D7657"/>
    <w:pPr>
      <w:outlineLvl w:val="6"/>
    </w:pPr>
  </w:style>
  <w:style w:type="paragraph" w:styleId="Heading8">
    <w:name w:val="heading 8"/>
    <w:basedOn w:val="Normal"/>
    <w:next w:val="Normal"/>
    <w:semiHidden/>
    <w:qFormat/>
    <w:rsid w:val="001D7657"/>
    <w:pPr>
      <w:outlineLvl w:val="7"/>
    </w:pPr>
  </w:style>
  <w:style w:type="paragraph" w:styleId="Heading9">
    <w:name w:val="heading 9"/>
    <w:basedOn w:val="Normal"/>
    <w:next w:val="Normal"/>
    <w:semiHidden/>
    <w:qFormat/>
    <w:rsid w:val="001D765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D7657"/>
    <w:pPr>
      <w:spacing w:after="240" w:line="264" w:lineRule="atLeast"/>
    </w:pPr>
  </w:style>
  <w:style w:type="character" w:customStyle="1" w:styleId="BodyTextChar">
    <w:name w:val="Body Text Char"/>
    <w:basedOn w:val="DefaultParagraphFont"/>
    <w:link w:val="BodyText"/>
    <w:rsid w:val="00FA6D08"/>
    <w:rPr>
      <w:rFonts w:ascii="Calibri" w:hAnsi="Calibri"/>
      <w:sz w:val="24"/>
      <w:lang w:eastAsia="en-GB"/>
    </w:rPr>
  </w:style>
  <w:style w:type="paragraph" w:customStyle="1" w:styleId="Bullet">
    <w:name w:val="Bullet"/>
    <w:basedOn w:val="Normal"/>
    <w:qFormat/>
    <w:rsid w:val="008D31A8"/>
    <w:pPr>
      <w:numPr>
        <w:numId w:val="20"/>
      </w:numPr>
      <w:spacing w:before="120"/>
    </w:pPr>
  </w:style>
  <w:style w:type="numbering" w:customStyle="1" w:styleId="Bulletliststyle">
    <w:name w:val="Bullet list style"/>
    <w:basedOn w:val="NoList"/>
    <w:uiPriority w:val="99"/>
    <w:rsid w:val="008D31A8"/>
    <w:pPr>
      <w:numPr>
        <w:numId w:val="4"/>
      </w:numPr>
    </w:pPr>
  </w:style>
  <w:style w:type="paragraph" w:styleId="Date">
    <w:name w:val="Date"/>
    <w:basedOn w:val="Normal"/>
    <w:next w:val="BodyText"/>
    <w:link w:val="DateChar"/>
    <w:semiHidden/>
    <w:rsid w:val="001D7657"/>
    <w:pPr>
      <w:spacing w:after="454"/>
    </w:pPr>
  </w:style>
  <w:style w:type="character" w:customStyle="1" w:styleId="DateChar">
    <w:name w:val="Date Char"/>
    <w:basedOn w:val="DefaultParagraphFont"/>
    <w:link w:val="Date"/>
    <w:semiHidden/>
    <w:rsid w:val="00A22BFA"/>
    <w:rPr>
      <w:rFonts w:ascii="Calibri" w:hAnsi="Calibri"/>
      <w:sz w:val="24"/>
      <w:lang w:eastAsia="en-GB"/>
    </w:rPr>
  </w:style>
  <w:style w:type="paragraph" w:styleId="EnvelopeAddress">
    <w:name w:val="envelope address"/>
    <w:basedOn w:val="Normal"/>
    <w:semiHidden/>
    <w:rsid w:val="001D765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D7657"/>
    <w:rPr>
      <w:rFonts w:cs="Arial"/>
      <w:color w:val="003366"/>
      <w:sz w:val="18"/>
      <w:szCs w:val="18"/>
    </w:rPr>
  </w:style>
  <w:style w:type="paragraph" w:styleId="Footer">
    <w:name w:val="footer"/>
    <w:basedOn w:val="Normal"/>
    <w:link w:val="FooterChar"/>
    <w:semiHidden/>
    <w:rsid w:val="001D7657"/>
    <w:pPr>
      <w:tabs>
        <w:tab w:val="center" w:pos="4536"/>
        <w:tab w:val="right" w:pos="9072"/>
      </w:tabs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A22BFA"/>
    <w:rPr>
      <w:rFonts w:ascii="Calibri" w:hAnsi="Calibri"/>
      <w:lang w:eastAsia="en-GB"/>
    </w:rPr>
  </w:style>
  <w:style w:type="paragraph" w:styleId="FootnoteText">
    <w:name w:val="footnote text"/>
    <w:basedOn w:val="Normal"/>
    <w:link w:val="FootnoteTextChar"/>
    <w:semiHidden/>
    <w:rsid w:val="001D7657"/>
    <w:pPr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7657"/>
    <w:rPr>
      <w:rFonts w:ascii="Calibri" w:hAnsi="Calibri"/>
      <w:lang w:eastAsia="en-GB"/>
    </w:rPr>
  </w:style>
  <w:style w:type="paragraph" w:styleId="Header">
    <w:name w:val="header"/>
    <w:basedOn w:val="Normal"/>
    <w:link w:val="HeaderChar"/>
    <w:uiPriority w:val="99"/>
    <w:rsid w:val="001D7657"/>
    <w:pPr>
      <w:tabs>
        <w:tab w:val="center" w:pos="4153"/>
        <w:tab w:val="right" w:pos="8306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A22BFA"/>
    <w:rPr>
      <w:rFonts w:ascii="Calibri" w:hAnsi="Calibri"/>
      <w:sz w:val="24"/>
      <w:lang w:eastAsia="en-GB"/>
    </w:rPr>
  </w:style>
  <w:style w:type="character" w:styleId="Hyperlink">
    <w:name w:val="Hyperlink"/>
    <w:basedOn w:val="DefaultParagraphFont"/>
    <w:semiHidden/>
    <w:rsid w:val="001D7657"/>
    <w:rPr>
      <w:color w:val="0000FF"/>
      <w:u w:val="single"/>
    </w:rPr>
  </w:style>
  <w:style w:type="paragraph" w:styleId="List">
    <w:name w:val="List"/>
    <w:basedOn w:val="BodyText"/>
    <w:semiHidden/>
    <w:rsid w:val="001D7657"/>
    <w:pPr>
      <w:numPr>
        <w:numId w:val="8"/>
      </w:numPr>
    </w:pPr>
  </w:style>
  <w:style w:type="paragraph" w:styleId="ListBullet">
    <w:name w:val="List Bullet"/>
    <w:basedOn w:val="BodyText"/>
    <w:semiHidden/>
    <w:rsid w:val="001D7657"/>
  </w:style>
  <w:style w:type="paragraph" w:styleId="ListBullet2">
    <w:name w:val="List Bullet 2"/>
    <w:basedOn w:val="BodyText"/>
    <w:semiHidden/>
    <w:rsid w:val="001D7657"/>
  </w:style>
  <w:style w:type="paragraph" w:styleId="ListBullet3">
    <w:name w:val="List Bullet 3"/>
    <w:basedOn w:val="BodyText"/>
    <w:semiHidden/>
    <w:rsid w:val="001D7657"/>
  </w:style>
  <w:style w:type="numbering" w:customStyle="1" w:styleId="Outlinestyle">
    <w:name w:val="Outline style"/>
    <w:basedOn w:val="NoList"/>
    <w:uiPriority w:val="99"/>
    <w:rsid w:val="001D7657"/>
    <w:pPr>
      <w:numPr>
        <w:numId w:val="11"/>
      </w:numPr>
    </w:pPr>
  </w:style>
  <w:style w:type="character" w:styleId="PageNumber">
    <w:name w:val="page number"/>
    <w:basedOn w:val="DefaultParagraphFont"/>
    <w:semiHidden/>
    <w:rsid w:val="001D7657"/>
    <w:rPr>
      <w:rFonts w:ascii="Calibri" w:hAnsi="Calibri"/>
      <w:sz w:val="20"/>
    </w:rPr>
  </w:style>
  <w:style w:type="paragraph" w:customStyle="1" w:styleId="Quotation">
    <w:name w:val="Quotation"/>
    <w:basedOn w:val="BodyText"/>
    <w:qFormat/>
    <w:rsid w:val="00980C00"/>
    <w:pPr>
      <w:ind w:left="709" w:right="709"/>
    </w:pPr>
    <w:rPr>
      <w:sz w:val="20"/>
    </w:rPr>
  </w:style>
  <w:style w:type="paragraph" w:customStyle="1" w:styleId="Tablebodytext">
    <w:name w:val="Table body text"/>
    <w:basedOn w:val="BodyText"/>
    <w:qFormat/>
    <w:rsid w:val="001D7657"/>
    <w:rPr>
      <w:rFonts w:cs="Arial"/>
      <w:szCs w:val="17"/>
    </w:rPr>
  </w:style>
  <w:style w:type="paragraph" w:customStyle="1" w:styleId="Tablebullet">
    <w:name w:val="Table bullet"/>
    <w:basedOn w:val="Tablebodytext"/>
    <w:qFormat/>
    <w:rsid w:val="001D7657"/>
    <w:pPr>
      <w:numPr>
        <w:numId w:val="13"/>
      </w:numPr>
    </w:pPr>
  </w:style>
  <w:style w:type="table" w:styleId="TableGrid">
    <w:name w:val="Table Grid"/>
    <w:basedOn w:val="TableNormal"/>
    <w:rsid w:val="001D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bodytext"/>
    <w:qFormat/>
    <w:rsid w:val="001D7657"/>
    <w:pPr>
      <w:keepNext/>
      <w:spacing w:after="60"/>
      <w:jc w:val="center"/>
    </w:pPr>
    <w:rPr>
      <w:b/>
    </w:rPr>
  </w:style>
  <w:style w:type="paragraph" w:customStyle="1" w:styleId="Tablenumberedlist">
    <w:name w:val="Table numbered list"/>
    <w:basedOn w:val="Tablebodytext"/>
    <w:qFormat/>
    <w:rsid w:val="001D7657"/>
    <w:pPr>
      <w:numPr>
        <w:numId w:val="14"/>
      </w:numPr>
    </w:pPr>
  </w:style>
  <w:style w:type="paragraph" w:styleId="TableofAuthorities">
    <w:name w:val="table of authorities"/>
    <w:basedOn w:val="Normal"/>
    <w:next w:val="Normal"/>
    <w:semiHidden/>
    <w:rsid w:val="001D7657"/>
    <w:pPr>
      <w:ind w:left="200" w:hanging="200"/>
    </w:pPr>
  </w:style>
  <w:style w:type="paragraph" w:styleId="Title">
    <w:name w:val="Title"/>
    <w:basedOn w:val="Normal"/>
    <w:next w:val="BodyText"/>
    <w:link w:val="TitleChar"/>
    <w:qFormat/>
    <w:rsid w:val="001D7657"/>
    <w:pPr>
      <w:keepNext/>
      <w:spacing w:after="240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A22BFA"/>
    <w:rPr>
      <w:rFonts w:ascii="Calibri" w:hAnsi="Calibri"/>
      <w:b/>
      <w:sz w:val="36"/>
      <w:lang w:eastAsia="en-GB"/>
    </w:rPr>
  </w:style>
  <w:style w:type="paragraph" w:styleId="TOC1">
    <w:name w:val="toc 1"/>
    <w:basedOn w:val="Normal"/>
    <w:autoRedefine/>
    <w:uiPriority w:val="39"/>
    <w:rsid w:val="008D31A8"/>
    <w:pPr>
      <w:tabs>
        <w:tab w:val="right" w:leader="dot" w:pos="8930"/>
      </w:tabs>
      <w:ind w:right="425"/>
    </w:pPr>
    <w:rPr>
      <w:b/>
      <w:caps/>
      <w:sz w:val="22"/>
    </w:rPr>
  </w:style>
  <w:style w:type="paragraph" w:styleId="TOC2">
    <w:name w:val="toc 2"/>
    <w:basedOn w:val="TOC1"/>
    <w:autoRedefine/>
    <w:uiPriority w:val="39"/>
    <w:rsid w:val="008D31A8"/>
    <w:pPr>
      <w:tabs>
        <w:tab w:val="clear" w:pos="8930"/>
        <w:tab w:val="right" w:leader="dot" w:pos="8931"/>
      </w:tabs>
      <w:ind w:left="425"/>
    </w:pPr>
    <w:rPr>
      <w:b w:val="0"/>
      <w:noProof/>
    </w:rPr>
  </w:style>
  <w:style w:type="paragraph" w:styleId="TOC3">
    <w:name w:val="toc 3"/>
    <w:basedOn w:val="TOC2"/>
    <w:autoRedefine/>
    <w:uiPriority w:val="39"/>
    <w:rsid w:val="008D31A8"/>
    <w:pPr>
      <w:ind w:left="851"/>
    </w:pPr>
    <w:rPr>
      <w:i/>
      <w:caps w:val="0"/>
      <w:sz w:val="20"/>
    </w:rPr>
  </w:style>
  <w:style w:type="paragraph" w:customStyle="1" w:styleId="Attachmentsheading">
    <w:name w:val="Attachments heading"/>
    <w:basedOn w:val="Normal"/>
    <w:next w:val="BodyText"/>
    <w:rsid w:val="001D7657"/>
    <w:pPr>
      <w:keepNext/>
      <w:pageBreakBefore/>
      <w:numPr>
        <w:numId w:val="3"/>
      </w:numPr>
      <w:spacing w:after="120"/>
    </w:pPr>
    <w:rPr>
      <w:b/>
      <w:sz w:val="28"/>
    </w:rPr>
  </w:style>
  <w:style w:type="numbering" w:customStyle="1" w:styleId="Attachmentsliststyle">
    <w:name w:val="Attachments list style"/>
    <w:basedOn w:val="NoList"/>
    <w:uiPriority w:val="99"/>
    <w:rsid w:val="001D7657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1D7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6FA8"/>
    <w:rPr>
      <w:rFonts w:ascii="Tahoma" w:hAnsi="Tahoma" w:cs="Tahoma"/>
      <w:sz w:val="16"/>
      <w:szCs w:val="16"/>
      <w:lang w:eastAsia="en-GB"/>
    </w:rPr>
  </w:style>
  <w:style w:type="character" w:styleId="FootnoteReference">
    <w:name w:val="footnote reference"/>
    <w:basedOn w:val="DefaultParagraphFont"/>
    <w:semiHidden/>
    <w:rsid w:val="001D7657"/>
    <w:rPr>
      <w:vertAlign w:val="superscript"/>
    </w:rPr>
  </w:style>
  <w:style w:type="paragraph" w:customStyle="1" w:styleId="Para1">
    <w:name w:val="Para 1"/>
    <w:basedOn w:val="BodyText"/>
    <w:qFormat/>
    <w:rsid w:val="001D7657"/>
    <w:pPr>
      <w:numPr>
        <w:numId w:val="12"/>
      </w:numPr>
    </w:pPr>
  </w:style>
  <w:style w:type="paragraph" w:customStyle="1" w:styleId="Para2">
    <w:name w:val="Para 2"/>
    <w:basedOn w:val="BodyText"/>
    <w:qFormat/>
    <w:rsid w:val="001D7657"/>
    <w:pPr>
      <w:numPr>
        <w:ilvl w:val="1"/>
        <w:numId w:val="12"/>
      </w:numPr>
    </w:pPr>
  </w:style>
  <w:style w:type="paragraph" w:customStyle="1" w:styleId="Para3">
    <w:name w:val="Para 3"/>
    <w:basedOn w:val="Para2"/>
    <w:qFormat/>
    <w:rsid w:val="001D7657"/>
    <w:pPr>
      <w:numPr>
        <w:ilvl w:val="2"/>
      </w:numPr>
    </w:pPr>
  </w:style>
  <w:style w:type="paragraph" w:customStyle="1" w:styleId="Para4">
    <w:name w:val="Para 4"/>
    <w:basedOn w:val="Para3"/>
    <w:qFormat/>
    <w:rsid w:val="001D7657"/>
    <w:pPr>
      <w:numPr>
        <w:ilvl w:val="3"/>
      </w:numPr>
    </w:pPr>
  </w:style>
  <w:style w:type="paragraph" w:customStyle="1" w:styleId="Para5">
    <w:name w:val="Para 5"/>
    <w:basedOn w:val="Para4"/>
    <w:qFormat/>
    <w:rsid w:val="001D7657"/>
    <w:pPr>
      <w:numPr>
        <w:ilvl w:val="4"/>
      </w:numPr>
    </w:pPr>
  </w:style>
  <w:style w:type="paragraph" w:customStyle="1" w:styleId="Singlespacedparagraph">
    <w:name w:val="Single spaced paragraph"/>
    <w:basedOn w:val="Normal"/>
    <w:qFormat/>
    <w:rsid w:val="001D7657"/>
  </w:style>
  <w:style w:type="numbering" w:customStyle="1" w:styleId="Tablebulletlist">
    <w:name w:val="Table bullet list"/>
    <w:uiPriority w:val="99"/>
    <w:rsid w:val="001D7657"/>
    <w:pPr>
      <w:numPr>
        <w:numId w:val="13"/>
      </w:numPr>
    </w:pPr>
  </w:style>
  <w:style w:type="paragraph" w:customStyle="1" w:styleId="zContactdetails">
    <w:name w:val="z_Contact details"/>
    <w:basedOn w:val="BodyText"/>
    <w:semiHidden/>
    <w:rsid w:val="001D7657"/>
    <w:pPr>
      <w:spacing w:after="120"/>
    </w:pPr>
  </w:style>
  <w:style w:type="paragraph" w:customStyle="1" w:styleId="zContactheadings">
    <w:name w:val="z_Contact headings"/>
    <w:basedOn w:val="BodyText"/>
    <w:semiHidden/>
    <w:rsid w:val="001D7657"/>
    <w:pPr>
      <w:spacing w:after="120"/>
    </w:pPr>
    <w:rPr>
      <w:b/>
    </w:rPr>
  </w:style>
  <w:style w:type="paragraph" w:customStyle="1" w:styleId="zPagename">
    <w:name w:val="z_Page name"/>
    <w:basedOn w:val="Title"/>
    <w:next w:val="BodyText"/>
    <w:semiHidden/>
    <w:rsid w:val="001D7657"/>
    <w:pPr>
      <w:spacing w:before="720"/>
    </w:pPr>
  </w:style>
  <w:style w:type="paragraph" w:customStyle="1" w:styleId="zInstructions">
    <w:name w:val="z_Instructions"/>
    <w:basedOn w:val="BodyText"/>
    <w:semiHidden/>
    <w:rsid w:val="00640B44"/>
    <w:pPr>
      <w:shd w:val="clear" w:color="auto" w:fill="A6A6A6" w:themeFill="background1" w:themeFillShade="A6"/>
      <w:spacing w:after="120" w:line="260" w:lineRule="atLeast"/>
    </w:pPr>
    <w:rPr>
      <w:color w:val="FFFFFF"/>
      <w:sz w:val="22"/>
    </w:rPr>
  </w:style>
  <w:style w:type="paragraph" w:customStyle="1" w:styleId="zInstructionsbullet">
    <w:name w:val="z_Instructions bullet"/>
    <w:basedOn w:val="zInstructions"/>
    <w:semiHidden/>
    <w:rsid w:val="00640B44"/>
    <w:pPr>
      <w:numPr>
        <w:numId w:val="2"/>
      </w:numPr>
    </w:pPr>
  </w:style>
  <w:style w:type="numbering" w:customStyle="1" w:styleId="zInstructionsbulletlist">
    <w:name w:val="z_Instructions bullet list"/>
    <w:basedOn w:val="NoList"/>
    <w:uiPriority w:val="99"/>
    <w:rsid w:val="00640B44"/>
    <w:pPr>
      <w:numPr>
        <w:numId w:val="1"/>
      </w:numPr>
    </w:pPr>
  </w:style>
  <w:style w:type="paragraph" w:styleId="BodyTextIndent">
    <w:name w:val="Body Text Indent"/>
    <w:basedOn w:val="BodyText"/>
    <w:link w:val="BodyTextIndentChar"/>
    <w:qFormat/>
    <w:rsid w:val="001D7657"/>
    <w:pPr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5A7573"/>
    <w:rPr>
      <w:rFonts w:ascii="Calibri" w:hAnsi="Calibri"/>
      <w:sz w:val="24"/>
      <w:lang w:eastAsia="en-GB"/>
    </w:rPr>
  </w:style>
  <w:style w:type="paragraph" w:customStyle="1" w:styleId="ImanageHeader">
    <w:name w:val="ImanageHeader"/>
    <w:basedOn w:val="Normal"/>
    <w:semiHidden/>
    <w:rsid w:val="001D7657"/>
    <w:pPr>
      <w:jc w:val="right"/>
    </w:pPr>
    <w:rPr>
      <w:sz w:val="20"/>
    </w:rPr>
  </w:style>
  <w:style w:type="paragraph" w:customStyle="1" w:styleId="Level1bullet">
    <w:name w:val="Level 1 bullet"/>
    <w:basedOn w:val="Normal"/>
    <w:semiHidden/>
    <w:rsid w:val="001D7657"/>
    <w:pPr>
      <w:numPr>
        <w:numId w:val="5"/>
      </w:numPr>
      <w:spacing w:before="120"/>
    </w:pPr>
  </w:style>
  <w:style w:type="paragraph" w:customStyle="1" w:styleId="Level2bullet">
    <w:name w:val="Level 2 bullet"/>
    <w:basedOn w:val="Normal"/>
    <w:semiHidden/>
    <w:rsid w:val="001D7657"/>
    <w:pPr>
      <w:numPr>
        <w:numId w:val="6"/>
      </w:numPr>
      <w:spacing w:before="120"/>
    </w:pPr>
  </w:style>
  <w:style w:type="paragraph" w:customStyle="1" w:styleId="Level3bullet">
    <w:name w:val="Level 3 bullet"/>
    <w:basedOn w:val="Normal"/>
    <w:semiHidden/>
    <w:rsid w:val="001D7657"/>
    <w:pPr>
      <w:numPr>
        <w:numId w:val="7"/>
      </w:numPr>
      <w:spacing w:before="120"/>
    </w:pPr>
  </w:style>
  <w:style w:type="paragraph" w:customStyle="1" w:styleId="Numberedlist">
    <w:name w:val="Numbered list"/>
    <w:basedOn w:val="Normal"/>
    <w:semiHidden/>
    <w:rsid w:val="001D7657"/>
    <w:pPr>
      <w:numPr>
        <w:numId w:val="9"/>
      </w:numPr>
    </w:pPr>
  </w:style>
  <w:style w:type="paragraph" w:customStyle="1" w:styleId="Outline1">
    <w:name w:val="Outline 1"/>
    <w:basedOn w:val="Normal"/>
    <w:semiHidden/>
    <w:rsid w:val="001D7657"/>
    <w:pPr>
      <w:spacing w:after="120"/>
    </w:pPr>
  </w:style>
  <w:style w:type="paragraph" w:customStyle="1" w:styleId="Outline1Heading">
    <w:name w:val="Outline 1 Heading"/>
    <w:basedOn w:val="Normal"/>
    <w:next w:val="Outline1"/>
    <w:semiHidden/>
    <w:rsid w:val="001D7657"/>
    <w:pPr>
      <w:keepNext/>
      <w:spacing w:before="240" w:after="60"/>
      <w:outlineLvl w:val="0"/>
    </w:pPr>
    <w:rPr>
      <w:b/>
    </w:rPr>
  </w:style>
  <w:style w:type="paragraph" w:customStyle="1" w:styleId="Outline2">
    <w:name w:val="Outline 2"/>
    <w:basedOn w:val="Normal"/>
    <w:semiHidden/>
    <w:rsid w:val="001D7657"/>
    <w:pPr>
      <w:numPr>
        <w:numId w:val="10"/>
      </w:numPr>
      <w:spacing w:after="120"/>
    </w:pPr>
  </w:style>
  <w:style w:type="paragraph" w:customStyle="1" w:styleId="TableText-LeftJustify">
    <w:name w:val="Table Text - Left Justify"/>
    <w:basedOn w:val="Normal"/>
    <w:uiPriority w:val="14"/>
    <w:qFormat/>
    <w:rsid w:val="00871762"/>
    <w:pPr>
      <w:keepNext/>
      <w:keepLines/>
    </w:pPr>
    <w:rPr>
      <w:sz w:val="20"/>
    </w:rPr>
  </w:style>
  <w:style w:type="table" w:customStyle="1" w:styleId="CommissionReports-Tablestyletemplate">
    <w:name w:val="Commission Reports - Table style template"/>
    <w:basedOn w:val="TableNormal"/>
    <w:uiPriority w:val="99"/>
    <w:rsid w:val="00871762"/>
    <w:pPr>
      <w:spacing w:line="240" w:lineRule="exact"/>
    </w:pPr>
    <w:rPr>
      <w:rFonts w:ascii="Calibri" w:hAnsi="Calibri"/>
      <w:color w:val="000000" w:themeColor="text1"/>
      <w:szCs w:val="24"/>
    </w:rPr>
    <w:tblPr>
      <w:tblStyleRowBandSize w:val="1"/>
      <w:tblStyleColBandSize w:val="1"/>
    </w:tblPr>
    <w:trPr>
      <w:cantSplit/>
    </w:trPr>
    <w:tcPr>
      <w:shd w:val="clear" w:color="auto" w:fill="D9E3E7"/>
      <w:vAlign w:val="center"/>
    </w:tcPr>
    <w:tblStylePr w:type="firstRow">
      <w:pPr>
        <w:wordWrap/>
        <w:spacing w:beforeLines="0" w:before="0" w:beforeAutospacing="0" w:afterLines="0" w:after="0" w:afterAutospacing="0" w:line="264" w:lineRule="auto"/>
      </w:pPr>
      <w:rPr>
        <w:rFonts w:ascii="Calibri" w:hAnsi="Calibr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EA0AE"/>
      </w:tcPr>
    </w:tblStylePr>
    <w:tblStylePr w:type="lastRow">
      <w:rPr>
        <w:b/>
        <w:color w:val="4F707D"/>
      </w:rPr>
      <w:tblPr/>
      <w:tcPr>
        <w:tcBorders>
          <w:top w:val="single" w:sz="4" w:space="0" w:color="7EA0AE"/>
          <w:bottom w:val="single" w:sz="4" w:space="0" w:color="7EA0AE"/>
        </w:tcBorders>
        <w:shd w:val="clear" w:color="auto" w:fill="D0E0E2"/>
      </w:tcPr>
    </w:tblStylePr>
    <w:tblStylePr w:type="firstCol">
      <w:rPr>
        <w:b/>
      </w:rPr>
    </w:tblStylePr>
    <w:tblStylePr w:type="band1Vert">
      <w:tblPr/>
      <w:tcPr>
        <w:shd w:val="clear" w:color="auto" w:fill="F0F6F6"/>
      </w:tcPr>
    </w:tblStylePr>
    <w:tblStylePr w:type="band2Vert">
      <w:tblPr/>
      <w:tcPr>
        <w:shd w:val="clear" w:color="auto" w:fill="D9E6E7"/>
      </w:tcPr>
    </w:tblStylePr>
    <w:tblStylePr w:type="band1Horz">
      <w:tblPr/>
      <w:tcPr>
        <w:shd w:val="clear" w:color="auto" w:fill="E0E9EC"/>
      </w:tcPr>
    </w:tblStylePr>
    <w:tblStylePr w:type="band2Horz">
      <w:tblPr/>
      <w:tcPr>
        <w:shd w:val="clear" w:color="auto" w:fill="F5F9F9"/>
      </w:tcPr>
    </w:tblStylePr>
  </w:style>
  <w:style w:type="character" w:customStyle="1" w:styleId="normaltextrun">
    <w:name w:val="normaltextrun"/>
    <w:basedOn w:val="DefaultParagraphFont"/>
    <w:rsid w:val="00871762"/>
  </w:style>
  <w:style w:type="character" w:customStyle="1" w:styleId="eop">
    <w:name w:val="eop"/>
    <w:basedOn w:val="DefaultParagraphFont"/>
    <w:rsid w:val="00871762"/>
  </w:style>
  <w:style w:type="paragraph" w:customStyle="1" w:styleId="paragraph">
    <w:name w:val="paragraph"/>
    <w:basedOn w:val="Normal"/>
    <w:rsid w:val="00871762"/>
    <w:pPr>
      <w:spacing w:before="100" w:beforeAutospacing="1" w:after="100" w:afterAutospacing="1"/>
    </w:pPr>
    <w:rPr>
      <w:rFonts w:ascii="Times New Roman" w:hAnsi="Times New Roman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871762"/>
    <w:rPr>
      <w:b/>
      <w:bCs/>
    </w:rPr>
  </w:style>
  <w:style w:type="table" w:styleId="TableGridLight">
    <w:name w:val="Grid Table Light"/>
    <w:basedOn w:val="TableNormal"/>
    <w:uiPriority w:val="40"/>
    <w:rsid w:val="00BE2168"/>
    <w:rPr>
      <w:rFonts w:ascii="Calibri" w:hAnsi="Calibri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ub-titleheadingDoesnotshowupinContentsPage">
    <w:name w:val="Sub-title heading: Does not show up in Contents Page"/>
    <w:basedOn w:val="Normal"/>
    <w:uiPriority w:val="2"/>
    <w:rsid w:val="00BE2168"/>
    <w:pPr>
      <w:spacing w:after="120"/>
    </w:pPr>
    <w:rPr>
      <w:b/>
      <w:sz w:val="28"/>
      <w:szCs w:val="28"/>
    </w:rPr>
  </w:style>
  <w:style w:type="paragraph" w:styleId="CommentText">
    <w:name w:val="annotation text"/>
    <w:basedOn w:val="Normal"/>
    <w:link w:val="CommentTextChar"/>
    <w:unhideWhenUsed/>
    <w:rsid w:val="003570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708D"/>
    <w:rPr>
      <w:rFonts w:ascii="Calibri" w:hAnsi="Calibri"/>
      <w:lang w:eastAsia="en-GB"/>
    </w:rPr>
  </w:style>
  <w:style w:type="character" w:styleId="CommentReference">
    <w:name w:val="annotation reference"/>
    <w:basedOn w:val="DefaultParagraphFont"/>
    <w:semiHidden/>
    <w:unhideWhenUsed/>
    <w:rsid w:val="0035708D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C0A9C"/>
    <w:rPr>
      <w:color w:val="605E5C"/>
      <w:shd w:val="clear" w:color="auto" w:fill="E1DFDD"/>
    </w:rPr>
  </w:style>
  <w:style w:type="character" w:customStyle="1" w:styleId="Tabletext-12point">
    <w:name w:val="Table text - 12 point"/>
    <w:uiPriority w:val="99"/>
    <w:rsid w:val="00D70A8F"/>
    <w:rPr>
      <w:sz w:val="24"/>
    </w:rPr>
  </w:style>
  <w:style w:type="character" w:styleId="Mention">
    <w:name w:val="Mention"/>
    <w:basedOn w:val="DefaultParagraphFont"/>
    <w:uiPriority w:val="99"/>
    <w:unhideWhenUsed/>
    <w:rsid w:val="000B67E6"/>
    <w:rPr>
      <w:color w:val="2B579A"/>
      <w:shd w:val="clear" w:color="auto" w:fill="E1DFDD"/>
    </w:rPr>
  </w:style>
  <w:style w:type="character" w:customStyle="1" w:styleId="Emphasis-BOLD">
    <w:name w:val="Emphasis - BOLD"/>
    <w:basedOn w:val="DefaultParagraphFont"/>
    <w:uiPriority w:val="15"/>
    <w:qFormat/>
    <w:rsid w:val="00C46613"/>
    <w:rPr>
      <w:b/>
      <w:i w:val="0"/>
      <w:iCs/>
      <w:u w:val="none"/>
    </w:rPr>
  </w:style>
  <w:style w:type="character" w:customStyle="1" w:styleId="Emphasis-Remove">
    <w:name w:val="Emphasis - Remove"/>
    <w:basedOn w:val="DefaultParagraphFont"/>
    <w:uiPriority w:val="18"/>
    <w:qFormat/>
    <w:rsid w:val="006A2383"/>
  </w:style>
  <w:style w:type="paragraph" w:styleId="ListParagraph">
    <w:name w:val="List Paragraph"/>
    <w:basedOn w:val="Normal"/>
    <w:uiPriority w:val="34"/>
    <w:semiHidden/>
    <w:qFormat/>
    <w:rsid w:val="001A487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0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027A"/>
    <w:rPr>
      <w:rFonts w:ascii="Calibri" w:hAnsi="Calibri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nfrastructure.regulation@comcom.govt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0E58395FC948FA826804B7352C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34068-71DD-4D30-BD06-1E50BE752706}"/>
      </w:docPartPr>
      <w:docPartBody>
        <w:p w:rsidR="000B5DC6" w:rsidRDefault="00B4446B" w:rsidP="00B4446B">
          <w:pPr>
            <w:pStyle w:val="9B0E58395FC948FA826804B7352C34DF"/>
          </w:pPr>
          <w:r>
            <w:t>[choose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6B"/>
    <w:rsid w:val="00076214"/>
    <w:rsid w:val="000B5DC6"/>
    <w:rsid w:val="00240B1C"/>
    <w:rsid w:val="003B5660"/>
    <w:rsid w:val="005217C5"/>
    <w:rsid w:val="0054682D"/>
    <w:rsid w:val="005A7414"/>
    <w:rsid w:val="0087576F"/>
    <w:rsid w:val="008C2E35"/>
    <w:rsid w:val="008F4353"/>
    <w:rsid w:val="00B4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0FA09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0E58395FC948FA826804B7352C34DF">
    <w:name w:val="9B0E58395FC948FA826804B7352C34DF"/>
    <w:rsid w:val="00B44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1852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Links>
    <vt:vector size="6" baseType="variant"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mailto:infrastructure.regulation@comcom.govt.nz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2024-05-27T06:20:00Z</dcterms:created>
  <dcterms:modified xsi:type="dcterms:W3CDTF">2024-05-27T06:20:00Z</dcterms:modified>
</cp:coreProperties>
</file>