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ustom2.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2.xml" Id="R8e377b094b5b450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6BE8" w14:textId="77777777" w:rsidR="000D4D90" w:rsidRDefault="000D4D90" w:rsidP="000D4D90">
      <w:pPr>
        <w:jc w:val="right"/>
        <w:rPr>
          <w:rFonts w:cstheme="minorHAnsi"/>
          <w:b/>
          <w:bCs/>
          <w:sz w:val="32"/>
          <w:szCs w:val="32"/>
          <w:lang w:val="en-US"/>
        </w:rPr>
      </w:pPr>
      <w:bookmarkStart w:id="0" w:name="_Hlk95224332"/>
      <w:r>
        <w:rPr>
          <w:noProof/>
          <w:color w:val="2B579A"/>
          <w:shd w:val="clear" w:color="auto" w:fill="E6E6E6"/>
        </w:rPr>
        <w:drawing>
          <wp:inline distT="0" distB="0" distL="0" distR="0" wp14:anchorId="78D6F143" wp14:editId="68F28ACD">
            <wp:extent cx="2263775" cy="723332"/>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0647" b="18810"/>
                    <a:stretch/>
                  </pic:blipFill>
                  <pic:spPr bwMode="auto">
                    <a:xfrm>
                      <a:off x="0" y="0"/>
                      <a:ext cx="2282392" cy="729281"/>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1ACA85BD" w14:textId="77777777" w:rsidR="000D4D90" w:rsidRDefault="000D4D90" w:rsidP="000D4D90">
      <w:pPr>
        <w:jc w:val="center"/>
        <w:rPr>
          <w:b/>
          <w:bCs/>
          <w:color w:val="000000" w:themeColor="text1"/>
          <w:sz w:val="32"/>
          <w:szCs w:val="32"/>
        </w:rPr>
      </w:pPr>
    </w:p>
    <w:p w14:paraId="6679710F" w14:textId="77777777" w:rsidR="000D4D90" w:rsidRDefault="000D4D90" w:rsidP="000D4D90">
      <w:pPr>
        <w:jc w:val="center"/>
        <w:rPr>
          <w:b/>
          <w:color w:val="000000" w:themeColor="text1"/>
          <w:sz w:val="32"/>
          <w:szCs w:val="32"/>
        </w:rPr>
      </w:pPr>
      <w:r>
        <w:rPr>
          <w:b/>
          <w:bCs/>
          <w:color w:val="000000" w:themeColor="text1"/>
          <w:sz w:val="32"/>
          <w:szCs w:val="32"/>
        </w:rPr>
        <w:t>Incentivising</w:t>
      </w:r>
      <w:r w:rsidRPr="00974CCF">
        <w:rPr>
          <w:b/>
          <w:bCs/>
          <w:color w:val="000000" w:themeColor="text1"/>
          <w:sz w:val="32"/>
          <w:szCs w:val="32"/>
        </w:rPr>
        <w:t xml:space="preserve"> efficient expenditure</w:t>
      </w:r>
      <w:r>
        <w:rPr>
          <w:b/>
          <w:bCs/>
          <w:color w:val="000000" w:themeColor="text1"/>
          <w:sz w:val="32"/>
          <w:szCs w:val="32"/>
        </w:rPr>
        <w:t xml:space="preserve"> </w:t>
      </w:r>
    </w:p>
    <w:p w14:paraId="5BF33EA3" w14:textId="77777777" w:rsidR="000D4D90" w:rsidRPr="00974CCF" w:rsidRDefault="000D4D90" w:rsidP="000D4D90">
      <w:pPr>
        <w:jc w:val="center"/>
        <w:rPr>
          <w:rFonts w:cstheme="minorHAnsi"/>
          <w:b/>
          <w:bCs/>
          <w:sz w:val="32"/>
          <w:szCs w:val="32"/>
          <w:lang w:val="en-US"/>
        </w:rPr>
      </w:pPr>
      <w:r>
        <w:rPr>
          <w:rFonts w:cstheme="minorHAnsi"/>
          <w:b/>
          <w:bCs/>
          <w:sz w:val="32"/>
          <w:szCs w:val="32"/>
          <w:lang w:val="en-US"/>
        </w:rPr>
        <w:t>Questions regarding totex, IRIS and innovation</w:t>
      </w:r>
    </w:p>
    <w:p w14:paraId="1DB6EC87" w14:textId="77777777" w:rsidR="000D4D90" w:rsidRDefault="000D4D90" w:rsidP="000D4D90">
      <w:pPr>
        <w:jc w:val="center"/>
        <w:rPr>
          <w:rFonts w:cstheme="minorHAnsi"/>
          <w:b/>
          <w:bCs/>
          <w:i/>
          <w:iCs/>
          <w:szCs w:val="24"/>
          <w:lang w:val="en-US"/>
        </w:rPr>
      </w:pPr>
      <w:r>
        <w:rPr>
          <w:rFonts w:cstheme="minorHAnsi"/>
          <w:b/>
          <w:bCs/>
          <w:i/>
          <w:iCs/>
          <w:szCs w:val="24"/>
          <w:lang w:val="en-US"/>
        </w:rPr>
        <w:t>For use by external stakeholders</w:t>
      </w:r>
    </w:p>
    <w:p w14:paraId="0D9CAD72" w14:textId="77777777" w:rsidR="000D4D90" w:rsidRDefault="000D4D90" w:rsidP="000D4D90">
      <w:pPr>
        <w:jc w:val="center"/>
        <w:rPr>
          <w:rFonts w:cstheme="minorHAnsi"/>
          <w:b/>
          <w:bCs/>
          <w:i/>
          <w:iCs/>
          <w:szCs w:val="24"/>
          <w:lang w:val="en-US"/>
        </w:rPr>
      </w:pPr>
    </w:p>
    <w:p w14:paraId="4EB69CF2" w14:textId="77777777" w:rsidR="000D4D90" w:rsidRDefault="000D4D90" w:rsidP="000D4D90">
      <w:pPr>
        <w:rPr>
          <w:szCs w:val="24"/>
          <w:lang w:val="en-US"/>
        </w:rPr>
      </w:pPr>
    </w:p>
    <w:p w14:paraId="4EAFC209" w14:textId="526DEEB6" w:rsidR="000D4D90" w:rsidRDefault="000D4D90" w:rsidP="6D0A7D08">
      <w:pPr>
        <w:rPr>
          <w:lang w:val="en-US"/>
        </w:rPr>
      </w:pPr>
      <w:r w:rsidRPr="6D0A7D08">
        <w:rPr>
          <w:lang w:val="en-US"/>
        </w:rPr>
        <w:t xml:space="preserve">This document provides questions to guide feedback on our 7 November 2022 workshop </w:t>
      </w:r>
      <w:r w:rsidRPr="6D0A7D08">
        <w:rPr>
          <w:i/>
          <w:iCs/>
          <w:lang w:val="en-US"/>
        </w:rPr>
        <w:t>“Forecasting and incentivising efficient expenditure for EDBs”</w:t>
      </w:r>
      <w:r w:rsidRPr="6D0A7D08">
        <w:rPr>
          <w:lang w:val="en-US"/>
        </w:rPr>
        <w:t>. These questions focus on totex, IRIS, and innovation and are intended to inform our review of the Part 4 input methodologies</w:t>
      </w:r>
      <w:r w:rsidR="19C01C96" w:rsidRPr="6D0A7D08">
        <w:rPr>
          <w:lang w:val="en-US"/>
        </w:rPr>
        <w:t xml:space="preserve"> (IM</w:t>
      </w:r>
      <w:r w:rsidR="4B31F38A" w:rsidRPr="6D0A7D08">
        <w:rPr>
          <w:lang w:val="en-US"/>
        </w:rPr>
        <w:t xml:space="preserve"> Review</w:t>
      </w:r>
      <w:r w:rsidR="19C01C96" w:rsidRPr="6D0A7D08">
        <w:rPr>
          <w:lang w:val="en-US"/>
        </w:rPr>
        <w:t>)</w:t>
      </w:r>
      <w:r w:rsidRPr="6D0A7D08">
        <w:rPr>
          <w:lang w:val="en-US"/>
        </w:rPr>
        <w:t>.</w:t>
      </w:r>
    </w:p>
    <w:p w14:paraId="47B3B01B" w14:textId="77777777" w:rsidR="000D4D90" w:rsidRDefault="000D4D90" w:rsidP="000D4D90">
      <w:pPr>
        <w:rPr>
          <w:szCs w:val="24"/>
          <w:lang w:val="en-US"/>
        </w:rPr>
      </w:pPr>
    </w:p>
    <w:p w14:paraId="5377D7AB" w14:textId="77777777" w:rsidR="000D4D90" w:rsidRDefault="000D4D90" w:rsidP="000D4D90">
      <w:pPr>
        <w:rPr>
          <w:szCs w:val="24"/>
          <w:lang w:val="en-US"/>
        </w:rPr>
      </w:pPr>
      <w:r>
        <w:rPr>
          <w:szCs w:val="24"/>
          <w:lang w:val="en-US"/>
        </w:rPr>
        <w:t>Along with these questions we have published:</w:t>
      </w:r>
    </w:p>
    <w:p w14:paraId="3799AF7C" w14:textId="77777777" w:rsidR="000D4D90" w:rsidRPr="00821A44" w:rsidRDefault="000D4D90" w:rsidP="000D4D90">
      <w:pPr>
        <w:pStyle w:val="ListParagraph"/>
        <w:numPr>
          <w:ilvl w:val="0"/>
          <w:numId w:val="49"/>
        </w:numPr>
        <w:rPr>
          <w:szCs w:val="24"/>
          <w:lang w:val="en-US"/>
        </w:rPr>
      </w:pPr>
      <w:r>
        <w:rPr>
          <w:szCs w:val="24"/>
          <w:lang w:val="en-US"/>
        </w:rPr>
        <w:t xml:space="preserve">a model </w:t>
      </w:r>
      <w:r w:rsidRPr="00821A44">
        <w:rPr>
          <w:szCs w:val="24"/>
          <w:lang w:val="en-US"/>
        </w:rPr>
        <w:t>that demonstrates the</w:t>
      </w:r>
      <w:r>
        <w:rPr>
          <w:szCs w:val="24"/>
          <w:lang w:val="en-US"/>
        </w:rPr>
        <w:t xml:space="preserve"> </w:t>
      </w:r>
      <w:r>
        <w:rPr>
          <w:color w:val="000000" w:themeColor="text1"/>
          <w:szCs w:val="24"/>
        </w:rPr>
        <w:t xml:space="preserve">broad </w:t>
      </w:r>
      <w:r w:rsidRPr="37556F24">
        <w:rPr>
          <w:color w:val="000000" w:themeColor="text1"/>
          <w:szCs w:val="24"/>
        </w:rPr>
        <w:t>financial equivalence of the treatment of opex and capex in the respective IRIS incentive mechanisms</w:t>
      </w:r>
      <w:r>
        <w:rPr>
          <w:color w:val="000000" w:themeColor="text1"/>
          <w:szCs w:val="24"/>
        </w:rPr>
        <w:t>;</w:t>
      </w:r>
      <w:r w:rsidRPr="37556F24">
        <w:rPr>
          <w:color w:val="000000" w:themeColor="text1"/>
          <w:szCs w:val="24"/>
        </w:rPr>
        <w:t xml:space="preserve"> </w:t>
      </w:r>
      <w:r>
        <w:rPr>
          <w:szCs w:val="24"/>
          <w:lang w:val="en-US"/>
        </w:rPr>
        <w:t xml:space="preserve">and </w:t>
      </w:r>
    </w:p>
    <w:p w14:paraId="1DEE0543" w14:textId="5E9A82D3" w:rsidR="000D4D90" w:rsidRPr="00821A44" w:rsidRDefault="000D4D90" w:rsidP="291B5A0E">
      <w:pPr>
        <w:pStyle w:val="ListParagraph"/>
        <w:numPr>
          <w:ilvl w:val="0"/>
          <w:numId w:val="49"/>
        </w:numPr>
        <w:rPr>
          <w:szCs w:val="24"/>
          <w:lang w:val="en-US"/>
        </w:rPr>
      </w:pPr>
      <w:r>
        <w:rPr>
          <w:szCs w:val="24"/>
          <w:lang w:val="en-US"/>
        </w:rPr>
        <w:t>a brief companion</w:t>
      </w:r>
      <w:r w:rsidRPr="00821A44">
        <w:rPr>
          <w:szCs w:val="24"/>
          <w:lang w:val="en-US"/>
        </w:rPr>
        <w:t xml:space="preserve"> </w:t>
      </w:r>
      <w:r w:rsidR="6A479F95" w:rsidRPr="291B5A0E">
        <w:rPr>
          <w:lang w:val="en-US"/>
        </w:rPr>
        <w:t xml:space="preserve">staff </w:t>
      </w:r>
      <w:r>
        <w:rPr>
          <w:szCs w:val="24"/>
          <w:lang w:val="en-US"/>
        </w:rPr>
        <w:t xml:space="preserve">paper. </w:t>
      </w:r>
    </w:p>
    <w:p w14:paraId="4F4C8D51" w14:textId="77777777" w:rsidR="000D4D90" w:rsidRDefault="000D4D90" w:rsidP="000D4D90">
      <w:pPr>
        <w:rPr>
          <w:szCs w:val="24"/>
          <w:lang w:val="en-US"/>
        </w:rPr>
      </w:pPr>
    </w:p>
    <w:p w14:paraId="46D63C2F" w14:textId="077AF9B5" w:rsidR="000D4D90" w:rsidRPr="00A96AB1" w:rsidRDefault="000D4D90" w:rsidP="6D0A7D08">
      <w:pPr>
        <w:rPr>
          <w:lang w:val="en-US"/>
        </w:rPr>
      </w:pPr>
      <w:r w:rsidRPr="6D0A7D08">
        <w:rPr>
          <w:lang w:val="en-US"/>
        </w:rPr>
        <w:t>The workshop slides and staff working paper (</w:t>
      </w:r>
      <w:r w:rsidRPr="6D0A7D08">
        <w:rPr>
          <w:i/>
          <w:iCs/>
          <w:lang w:val="en-US"/>
        </w:rPr>
        <w:t>Electricity distributors’ expenditure incentives under the current Part 4 approach and under a totex approach</w:t>
      </w:r>
      <w:r w:rsidRPr="6D0A7D08">
        <w:rPr>
          <w:lang w:val="en-US"/>
        </w:rPr>
        <w:t xml:space="preserve">) we published before the workshop are available </w:t>
      </w:r>
      <w:hyperlink r:id="rId12">
        <w:r w:rsidRPr="6D0A7D08">
          <w:rPr>
            <w:rStyle w:val="Hyperlink"/>
            <w:lang w:val="en-US"/>
          </w:rPr>
          <w:t>here</w:t>
        </w:r>
      </w:hyperlink>
      <w:r w:rsidR="662CABAA" w:rsidRPr="6D0A7D08">
        <w:rPr>
          <w:lang w:val="en-US"/>
        </w:rPr>
        <w:t xml:space="preserve"> along with the recording of the workshop</w:t>
      </w:r>
      <w:r w:rsidRPr="6D0A7D08">
        <w:rPr>
          <w:lang w:val="en-US"/>
        </w:rPr>
        <w:t xml:space="preserve">. </w:t>
      </w:r>
    </w:p>
    <w:p w14:paraId="23CFB629" w14:textId="77777777" w:rsidR="000D4D90" w:rsidRDefault="000D4D90" w:rsidP="000D4D90">
      <w:pPr>
        <w:rPr>
          <w:szCs w:val="24"/>
          <w:lang w:val="en-US"/>
        </w:rPr>
      </w:pPr>
    </w:p>
    <w:p w14:paraId="728C09A0" w14:textId="77777777" w:rsidR="000D4D90" w:rsidRDefault="000D4D90" w:rsidP="000D4D90">
      <w:pPr>
        <w:rPr>
          <w:rFonts w:eastAsia="Calibri"/>
          <w:szCs w:val="24"/>
          <w:lang w:val="en-US"/>
        </w:rPr>
      </w:pPr>
      <w:r>
        <w:rPr>
          <w:szCs w:val="24"/>
          <w:lang w:val="en-US"/>
        </w:rPr>
        <w:t xml:space="preserve">It would be useful if you could take these into account when answering the questions that follow. </w:t>
      </w:r>
    </w:p>
    <w:p w14:paraId="015A2AF3" w14:textId="77777777" w:rsidR="000D4D90" w:rsidRPr="00065727" w:rsidRDefault="000D4D90" w:rsidP="000D4D90">
      <w:pPr>
        <w:rPr>
          <w:rFonts w:eastAsia="Calibri" w:cs="Arial"/>
          <w:lang w:val="en-US"/>
        </w:rPr>
      </w:pPr>
    </w:p>
    <w:p w14:paraId="7B2E6E70" w14:textId="52875E5E" w:rsidR="000D4D90" w:rsidRDefault="000D4D90" w:rsidP="6D0A7D08">
      <w:pPr>
        <w:rPr>
          <w:lang w:val="en-US"/>
        </w:rPr>
      </w:pPr>
      <w:r w:rsidRPr="750FA6F7">
        <w:rPr>
          <w:lang w:val="en-US"/>
        </w:rPr>
        <w:t xml:space="preserve">Completed forms should be sent to </w:t>
      </w:r>
      <w:hyperlink r:id="rId13">
        <w:r w:rsidRPr="750FA6F7">
          <w:rPr>
            <w:rStyle w:val="Hyperlink"/>
            <w:lang w:val="en-US"/>
          </w:rPr>
          <w:t>im.review@comcom.govt.nz</w:t>
        </w:r>
      </w:hyperlink>
      <w:r w:rsidRPr="750FA6F7">
        <w:rPr>
          <w:lang w:val="en-US"/>
        </w:rPr>
        <w:t xml:space="preserve">, with ‘INCENTIVES </w:t>
      </w:r>
      <w:r w:rsidR="4C57AEB2" w:rsidRPr="750FA6F7">
        <w:rPr>
          <w:lang w:val="en-US"/>
        </w:rPr>
        <w:t>SUBMISSION</w:t>
      </w:r>
      <w:r w:rsidRPr="750FA6F7">
        <w:rPr>
          <w:lang w:val="en-US"/>
        </w:rPr>
        <w:t xml:space="preserve"> – [your submitter name]’ in the subject line of the email.</w:t>
      </w:r>
      <w:r w:rsidR="2FFD32B5" w:rsidRPr="750FA6F7">
        <w:rPr>
          <w:lang w:val="en-US"/>
        </w:rPr>
        <w:t xml:space="preserve">  Please provide us with your feedback by 5pm </w:t>
      </w:r>
      <w:r w:rsidR="00E8587E">
        <w:rPr>
          <w:lang w:val="en-US"/>
        </w:rPr>
        <w:t>Tuesday 6</w:t>
      </w:r>
      <w:r w:rsidR="2FFD32B5" w:rsidRPr="750FA6F7">
        <w:rPr>
          <w:lang w:val="en-US"/>
        </w:rPr>
        <w:t xml:space="preserve"> December 2022.</w:t>
      </w:r>
    </w:p>
    <w:p w14:paraId="3F4FA770" w14:textId="77777777" w:rsidR="000D4D90" w:rsidRDefault="000D4D90" w:rsidP="000D4D90">
      <w:pPr>
        <w:rPr>
          <w:szCs w:val="24"/>
          <w:lang w:val="en-US"/>
        </w:rPr>
      </w:pPr>
    </w:p>
    <w:p w14:paraId="6DD75684" w14:textId="77777777" w:rsidR="000D4D90" w:rsidRPr="00065727" w:rsidRDefault="000D4D90" w:rsidP="000D4D90">
      <w:pPr>
        <w:rPr>
          <w:szCs w:val="24"/>
          <w:lang w:val="en-US"/>
        </w:rPr>
      </w:pPr>
      <w:r>
        <w:rPr>
          <w:szCs w:val="24"/>
          <w:lang w:val="en-US"/>
        </w:rPr>
        <w:t>If you have supporting documents that you consider would improve our understanding of the issues, please attach them with your response and reference them in your feedback below.</w:t>
      </w:r>
    </w:p>
    <w:p w14:paraId="791EF631" w14:textId="77777777" w:rsidR="000D4D90" w:rsidRDefault="000D4D90" w:rsidP="000D4D90">
      <w:pPr>
        <w:rPr>
          <w:szCs w:val="24"/>
          <w:lang w:val="en-US"/>
        </w:rPr>
      </w:pPr>
    </w:p>
    <w:p w14:paraId="33D7B9E7" w14:textId="77777777" w:rsidR="000D4D90" w:rsidRDefault="000D4D90" w:rsidP="000D4D90">
      <w:pPr>
        <w:pStyle w:val="NormalWeb"/>
        <w:shd w:val="clear" w:color="auto" w:fill="FFFFFF"/>
        <w:rPr>
          <w:szCs w:val="24"/>
          <w:lang w:val="en-US"/>
        </w:rPr>
      </w:pPr>
      <w:r>
        <w:rPr>
          <w:color w:val="000000"/>
          <w:sz w:val="24"/>
          <w:szCs w:val="24"/>
        </w:rPr>
        <w:t>All completed forms and supporting documents provided to us in this context will form part of the record for the IM Review. We intend to publish completed forms and supporting documents provided to us to enable other stakeholders to engage with them throughout the IM R</w:t>
      </w:r>
      <w:r w:rsidRPr="009B7285">
        <w:rPr>
          <w:color w:val="000000"/>
          <w:sz w:val="24"/>
          <w:szCs w:val="24"/>
        </w:rPr>
        <w:t>eview. </w:t>
      </w:r>
      <w:r>
        <w:rPr>
          <w:sz w:val="24"/>
          <w:szCs w:val="24"/>
          <w:lang w:val="en-US"/>
        </w:rPr>
        <w:t xml:space="preserve">Any request that we not publish content in a completed form or </w:t>
      </w:r>
      <w:r>
        <w:rPr>
          <w:color w:val="000000"/>
          <w:sz w:val="24"/>
          <w:szCs w:val="24"/>
        </w:rPr>
        <w:t xml:space="preserve">supporting document </w:t>
      </w:r>
      <w:r>
        <w:rPr>
          <w:sz w:val="24"/>
          <w:szCs w:val="24"/>
          <w:lang w:val="en-US"/>
        </w:rPr>
        <w:t>provided to us must be clear and explicit with reasons supporting why that content is confidential or commercially sensitive. We</w:t>
      </w:r>
      <w:r w:rsidRPr="0F900560">
        <w:rPr>
          <w:sz w:val="24"/>
          <w:szCs w:val="24"/>
          <w:lang w:val="en-US"/>
        </w:rPr>
        <w:t xml:space="preserve"> will consider any such requests on their merits.</w:t>
      </w:r>
    </w:p>
    <w:p w14:paraId="76038F62" w14:textId="77777777" w:rsidR="000D4D90" w:rsidRDefault="000D4D90" w:rsidP="000D4D90">
      <w:pPr>
        <w:rPr>
          <w:szCs w:val="24"/>
          <w:lang w:val="en-US"/>
        </w:rPr>
      </w:pPr>
      <w:r>
        <w:rPr>
          <w:szCs w:val="24"/>
          <w:lang w:val="en-US"/>
        </w:rPr>
        <w:t xml:space="preserve"> </w:t>
      </w:r>
    </w:p>
    <w:p w14:paraId="01A092D9" w14:textId="77777777" w:rsidR="000D4D90" w:rsidRDefault="000D4D90" w:rsidP="000D4D90">
      <w:pPr>
        <w:rPr>
          <w:szCs w:val="24"/>
          <w:lang w:val="en-US"/>
        </w:rPr>
      </w:pPr>
    </w:p>
    <w:p w14:paraId="082E4635" w14:textId="77777777" w:rsidR="000D4D90" w:rsidRDefault="000D4D90" w:rsidP="000D4D90">
      <w:pPr>
        <w:rPr>
          <w:szCs w:val="24"/>
          <w:lang w:val="en-US"/>
        </w:rPr>
      </w:pPr>
    </w:p>
    <w:p w14:paraId="72481BA5" w14:textId="77777777" w:rsidR="000D4D90" w:rsidRDefault="000D4D90" w:rsidP="000D4D90">
      <w:pPr>
        <w:rPr>
          <w:szCs w:val="24"/>
          <w:lang w:val="en-US"/>
        </w:rPr>
      </w:pPr>
    </w:p>
    <w:p w14:paraId="53597DB7" w14:textId="77777777" w:rsidR="000D4D90" w:rsidRDefault="000D4D90" w:rsidP="000D4D90">
      <w:pPr>
        <w:spacing w:after="160" w:line="259" w:lineRule="auto"/>
        <w:rPr>
          <w:rFonts w:eastAsia="Calibri" w:cs="Calibri"/>
          <w:szCs w:val="24"/>
          <w:lang w:val="en-US"/>
        </w:rPr>
      </w:pPr>
    </w:p>
    <w:p w14:paraId="2B38C5F3" w14:textId="77777777" w:rsidR="000D4D90" w:rsidRDefault="000D4D90" w:rsidP="000D4D90">
      <w:pPr>
        <w:pStyle w:val="Heading1"/>
        <w:numPr>
          <w:ilvl w:val="0"/>
          <w:numId w:val="48"/>
        </w:numPr>
        <w:tabs>
          <w:tab w:val="num" w:pos="360"/>
        </w:tabs>
        <w:ind w:left="0" w:firstLine="0"/>
      </w:pPr>
      <w:r>
        <w:t>Questions relating to the p</w:t>
      </w:r>
      <w:r w:rsidRPr="007E317C">
        <w:t>roblem</w:t>
      </w:r>
      <w:r>
        <w:t xml:space="preserve"> of </w:t>
      </w:r>
      <w:r w:rsidRPr="007E317C">
        <w:t>capex bias</w:t>
      </w:r>
    </w:p>
    <w:p w14:paraId="0CA2A672" w14:textId="77777777" w:rsidR="00364F8C" w:rsidRPr="00364F8C" w:rsidRDefault="00364F8C" w:rsidP="00364F8C">
      <w:pPr>
        <w:pStyle w:val="BodyText"/>
      </w:pPr>
    </w:p>
    <w:p w14:paraId="3C0EC768" w14:textId="366D66BA" w:rsidR="000D4D90" w:rsidRPr="002B6FF5" w:rsidRDefault="000D4D90" w:rsidP="000D4D90">
      <w:pPr>
        <w:pStyle w:val="BodyText"/>
      </w:pPr>
      <w:r>
        <w:t>In paragraph 12 of our staff working paper,</w:t>
      </w:r>
      <w:r>
        <w:rPr>
          <w:rStyle w:val="FootnoteReference"/>
        </w:rPr>
        <w:footnoteReference w:id="2"/>
      </w:r>
      <w:r>
        <w:t xml:space="preserve"> we define ‘capex bias’ as arising where the regulatory approach to setting price-quality paths financially incentivises investment in assets (capex) over alternatives such as demand response (opex), where those alternatives are more efficient. We do not use the term ‘capex bias’ to refer to situations where favouring a traditional network solution over a non-network alternative results in greater net benefits to consumers. </w:t>
      </w: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562"/>
        <w:gridCol w:w="8454"/>
      </w:tblGrid>
      <w:tr w:rsidR="000D4D90" w14:paraId="4D238014" w14:textId="77777777" w:rsidTr="005D31DD">
        <w:trPr>
          <w:trHeight w:val="674"/>
        </w:trPr>
        <w:tc>
          <w:tcPr>
            <w:tcW w:w="562" w:type="dxa"/>
          </w:tcPr>
          <w:p w14:paraId="1E04A93D" w14:textId="77777777" w:rsidR="000D4D90" w:rsidRDefault="000D4D90" w:rsidP="005D31DD">
            <w:pPr>
              <w:pStyle w:val="BodyText"/>
              <w:rPr>
                <w:lang w:val="en-US"/>
              </w:rPr>
            </w:pPr>
            <w:r w:rsidRPr="007D51C0">
              <w:rPr>
                <w:b/>
              </w:rPr>
              <w:t>A1.</w:t>
            </w:r>
          </w:p>
        </w:tc>
        <w:tc>
          <w:tcPr>
            <w:tcW w:w="8454" w:type="dxa"/>
          </w:tcPr>
          <w:p w14:paraId="33DD5570" w14:textId="77777777" w:rsidR="000D4D90" w:rsidRPr="009367E2" w:rsidRDefault="000D4D90" w:rsidP="005D31DD">
            <w:pPr>
              <w:pStyle w:val="BodyText"/>
              <w:rPr>
                <w:b/>
              </w:rPr>
            </w:pPr>
            <w:r w:rsidRPr="007D51C0">
              <w:rPr>
                <w:b/>
              </w:rPr>
              <w:t xml:space="preserve">Do you consider </w:t>
            </w:r>
            <w:r>
              <w:rPr>
                <w:b/>
              </w:rPr>
              <w:t xml:space="preserve">that </w:t>
            </w:r>
            <w:r w:rsidRPr="007D51C0">
              <w:rPr>
                <w:b/>
              </w:rPr>
              <w:t>we have accurately described the general problem of capex bias?</w:t>
            </w:r>
            <w:r>
              <w:rPr>
                <w:b/>
              </w:rPr>
              <w:t xml:space="preserve"> If not, please provide further description.</w:t>
            </w:r>
          </w:p>
        </w:tc>
      </w:tr>
      <w:tr w:rsidR="000D4D90" w14:paraId="3B2EDBE9" w14:textId="77777777" w:rsidTr="005D31DD">
        <w:tc>
          <w:tcPr>
            <w:tcW w:w="562" w:type="dxa"/>
          </w:tcPr>
          <w:p w14:paraId="65F569A9" w14:textId="77777777" w:rsidR="000D4D90" w:rsidRDefault="000D4D90" w:rsidP="005D31DD">
            <w:pPr>
              <w:pStyle w:val="BodyText"/>
              <w:rPr>
                <w:lang w:val="en-US"/>
              </w:rPr>
            </w:pPr>
          </w:p>
        </w:tc>
        <w:tc>
          <w:tcPr>
            <w:tcW w:w="8454" w:type="dxa"/>
          </w:tcPr>
          <w:p w14:paraId="12E375E7" w14:textId="77777777" w:rsidR="000D4D90" w:rsidRPr="00FA1775" w:rsidRDefault="000D4D90" w:rsidP="005D31DD">
            <w:pPr>
              <w:rPr>
                <w:rFonts w:asciiTheme="minorHAnsi" w:hAnsiTheme="minorHAnsi" w:cstheme="minorHAnsi"/>
                <w:bCs/>
                <w:szCs w:val="24"/>
              </w:rPr>
            </w:pPr>
            <w:r w:rsidRPr="00FA1775">
              <w:rPr>
                <w:rFonts w:asciiTheme="minorHAnsi" w:hAnsiTheme="minorHAnsi" w:cstheme="minorHAnsi"/>
                <w:bCs/>
                <w:szCs w:val="24"/>
              </w:rPr>
              <w:t>Answer:</w:t>
            </w:r>
          </w:p>
        </w:tc>
      </w:tr>
      <w:tr w:rsidR="000D4D90" w14:paraId="5A910953" w14:textId="77777777" w:rsidTr="005D31DD">
        <w:tc>
          <w:tcPr>
            <w:tcW w:w="562" w:type="dxa"/>
          </w:tcPr>
          <w:p w14:paraId="0FB74DF1" w14:textId="77777777" w:rsidR="000D4D90" w:rsidRDefault="000D4D90" w:rsidP="005D31DD">
            <w:pPr>
              <w:pStyle w:val="BodyText"/>
              <w:rPr>
                <w:rFonts w:asciiTheme="minorHAnsi" w:hAnsiTheme="minorHAnsi" w:cstheme="minorHAnsi"/>
                <w:b/>
                <w:szCs w:val="24"/>
              </w:rPr>
            </w:pPr>
            <w:r>
              <w:rPr>
                <w:rFonts w:asciiTheme="minorHAnsi" w:hAnsiTheme="minorHAnsi" w:cstheme="minorHAnsi"/>
                <w:b/>
                <w:szCs w:val="24"/>
              </w:rPr>
              <w:t>A2.</w:t>
            </w:r>
          </w:p>
        </w:tc>
        <w:tc>
          <w:tcPr>
            <w:tcW w:w="8454" w:type="dxa"/>
          </w:tcPr>
          <w:p w14:paraId="0635D74B" w14:textId="77777777" w:rsidR="000D4D90" w:rsidRPr="009367E2" w:rsidRDefault="000D4D90" w:rsidP="005D31DD">
            <w:pPr>
              <w:rPr>
                <w:rFonts w:asciiTheme="minorHAnsi" w:hAnsiTheme="minorHAnsi"/>
                <w:b/>
                <w:bCs/>
                <w:sz w:val="22"/>
                <w:szCs w:val="22"/>
                <w:lang w:eastAsia="en-US"/>
              </w:rPr>
            </w:pPr>
            <w:r w:rsidRPr="007E7330">
              <w:rPr>
                <w:b/>
                <w:bCs/>
                <w:lang w:val="en-US"/>
              </w:rPr>
              <w:t>Do you consider we have accurately described the potential issue with regulatory financial incentives resulting in or reinforcing capex bias?</w:t>
            </w:r>
            <w:r w:rsidRPr="007E7330" w:rsidDel="00C330CF">
              <w:rPr>
                <w:b/>
                <w:bCs/>
                <w:lang w:val="en-US"/>
              </w:rPr>
              <w:t xml:space="preserve"> </w:t>
            </w:r>
            <w:r>
              <w:rPr>
                <w:b/>
              </w:rPr>
              <w:t>If not, please provide further description.</w:t>
            </w:r>
          </w:p>
        </w:tc>
      </w:tr>
      <w:tr w:rsidR="000D4D90" w14:paraId="581BF7B9" w14:textId="77777777" w:rsidTr="005D31DD">
        <w:tc>
          <w:tcPr>
            <w:tcW w:w="562" w:type="dxa"/>
          </w:tcPr>
          <w:p w14:paraId="091F8E05" w14:textId="77777777" w:rsidR="000D4D90" w:rsidRDefault="000D4D90" w:rsidP="005D31DD">
            <w:pPr>
              <w:pStyle w:val="BodyText"/>
              <w:rPr>
                <w:lang w:val="en-US"/>
              </w:rPr>
            </w:pPr>
          </w:p>
        </w:tc>
        <w:tc>
          <w:tcPr>
            <w:tcW w:w="8454" w:type="dxa"/>
          </w:tcPr>
          <w:p w14:paraId="1A9819A1" w14:textId="77777777" w:rsidR="000D4D90" w:rsidRDefault="000D4D90" w:rsidP="005D31DD">
            <w:pPr>
              <w:pStyle w:val="BodyText"/>
              <w:rPr>
                <w:lang w:val="en-US"/>
              </w:rPr>
            </w:pPr>
            <w:r>
              <w:rPr>
                <w:lang w:val="en-US"/>
              </w:rPr>
              <w:t>Answer:</w:t>
            </w:r>
          </w:p>
        </w:tc>
      </w:tr>
      <w:tr w:rsidR="000D4D90" w14:paraId="7E08785E" w14:textId="77777777" w:rsidTr="005D31DD">
        <w:tc>
          <w:tcPr>
            <w:tcW w:w="562" w:type="dxa"/>
          </w:tcPr>
          <w:p w14:paraId="43FB63ED" w14:textId="77777777" w:rsidR="000D4D90" w:rsidRPr="002D3D3C" w:rsidRDefault="000D4D90" w:rsidP="005D31DD">
            <w:pPr>
              <w:pStyle w:val="BodyText"/>
              <w:rPr>
                <w:b/>
                <w:bCs/>
                <w:lang w:val="en-US"/>
              </w:rPr>
            </w:pPr>
            <w:r w:rsidRPr="002D3D3C">
              <w:rPr>
                <w:b/>
                <w:bCs/>
                <w:lang w:val="en-US"/>
              </w:rPr>
              <w:t>A3.</w:t>
            </w:r>
          </w:p>
        </w:tc>
        <w:tc>
          <w:tcPr>
            <w:tcW w:w="8454" w:type="dxa"/>
          </w:tcPr>
          <w:p w14:paraId="1E354E45" w14:textId="77777777" w:rsidR="000D4D90" w:rsidRPr="009367E2" w:rsidRDefault="000D4D90" w:rsidP="005D31DD">
            <w:pPr>
              <w:rPr>
                <w:b/>
                <w:bCs/>
              </w:rPr>
            </w:pPr>
            <w:r>
              <w:rPr>
                <w:b/>
                <w:bCs/>
                <w:lang w:val="en-US"/>
              </w:rPr>
              <w:t>If relevant, we would welcome</w:t>
            </w:r>
            <w:r w:rsidRPr="002D3D3C">
              <w:rPr>
                <w:b/>
                <w:bCs/>
                <w:lang w:val="en-US"/>
              </w:rPr>
              <w:t xml:space="preserve"> examples of capex bias from your business</w:t>
            </w:r>
            <w:r>
              <w:rPr>
                <w:b/>
                <w:bCs/>
                <w:lang w:val="en-US"/>
              </w:rPr>
              <w:t xml:space="preserve">. Please </w:t>
            </w:r>
            <w:r w:rsidRPr="002D3D3C">
              <w:rPr>
                <w:b/>
                <w:bCs/>
                <w:lang w:val="en-US"/>
              </w:rPr>
              <w:t xml:space="preserve">explain the source(s) of </w:t>
            </w:r>
            <w:r>
              <w:rPr>
                <w:b/>
                <w:bCs/>
                <w:lang w:val="en-US"/>
              </w:rPr>
              <w:t xml:space="preserve">the capex </w:t>
            </w:r>
            <w:r w:rsidRPr="002D3D3C">
              <w:rPr>
                <w:b/>
                <w:bCs/>
                <w:lang w:val="en-US"/>
              </w:rPr>
              <w:t>bias</w:t>
            </w:r>
            <w:r>
              <w:rPr>
                <w:b/>
                <w:bCs/>
                <w:lang w:val="en-US"/>
              </w:rPr>
              <w:t xml:space="preserve">. </w:t>
            </w:r>
            <w:r w:rsidRPr="002D3D3C">
              <w:rPr>
                <w:rStyle w:val="FootnoteReference"/>
                <w:b/>
                <w:lang w:val="en-US"/>
              </w:rPr>
              <w:t xml:space="preserve"> </w:t>
            </w:r>
          </w:p>
        </w:tc>
      </w:tr>
      <w:tr w:rsidR="000D4D90" w14:paraId="072056CC" w14:textId="77777777" w:rsidTr="005D31DD">
        <w:tc>
          <w:tcPr>
            <w:tcW w:w="562" w:type="dxa"/>
          </w:tcPr>
          <w:p w14:paraId="25FE9D0B" w14:textId="77777777" w:rsidR="000D4D90" w:rsidRDefault="000D4D90" w:rsidP="005D31DD">
            <w:pPr>
              <w:pStyle w:val="BodyText"/>
              <w:rPr>
                <w:lang w:val="en-US"/>
              </w:rPr>
            </w:pPr>
          </w:p>
        </w:tc>
        <w:tc>
          <w:tcPr>
            <w:tcW w:w="8454" w:type="dxa"/>
          </w:tcPr>
          <w:p w14:paraId="33DB823E" w14:textId="77777777" w:rsidR="000D4D90" w:rsidRDefault="000D4D90" w:rsidP="005D31DD">
            <w:pPr>
              <w:pStyle w:val="BodyText"/>
              <w:rPr>
                <w:lang w:val="en-US"/>
              </w:rPr>
            </w:pPr>
            <w:r>
              <w:rPr>
                <w:lang w:val="en-US"/>
              </w:rPr>
              <w:t>Answer:</w:t>
            </w:r>
          </w:p>
        </w:tc>
      </w:tr>
      <w:tr w:rsidR="000D4D90" w14:paraId="191316F1" w14:textId="77777777" w:rsidTr="005D31DD">
        <w:tc>
          <w:tcPr>
            <w:tcW w:w="562" w:type="dxa"/>
          </w:tcPr>
          <w:p w14:paraId="7EAE9484" w14:textId="77777777" w:rsidR="000D4D90" w:rsidRPr="002D3D3C" w:rsidRDefault="000D4D90" w:rsidP="005D31DD">
            <w:pPr>
              <w:pStyle w:val="BodyText"/>
              <w:rPr>
                <w:b/>
                <w:bCs/>
                <w:lang w:val="en-US"/>
              </w:rPr>
            </w:pPr>
            <w:r w:rsidRPr="002D3D3C">
              <w:rPr>
                <w:b/>
                <w:bCs/>
                <w:lang w:val="en-US"/>
              </w:rPr>
              <w:t>A4.</w:t>
            </w:r>
          </w:p>
        </w:tc>
        <w:tc>
          <w:tcPr>
            <w:tcW w:w="8454" w:type="dxa"/>
          </w:tcPr>
          <w:p w14:paraId="0A8485F1" w14:textId="77777777" w:rsidR="000D4D90" w:rsidRPr="002D3D3C" w:rsidRDefault="000D4D90" w:rsidP="005D31DD">
            <w:pPr>
              <w:rPr>
                <w:b/>
                <w:bCs/>
                <w:lang w:val="en-US"/>
              </w:rPr>
            </w:pPr>
            <w:r w:rsidRPr="002D3D3C">
              <w:rPr>
                <w:b/>
                <w:bCs/>
                <w:lang w:val="en-US"/>
              </w:rPr>
              <w:t>In your view, do regulatory financial incentives under Part 4 DPP/CPP regulation (RAB</w:t>
            </w:r>
            <w:r>
              <w:rPr>
                <w:b/>
                <w:bCs/>
                <w:lang w:val="en-US"/>
              </w:rPr>
              <w:t>-</w:t>
            </w:r>
            <w:r w:rsidRPr="002D3D3C">
              <w:rPr>
                <w:b/>
                <w:bCs/>
                <w:lang w:val="en-US"/>
              </w:rPr>
              <w:t xml:space="preserve">based building blocks approach with WACC uplift, with opex and capex IRIS) contribute to capex bias (if any) in your business? </w:t>
            </w:r>
          </w:p>
        </w:tc>
      </w:tr>
      <w:tr w:rsidR="000D4D90" w14:paraId="3DC8FFBA" w14:textId="77777777" w:rsidTr="005D31DD">
        <w:tc>
          <w:tcPr>
            <w:tcW w:w="562" w:type="dxa"/>
          </w:tcPr>
          <w:p w14:paraId="0C63CB5C" w14:textId="77777777" w:rsidR="000D4D90" w:rsidRDefault="000D4D90" w:rsidP="005D31DD">
            <w:pPr>
              <w:pStyle w:val="BodyText"/>
              <w:rPr>
                <w:lang w:val="en-US"/>
              </w:rPr>
            </w:pPr>
          </w:p>
        </w:tc>
        <w:tc>
          <w:tcPr>
            <w:tcW w:w="8454" w:type="dxa"/>
          </w:tcPr>
          <w:p w14:paraId="6B7D378D" w14:textId="77777777" w:rsidR="000D4D90" w:rsidRDefault="000D4D90" w:rsidP="005D31DD">
            <w:pPr>
              <w:pStyle w:val="BodyText"/>
              <w:rPr>
                <w:lang w:val="en-US"/>
              </w:rPr>
            </w:pPr>
            <w:r>
              <w:rPr>
                <w:lang w:val="en-US"/>
              </w:rPr>
              <w:t>Answer:</w:t>
            </w:r>
          </w:p>
        </w:tc>
      </w:tr>
      <w:tr w:rsidR="000D4D90" w14:paraId="43FAF412" w14:textId="77777777" w:rsidTr="005D31DD">
        <w:tc>
          <w:tcPr>
            <w:tcW w:w="562" w:type="dxa"/>
          </w:tcPr>
          <w:p w14:paraId="630764CD" w14:textId="77777777" w:rsidR="000D4D90" w:rsidRPr="002D3D3C" w:rsidRDefault="000D4D90" w:rsidP="005D31DD">
            <w:pPr>
              <w:pStyle w:val="BodyText"/>
              <w:rPr>
                <w:b/>
                <w:bCs/>
                <w:lang w:val="en-US"/>
              </w:rPr>
            </w:pPr>
            <w:r w:rsidRPr="002D3D3C">
              <w:rPr>
                <w:b/>
                <w:bCs/>
                <w:lang w:val="en-US"/>
              </w:rPr>
              <w:t>A5.</w:t>
            </w:r>
          </w:p>
        </w:tc>
        <w:tc>
          <w:tcPr>
            <w:tcW w:w="8454" w:type="dxa"/>
          </w:tcPr>
          <w:p w14:paraId="2DB2EB55" w14:textId="77777777" w:rsidR="000D4D90" w:rsidRPr="002D3D3C" w:rsidRDefault="000D4D90" w:rsidP="005D31DD">
            <w:pPr>
              <w:rPr>
                <w:b/>
                <w:bCs/>
                <w:lang w:val="en-US"/>
              </w:rPr>
            </w:pPr>
            <w:r w:rsidRPr="002D3D3C">
              <w:rPr>
                <w:b/>
                <w:bCs/>
                <w:lang w:val="en-US"/>
              </w:rPr>
              <w:t xml:space="preserve">How </w:t>
            </w:r>
            <w:r>
              <w:rPr>
                <w:b/>
                <w:bCs/>
                <w:lang w:val="en-US"/>
              </w:rPr>
              <w:t>important</w:t>
            </w:r>
            <w:r w:rsidRPr="002D3D3C">
              <w:rPr>
                <w:b/>
                <w:bCs/>
                <w:lang w:val="en-US"/>
              </w:rPr>
              <w:t xml:space="preserve"> are regulatory financial considerations to your business when choosing between different solutions? We would welcome specific examples (reflecting information from actual business decisions) that illustrate how regulatory financial considerations </w:t>
            </w:r>
            <w:r>
              <w:rPr>
                <w:b/>
                <w:bCs/>
                <w:lang w:val="en-US"/>
              </w:rPr>
              <w:t>have been considered.</w:t>
            </w:r>
            <w:r w:rsidRPr="002D3D3C">
              <w:rPr>
                <w:b/>
                <w:bCs/>
                <w:lang w:val="en-US"/>
              </w:rPr>
              <w:t xml:space="preserve">  </w:t>
            </w:r>
          </w:p>
        </w:tc>
      </w:tr>
      <w:tr w:rsidR="000D4D90" w14:paraId="1824E3BC" w14:textId="77777777" w:rsidTr="005D31DD">
        <w:tc>
          <w:tcPr>
            <w:tcW w:w="562" w:type="dxa"/>
          </w:tcPr>
          <w:p w14:paraId="0D72285D" w14:textId="77777777" w:rsidR="000D4D90" w:rsidRDefault="000D4D90" w:rsidP="005D31DD">
            <w:pPr>
              <w:pStyle w:val="BodyText"/>
              <w:rPr>
                <w:lang w:val="en-US"/>
              </w:rPr>
            </w:pPr>
          </w:p>
        </w:tc>
        <w:tc>
          <w:tcPr>
            <w:tcW w:w="8454" w:type="dxa"/>
          </w:tcPr>
          <w:p w14:paraId="6F8338BF" w14:textId="77777777" w:rsidR="000D4D90" w:rsidRDefault="000D4D90" w:rsidP="005D31DD">
            <w:pPr>
              <w:pStyle w:val="BodyText"/>
              <w:rPr>
                <w:lang w:val="en-US"/>
              </w:rPr>
            </w:pPr>
            <w:r>
              <w:rPr>
                <w:lang w:val="en-US"/>
              </w:rPr>
              <w:t>Answer:</w:t>
            </w:r>
          </w:p>
        </w:tc>
      </w:tr>
      <w:tr w:rsidR="000D4D90" w14:paraId="711D0304" w14:textId="77777777" w:rsidTr="005D31DD">
        <w:tc>
          <w:tcPr>
            <w:tcW w:w="562" w:type="dxa"/>
          </w:tcPr>
          <w:p w14:paraId="5A416FF2" w14:textId="77777777" w:rsidR="000D4D90" w:rsidRPr="002D3D3C" w:rsidRDefault="000D4D90" w:rsidP="005D31DD">
            <w:pPr>
              <w:pStyle w:val="BodyText"/>
              <w:rPr>
                <w:b/>
                <w:bCs/>
                <w:lang w:val="en-US"/>
              </w:rPr>
            </w:pPr>
            <w:r w:rsidRPr="002D3D3C">
              <w:rPr>
                <w:b/>
                <w:bCs/>
                <w:lang w:val="en-US"/>
              </w:rPr>
              <w:t xml:space="preserve">A6.  </w:t>
            </w:r>
          </w:p>
        </w:tc>
        <w:tc>
          <w:tcPr>
            <w:tcW w:w="8454" w:type="dxa"/>
          </w:tcPr>
          <w:p w14:paraId="1B709027" w14:textId="2DA009C2" w:rsidR="000D4D90" w:rsidRDefault="000D4D90" w:rsidP="005D31DD">
            <w:pPr>
              <w:rPr>
                <w:b/>
                <w:bCs/>
                <w:lang w:val="en-US"/>
              </w:rPr>
            </w:pPr>
            <w:r w:rsidRPr="002D3D3C">
              <w:rPr>
                <w:b/>
                <w:bCs/>
                <w:lang w:val="en-US"/>
              </w:rPr>
              <w:t xml:space="preserve">To help us understand the overall size of </w:t>
            </w:r>
            <w:r>
              <w:rPr>
                <w:b/>
                <w:bCs/>
                <w:lang w:val="en-US"/>
              </w:rPr>
              <w:t>the</w:t>
            </w:r>
            <w:r w:rsidRPr="002D3D3C">
              <w:rPr>
                <w:b/>
                <w:bCs/>
                <w:lang w:val="en-US"/>
              </w:rPr>
              <w:t xml:space="preserve"> problem </w:t>
            </w:r>
            <w:r>
              <w:rPr>
                <w:b/>
                <w:bCs/>
                <w:lang w:val="en-US"/>
              </w:rPr>
              <w:t>of</w:t>
            </w:r>
            <w:r w:rsidRPr="002D3D3C">
              <w:rPr>
                <w:b/>
                <w:bCs/>
                <w:lang w:val="en-US"/>
              </w:rPr>
              <w:t xml:space="preserve"> capex bias</w:t>
            </w:r>
            <w:r>
              <w:rPr>
                <w:b/>
                <w:bCs/>
                <w:lang w:val="en-US"/>
              </w:rPr>
              <w:t>,</w:t>
            </w:r>
            <w:r w:rsidRPr="002D3D3C">
              <w:rPr>
                <w:b/>
                <w:bCs/>
                <w:lang w:val="en-US"/>
              </w:rPr>
              <w:t xml:space="preserve"> we would </w:t>
            </w:r>
            <w:r>
              <w:rPr>
                <w:b/>
                <w:bCs/>
                <w:lang w:val="en-US"/>
              </w:rPr>
              <w:t>appreciate</w:t>
            </w:r>
            <w:r w:rsidRPr="002D3D3C">
              <w:rPr>
                <w:b/>
                <w:bCs/>
                <w:lang w:val="en-US"/>
              </w:rPr>
              <w:t xml:space="preserve"> your assessment of </w:t>
            </w:r>
            <w:r w:rsidRPr="00D33ABF">
              <w:rPr>
                <w:b/>
                <w:i/>
                <w:lang w:val="en-US"/>
              </w:rPr>
              <w:t>current</w:t>
            </w:r>
            <w:r w:rsidRPr="002D3D3C">
              <w:rPr>
                <w:b/>
                <w:bCs/>
                <w:lang w:val="en-US"/>
              </w:rPr>
              <w:t xml:space="preserve"> opportunities </w:t>
            </w:r>
            <w:r w:rsidR="00A90E91">
              <w:rPr>
                <w:b/>
                <w:bCs/>
                <w:lang w:val="en-US"/>
              </w:rPr>
              <w:t>where o</w:t>
            </w:r>
            <w:r w:rsidRPr="002D3D3C">
              <w:rPr>
                <w:b/>
                <w:bCs/>
                <w:lang w:val="en-US"/>
              </w:rPr>
              <w:t xml:space="preserve">pex </w:t>
            </w:r>
            <w:r w:rsidR="00A90E91">
              <w:rPr>
                <w:b/>
                <w:bCs/>
                <w:lang w:val="en-US"/>
              </w:rPr>
              <w:t xml:space="preserve">solutions would be more efficient </w:t>
            </w:r>
            <w:r>
              <w:rPr>
                <w:b/>
                <w:bCs/>
                <w:lang w:val="en-US"/>
              </w:rPr>
              <w:t>– for example,</w:t>
            </w:r>
            <w:r w:rsidRPr="002D3D3C">
              <w:rPr>
                <w:b/>
                <w:bCs/>
                <w:lang w:val="en-US"/>
              </w:rPr>
              <w:t xml:space="preserve"> </w:t>
            </w:r>
            <w:r>
              <w:rPr>
                <w:b/>
                <w:bCs/>
                <w:lang w:val="en-US"/>
              </w:rPr>
              <w:t>from</w:t>
            </w:r>
            <w:r w:rsidRPr="002D3D3C">
              <w:rPr>
                <w:b/>
                <w:bCs/>
                <w:lang w:val="en-US"/>
              </w:rPr>
              <w:t xml:space="preserve"> your most recent asset management plan</w:t>
            </w:r>
            <w:r>
              <w:rPr>
                <w:b/>
                <w:bCs/>
                <w:lang w:val="en-US"/>
              </w:rPr>
              <w:t>.  We are also interested in</w:t>
            </w:r>
            <w:r w:rsidRPr="002D3D3C">
              <w:rPr>
                <w:b/>
                <w:bCs/>
                <w:lang w:val="en-US"/>
              </w:rPr>
              <w:t xml:space="preserve"> your expectation o</w:t>
            </w:r>
            <w:r>
              <w:rPr>
                <w:b/>
                <w:bCs/>
                <w:lang w:val="en-US"/>
              </w:rPr>
              <w:t>f</w:t>
            </w:r>
            <w:r w:rsidRPr="002D3D3C">
              <w:rPr>
                <w:b/>
                <w:bCs/>
                <w:lang w:val="en-US"/>
              </w:rPr>
              <w:t xml:space="preserve"> how (quantitatively or directionally) the opportunities might change over the </w:t>
            </w:r>
            <w:r w:rsidRPr="00D33ABF">
              <w:rPr>
                <w:b/>
                <w:i/>
                <w:lang w:val="en-US"/>
              </w:rPr>
              <w:t>next decade</w:t>
            </w:r>
            <w:r>
              <w:rPr>
                <w:b/>
                <w:bCs/>
                <w:lang w:val="en-US"/>
              </w:rPr>
              <w:t>, for example, due to emerging technologies.</w:t>
            </w:r>
            <w:r w:rsidRPr="002D3D3C">
              <w:rPr>
                <w:b/>
                <w:bCs/>
                <w:lang w:val="en-US"/>
              </w:rPr>
              <w:t xml:space="preserve"> </w:t>
            </w:r>
          </w:p>
          <w:p w14:paraId="4856D799" w14:textId="77777777" w:rsidR="000D4D90" w:rsidRDefault="000D4D90" w:rsidP="005D31DD">
            <w:pPr>
              <w:rPr>
                <w:b/>
                <w:bCs/>
                <w:lang w:val="en-US"/>
              </w:rPr>
            </w:pPr>
          </w:p>
          <w:p w14:paraId="4699E199" w14:textId="77777777" w:rsidR="000D4D90" w:rsidRPr="002D3D3C" w:rsidRDefault="000D4D90" w:rsidP="005D31DD">
            <w:pPr>
              <w:rPr>
                <w:b/>
                <w:bCs/>
                <w:lang w:val="en-US"/>
              </w:rPr>
            </w:pPr>
            <w:r>
              <w:rPr>
                <w:b/>
                <w:bCs/>
                <w:lang w:val="en-US"/>
              </w:rPr>
              <w:t>Could you please</w:t>
            </w:r>
            <w:r w:rsidRPr="002D3D3C">
              <w:rPr>
                <w:b/>
                <w:bCs/>
                <w:lang w:val="en-US"/>
              </w:rPr>
              <w:t xml:space="preserve"> </w:t>
            </w:r>
            <w:r>
              <w:rPr>
                <w:b/>
                <w:bCs/>
                <w:lang w:val="en-US"/>
              </w:rPr>
              <w:t>advise or estimate:</w:t>
            </w:r>
          </w:p>
          <w:p w14:paraId="18707C55" w14:textId="08932A22" w:rsidR="000D4D90" w:rsidRPr="00481B7A" w:rsidRDefault="000D4D90" w:rsidP="000D4D90">
            <w:pPr>
              <w:pStyle w:val="ListParagraph"/>
              <w:numPr>
                <w:ilvl w:val="0"/>
                <w:numId w:val="47"/>
              </w:numPr>
              <w:rPr>
                <w:b/>
                <w:bCs/>
                <w:lang w:val="en-US"/>
              </w:rPr>
            </w:pPr>
            <w:r w:rsidRPr="00481B7A">
              <w:rPr>
                <w:b/>
                <w:bCs/>
                <w:lang w:val="en-US"/>
              </w:rPr>
              <w:lastRenderedPageBreak/>
              <w:t xml:space="preserve">the aggregate size of the pool of expenditure (capex and opex) </w:t>
            </w:r>
            <w:r>
              <w:rPr>
                <w:b/>
                <w:bCs/>
                <w:lang w:val="en-US"/>
              </w:rPr>
              <w:t>where</w:t>
            </w:r>
            <w:r w:rsidR="006164B8">
              <w:rPr>
                <w:b/>
                <w:bCs/>
                <w:lang w:val="en-US"/>
              </w:rPr>
              <w:t xml:space="preserve"> </w:t>
            </w:r>
            <w:r w:rsidR="00DF0961">
              <w:rPr>
                <w:b/>
                <w:bCs/>
                <w:lang w:val="en-US"/>
              </w:rPr>
              <w:t xml:space="preserve">interchangeable </w:t>
            </w:r>
            <w:r w:rsidR="006164B8">
              <w:rPr>
                <w:b/>
                <w:bCs/>
                <w:lang w:val="en-US"/>
              </w:rPr>
              <w:t>c</w:t>
            </w:r>
            <w:r>
              <w:rPr>
                <w:b/>
                <w:bCs/>
                <w:lang w:val="en-US"/>
              </w:rPr>
              <w:t>apex and opex solutions are currently available</w:t>
            </w:r>
          </w:p>
          <w:p w14:paraId="2E5E82E0" w14:textId="77777777" w:rsidR="000D4D90" w:rsidRDefault="000D4D90" w:rsidP="000D4D90">
            <w:pPr>
              <w:pStyle w:val="ListParagraph"/>
              <w:numPr>
                <w:ilvl w:val="0"/>
                <w:numId w:val="47"/>
              </w:numPr>
              <w:rPr>
                <w:b/>
                <w:bCs/>
                <w:lang w:val="en-US"/>
              </w:rPr>
            </w:pPr>
            <w:r>
              <w:rPr>
                <w:b/>
                <w:bCs/>
                <w:lang w:val="en-US"/>
              </w:rPr>
              <w:t>o</w:t>
            </w:r>
            <w:r w:rsidRPr="00481B7A">
              <w:rPr>
                <w:b/>
                <w:bCs/>
                <w:lang w:val="en-US"/>
              </w:rPr>
              <w:t xml:space="preserve">f that overall pool of expenditure, </w:t>
            </w:r>
            <w:r>
              <w:rPr>
                <w:b/>
                <w:bCs/>
                <w:lang w:val="en-US"/>
              </w:rPr>
              <w:t xml:space="preserve">the total value of </w:t>
            </w:r>
            <w:r w:rsidRPr="00481B7A">
              <w:rPr>
                <w:b/>
                <w:bCs/>
                <w:lang w:val="en-US"/>
              </w:rPr>
              <w:t xml:space="preserve">opex </w:t>
            </w:r>
            <w:r>
              <w:rPr>
                <w:b/>
                <w:bCs/>
                <w:lang w:val="en-US"/>
              </w:rPr>
              <w:t>solutions</w:t>
            </w:r>
            <w:r w:rsidRPr="00481B7A" w:rsidDel="001D0B78">
              <w:rPr>
                <w:b/>
                <w:bCs/>
                <w:lang w:val="en-US"/>
              </w:rPr>
              <w:t xml:space="preserve"> </w:t>
            </w:r>
            <w:r>
              <w:rPr>
                <w:b/>
                <w:bCs/>
                <w:lang w:val="en-US"/>
              </w:rPr>
              <w:t>chosen</w:t>
            </w:r>
            <w:r w:rsidRPr="00481B7A">
              <w:rPr>
                <w:b/>
                <w:bCs/>
                <w:lang w:val="en-US"/>
              </w:rPr>
              <w:t>.</w:t>
            </w:r>
          </w:p>
          <w:p w14:paraId="7ACF957A" w14:textId="77777777" w:rsidR="000D4D90" w:rsidRDefault="000D4D90" w:rsidP="005D31DD">
            <w:pPr>
              <w:pStyle w:val="ListParagraph"/>
              <w:rPr>
                <w:b/>
                <w:bCs/>
                <w:lang w:val="en-US"/>
              </w:rPr>
            </w:pPr>
          </w:p>
          <w:p w14:paraId="08A65BD0" w14:textId="77777777" w:rsidR="000D4D90" w:rsidRPr="00544111" w:rsidRDefault="000D4D90" w:rsidP="005D31DD">
            <w:pPr>
              <w:rPr>
                <w:b/>
                <w:lang w:val="en-US"/>
              </w:rPr>
            </w:pPr>
            <w:r>
              <w:rPr>
                <w:b/>
                <w:bCs/>
                <w:lang w:val="en-US"/>
              </w:rPr>
              <w:t>If you expect this to change in the future, please estimate the future values.</w:t>
            </w:r>
          </w:p>
        </w:tc>
      </w:tr>
      <w:tr w:rsidR="000D4D90" w14:paraId="6B712A4F" w14:textId="77777777" w:rsidTr="005D31DD">
        <w:tc>
          <w:tcPr>
            <w:tcW w:w="562" w:type="dxa"/>
          </w:tcPr>
          <w:p w14:paraId="0109A319" w14:textId="77777777" w:rsidR="000D4D90" w:rsidRDefault="000D4D90" w:rsidP="005D31DD">
            <w:pPr>
              <w:pStyle w:val="BodyText"/>
              <w:rPr>
                <w:rFonts w:asciiTheme="minorHAnsi" w:hAnsiTheme="minorHAnsi" w:cstheme="minorHAnsi"/>
                <w:b/>
                <w:szCs w:val="24"/>
              </w:rPr>
            </w:pPr>
          </w:p>
        </w:tc>
        <w:tc>
          <w:tcPr>
            <w:tcW w:w="8454" w:type="dxa"/>
          </w:tcPr>
          <w:p w14:paraId="69C2A642" w14:textId="77777777" w:rsidR="000D4D90" w:rsidRPr="002D3D3C" w:rsidRDefault="000D4D90" w:rsidP="005D31DD">
            <w:pPr>
              <w:rPr>
                <w:rFonts w:asciiTheme="minorHAnsi" w:hAnsiTheme="minorHAnsi" w:cstheme="minorHAnsi"/>
                <w:bCs/>
                <w:szCs w:val="24"/>
              </w:rPr>
            </w:pPr>
            <w:r>
              <w:rPr>
                <w:rFonts w:asciiTheme="minorHAnsi" w:hAnsiTheme="minorHAnsi" w:cstheme="minorHAnsi"/>
                <w:bCs/>
                <w:szCs w:val="24"/>
              </w:rPr>
              <w:t>Answer:</w:t>
            </w:r>
          </w:p>
        </w:tc>
      </w:tr>
    </w:tbl>
    <w:p w14:paraId="6F71196C" w14:textId="77777777" w:rsidR="000D4D90" w:rsidRDefault="000D4D90" w:rsidP="000D4D90">
      <w:pPr>
        <w:pStyle w:val="BodyText"/>
        <w:rPr>
          <w:lang w:val="en-US"/>
        </w:rPr>
      </w:pPr>
    </w:p>
    <w:p w14:paraId="704F4A4B" w14:textId="0D44FBD3" w:rsidR="000D4D90" w:rsidRDefault="000D4D90" w:rsidP="00364F8C">
      <w:pPr>
        <w:pStyle w:val="Heading1"/>
        <w:numPr>
          <w:ilvl w:val="0"/>
          <w:numId w:val="48"/>
        </w:numPr>
        <w:tabs>
          <w:tab w:val="num" w:pos="360"/>
        </w:tabs>
        <w:ind w:left="0" w:firstLine="0"/>
      </w:pPr>
      <w:r>
        <w:t>Questions relating to a p</w:t>
      </w:r>
      <w:r w:rsidRPr="00A87A5E">
        <w:t>otential solution</w:t>
      </w:r>
      <w:r>
        <w:t xml:space="preserve"> to capex bias</w:t>
      </w:r>
      <w:r w:rsidRPr="00A87A5E">
        <w:t>: totex</w:t>
      </w:r>
      <w:r>
        <w:t xml:space="preserve"> approach</w:t>
      </w:r>
    </w:p>
    <w:p w14:paraId="2D6D8E0A" w14:textId="77777777" w:rsidR="00364F8C" w:rsidRPr="00364F8C" w:rsidRDefault="00364F8C" w:rsidP="00364F8C">
      <w:pPr>
        <w:pStyle w:val="BodyText"/>
      </w:pP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562"/>
        <w:gridCol w:w="8454"/>
      </w:tblGrid>
      <w:tr w:rsidR="000D4D90" w14:paraId="47A89900" w14:textId="77777777" w:rsidTr="6D0A7D08">
        <w:tc>
          <w:tcPr>
            <w:tcW w:w="562" w:type="dxa"/>
          </w:tcPr>
          <w:p w14:paraId="2CE2152F" w14:textId="77777777" w:rsidR="000D4D90" w:rsidRDefault="000D4D90" w:rsidP="005D31DD">
            <w:pPr>
              <w:pStyle w:val="BodyText"/>
              <w:rPr>
                <w:lang w:val="en-US"/>
              </w:rPr>
            </w:pPr>
            <w:r>
              <w:rPr>
                <w:b/>
              </w:rPr>
              <w:t>B</w:t>
            </w:r>
            <w:r w:rsidRPr="007D51C0">
              <w:rPr>
                <w:b/>
              </w:rPr>
              <w:t>1.</w:t>
            </w:r>
          </w:p>
        </w:tc>
        <w:tc>
          <w:tcPr>
            <w:tcW w:w="8454" w:type="dxa"/>
          </w:tcPr>
          <w:p w14:paraId="36BB39E3" w14:textId="20CFFF60" w:rsidR="000D4D90" w:rsidRPr="009367E2" w:rsidRDefault="000D4D90" w:rsidP="005D31DD">
            <w:pPr>
              <w:rPr>
                <w:b/>
                <w:bCs/>
              </w:rPr>
            </w:pPr>
            <w:r w:rsidRPr="6D0A7D08">
              <w:rPr>
                <w:b/>
                <w:bCs/>
                <w:lang w:val="en-US"/>
              </w:rPr>
              <w:t xml:space="preserve">Should we consider introducing a totex approach for EDBs as a solution to capex bias and/or simplification of financial incentive mechanisms? Should we introduce a totex approach for other regulated services? Please provide your reasons.  </w:t>
            </w:r>
          </w:p>
        </w:tc>
      </w:tr>
      <w:tr w:rsidR="000D4D90" w14:paraId="7B7EDB88" w14:textId="77777777" w:rsidTr="6D0A7D08">
        <w:tc>
          <w:tcPr>
            <w:tcW w:w="562" w:type="dxa"/>
          </w:tcPr>
          <w:p w14:paraId="2A025F2E" w14:textId="77777777" w:rsidR="000D4D90" w:rsidRDefault="000D4D90" w:rsidP="005D31DD">
            <w:pPr>
              <w:pStyle w:val="BodyText"/>
              <w:rPr>
                <w:lang w:val="en-US"/>
              </w:rPr>
            </w:pPr>
          </w:p>
        </w:tc>
        <w:tc>
          <w:tcPr>
            <w:tcW w:w="8454" w:type="dxa"/>
          </w:tcPr>
          <w:p w14:paraId="380A3ACF" w14:textId="77777777" w:rsidR="000D4D90" w:rsidRPr="00FA1775" w:rsidRDefault="000D4D90" w:rsidP="005D31DD">
            <w:pPr>
              <w:rPr>
                <w:rFonts w:asciiTheme="minorHAnsi" w:hAnsiTheme="minorHAnsi" w:cstheme="minorHAnsi"/>
                <w:bCs/>
                <w:szCs w:val="24"/>
              </w:rPr>
            </w:pPr>
            <w:r w:rsidRPr="00FA1775">
              <w:rPr>
                <w:rFonts w:asciiTheme="minorHAnsi" w:hAnsiTheme="minorHAnsi" w:cstheme="minorHAnsi"/>
                <w:bCs/>
                <w:szCs w:val="24"/>
              </w:rPr>
              <w:t>Answer:</w:t>
            </w:r>
          </w:p>
        </w:tc>
      </w:tr>
      <w:tr w:rsidR="000D4D90" w14:paraId="5CAAB679" w14:textId="77777777" w:rsidTr="6D0A7D08">
        <w:tc>
          <w:tcPr>
            <w:tcW w:w="562" w:type="dxa"/>
          </w:tcPr>
          <w:p w14:paraId="4CB8E36C" w14:textId="77777777" w:rsidR="000D4D90" w:rsidRDefault="000D4D90" w:rsidP="005D31DD">
            <w:pPr>
              <w:pStyle w:val="BodyText"/>
              <w:rPr>
                <w:rFonts w:asciiTheme="minorHAnsi" w:hAnsiTheme="minorHAnsi" w:cstheme="minorHAnsi"/>
                <w:b/>
                <w:szCs w:val="24"/>
              </w:rPr>
            </w:pPr>
            <w:r>
              <w:rPr>
                <w:rFonts w:asciiTheme="minorHAnsi" w:hAnsiTheme="minorHAnsi" w:cstheme="minorHAnsi"/>
                <w:b/>
                <w:szCs w:val="24"/>
              </w:rPr>
              <w:t>B2.</w:t>
            </w:r>
          </w:p>
        </w:tc>
        <w:tc>
          <w:tcPr>
            <w:tcW w:w="8454" w:type="dxa"/>
          </w:tcPr>
          <w:p w14:paraId="6BF9792D" w14:textId="77777777" w:rsidR="000D4D90" w:rsidRPr="009367E2" w:rsidRDefault="000D4D90" w:rsidP="005D31DD">
            <w:pPr>
              <w:rPr>
                <w:b/>
                <w:bCs/>
              </w:rPr>
            </w:pPr>
            <w:r w:rsidRPr="008A54EA">
              <w:rPr>
                <w:b/>
                <w:bCs/>
                <w:lang w:val="en-US"/>
              </w:rPr>
              <w:t xml:space="preserve">If you consider </w:t>
            </w:r>
            <w:r>
              <w:rPr>
                <w:b/>
                <w:bCs/>
                <w:lang w:val="en-US"/>
              </w:rPr>
              <w:t>we</w:t>
            </w:r>
            <w:r w:rsidRPr="008A54EA">
              <w:rPr>
                <w:b/>
                <w:bCs/>
                <w:lang w:val="en-US"/>
              </w:rPr>
              <w:t xml:space="preserve"> should </w:t>
            </w:r>
            <w:r>
              <w:rPr>
                <w:b/>
                <w:bCs/>
                <w:lang w:val="en-US"/>
              </w:rPr>
              <w:t xml:space="preserve">adopt </w:t>
            </w:r>
            <w:r w:rsidRPr="008A54EA">
              <w:rPr>
                <w:b/>
                <w:bCs/>
                <w:lang w:val="en-US"/>
              </w:rPr>
              <w:t xml:space="preserve">a totex approach, </w:t>
            </w:r>
            <w:r>
              <w:rPr>
                <w:b/>
                <w:bCs/>
                <w:lang w:val="en-US"/>
              </w:rPr>
              <w:t xml:space="preserve">do you agree with </w:t>
            </w:r>
            <w:r w:rsidRPr="008A54EA">
              <w:rPr>
                <w:b/>
                <w:bCs/>
                <w:lang w:val="en-US"/>
              </w:rPr>
              <w:t>the approach described in the staff working paper</w:t>
            </w:r>
            <w:r>
              <w:rPr>
                <w:b/>
                <w:bCs/>
                <w:lang w:val="en-US"/>
              </w:rPr>
              <w:t xml:space="preserve">? If not, </w:t>
            </w:r>
            <w:r w:rsidRPr="008A54EA">
              <w:rPr>
                <w:b/>
                <w:bCs/>
                <w:lang w:val="en-US"/>
              </w:rPr>
              <w:t xml:space="preserve">please </w:t>
            </w:r>
            <w:r>
              <w:rPr>
                <w:b/>
                <w:bCs/>
                <w:lang w:val="en-US"/>
              </w:rPr>
              <w:t>explain why not and what you would change.</w:t>
            </w:r>
          </w:p>
        </w:tc>
      </w:tr>
      <w:tr w:rsidR="000D4D90" w14:paraId="782CF10A" w14:textId="77777777" w:rsidTr="6D0A7D08">
        <w:tc>
          <w:tcPr>
            <w:tcW w:w="562" w:type="dxa"/>
          </w:tcPr>
          <w:p w14:paraId="1C271501" w14:textId="77777777" w:rsidR="000D4D90" w:rsidRDefault="000D4D90" w:rsidP="005D31DD">
            <w:pPr>
              <w:pStyle w:val="BodyText"/>
              <w:rPr>
                <w:lang w:val="en-US"/>
              </w:rPr>
            </w:pPr>
          </w:p>
        </w:tc>
        <w:tc>
          <w:tcPr>
            <w:tcW w:w="8454" w:type="dxa"/>
          </w:tcPr>
          <w:p w14:paraId="225D810F" w14:textId="77777777" w:rsidR="000D4D90" w:rsidRDefault="000D4D90" w:rsidP="005D31DD">
            <w:pPr>
              <w:pStyle w:val="BodyText"/>
              <w:rPr>
                <w:lang w:val="en-US"/>
              </w:rPr>
            </w:pPr>
            <w:r>
              <w:rPr>
                <w:lang w:val="en-US"/>
              </w:rPr>
              <w:t>Answer:</w:t>
            </w:r>
          </w:p>
        </w:tc>
      </w:tr>
      <w:tr w:rsidR="000D4D90" w14:paraId="26AB64C1" w14:textId="77777777" w:rsidTr="6D0A7D08">
        <w:tc>
          <w:tcPr>
            <w:tcW w:w="562" w:type="dxa"/>
          </w:tcPr>
          <w:p w14:paraId="6F280F9B" w14:textId="77777777" w:rsidR="000D4D90" w:rsidRDefault="000D4D90" w:rsidP="005D31DD">
            <w:pPr>
              <w:pStyle w:val="BodyText"/>
              <w:rPr>
                <w:rFonts w:asciiTheme="minorHAnsi" w:hAnsiTheme="minorHAnsi" w:cstheme="minorHAnsi"/>
                <w:b/>
                <w:szCs w:val="24"/>
              </w:rPr>
            </w:pPr>
            <w:r>
              <w:rPr>
                <w:rFonts w:asciiTheme="minorHAnsi" w:hAnsiTheme="minorHAnsi" w:cstheme="minorHAnsi"/>
                <w:b/>
                <w:szCs w:val="24"/>
              </w:rPr>
              <w:t xml:space="preserve">B3. </w:t>
            </w:r>
          </w:p>
        </w:tc>
        <w:tc>
          <w:tcPr>
            <w:tcW w:w="8454" w:type="dxa"/>
          </w:tcPr>
          <w:p w14:paraId="6EEB9AA0" w14:textId="77777777" w:rsidR="000D4D90" w:rsidRPr="00A70634" w:rsidRDefault="000D4D90" w:rsidP="005D31DD">
            <w:pPr>
              <w:rPr>
                <w:b/>
                <w:bCs/>
                <w:lang w:val="en-US"/>
              </w:rPr>
            </w:pPr>
            <w:r w:rsidRPr="00A70634">
              <w:rPr>
                <w:b/>
                <w:bCs/>
                <w:lang w:val="en-US"/>
              </w:rPr>
              <w:t xml:space="preserve">If you consider </w:t>
            </w:r>
            <w:r>
              <w:rPr>
                <w:b/>
                <w:bCs/>
                <w:lang w:val="en-US"/>
              </w:rPr>
              <w:t>we</w:t>
            </w:r>
            <w:r w:rsidRPr="00A70634">
              <w:rPr>
                <w:b/>
                <w:bCs/>
                <w:lang w:val="en-US"/>
              </w:rPr>
              <w:t xml:space="preserve"> should </w:t>
            </w:r>
            <w:r>
              <w:rPr>
                <w:b/>
                <w:bCs/>
                <w:lang w:val="en-US"/>
              </w:rPr>
              <w:t xml:space="preserve">adopt </w:t>
            </w:r>
            <w:r w:rsidRPr="00A70634">
              <w:rPr>
                <w:b/>
                <w:bCs/>
                <w:lang w:val="en-US"/>
              </w:rPr>
              <w:t>a totex approach, please provide your views on:</w:t>
            </w:r>
          </w:p>
          <w:p w14:paraId="5F97ECED" w14:textId="77777777" w:rsidR="000D4D90" w:rsidRPr="00A70634" w:rsidRDefault="000D4D90" w:rsidP="000D4D90">
            <w:pPr>
              <w:pStyle w:val="ListParagraph"/>
              <w:numPr>
                <w:ilvl w:val="0"/>
                <w:numId w:val="46"/>
              </w:numPr>
              <w:rPr>
                <w:b/>
                <w:bCs/>
              </w:rPr>
            </w:pPr>
            <w:r w:rsidRPr="00A70634">
              <w:rPr>
                <w:b/>
                <w:bCs/>
                <w:lang w:val="en-US"/>
              </w:rPr>
              <w:t>expected benefits for your business (relative to the current RAB</w:t>
            </w:r>
            <w:r>
              <w:rPr>
                <w:b/>
                <w:bCs/>
                <w:lang w:val="en-US"/>
              </w:rPr>
              <w:t>-</w:t>
            </w:r>
            <w:r w:rsidRPr="00A70634">
              <w:rPr>
                <w:b/>
                <w:bCs/>
                <w:lang w:val="en-US"/>
              </w:rPr>
              <w:t>based building blocks approach with WACC uplift, opex and capex IRIS)</w:t>
            </w:r>
          </w:p>
          <w:p w14:paraId="6269233A" w14:textId="77777777" w:rsidR="000D4D90" w:rsidRPr="00544111" w:rsidRDefault="000D4D90" w:rsidP="000D4D90">
            <w:pPr>
              <w:pStyle w:val="ListParagraph"/>
              <w:numPr>
                <w:ilvl w:val="0"/>
                <w:numId w:val="46"/>
              </w:numPr>
              <w:rPr>
                <w:b/>
              </w:rPr>
            </w:pPr>
            <w:r w:rsidRPr="00A70634">
              <w:rPr>
                <w:b/>
                <w:bCs/>
                <w:lang w:val="en-US"/>
              </w:rPr>
              <w:t xml:space="preserve">expected implementation costs </w:t>
            </w:r>
            <w:r>
              <w:rPr>
                <w:b/>
                <w:bCs/>
                <w:lang w:val="en-US"/>
              </w:rPr>
              <w:t xml:space="preserve">and timelines </w:t>
            </w:r>
            <w:r w:rsidRPr="00A70634">
              <w:rPr>
                <w:b/>
                <w:bCs/>
                <w:lang w:val="en-US"/>
              </w:rPr>
              <w:t>for your business</w:t>
            </w:r>
          </w:p>
          <w:p w14:paraId="76794DD2" w14:textId="77777777" w:rsidR="000D4D90" w:rsidRPr="009367E2" w:rsidRDefault="000D4D90" w:rsidP="000D4D90">
            <w:pPr>
              <w:pStyle w:val="ListParagraph"/>
              <w:numPr>
                <w:ilvl w:val="0"/>
                <w:numId w:val="46"/>
              </w:numPr>
              <w:rPr>
                <w:b/>
                <w:bCs/>
              </w:rPr>
            </w:pPr>
            <w:r w:rsidRPr="00A70634">
              <w:rPr>
                <w:b/>
                <w:bCs/>
                <w:lang w:val="en-US"/>
              </w:rPr>
              <w:t xml:space="preserve">any other considerations </w:t>
            </w:r>
          </w:p>
        </w:tc>
      </w:tr>
      <w:tr w:rsidR="000D4D90" w14:paraId="38A40A7B" w14:textId="77777777" w:rsidTr="6D0A7D08">
        <w:tc>
          <w:tcPr>
            <w:tcW w:w="562" w:type="dxa"/>
          </w:tcPr>
          <w:p w14:paraId="18451682" w14:textId="77777777" w:rsidR="000D4D90" w:rsidRPr="00A70634" w:rsidRDefault="000D4D90" w:rsidP="005D31DD">
            <w:pPr>
              <w:pStyle w:val="BodyText"/>
              <w:rPr>
                <w:rFonts w:asciiTheme="minorHAnsi" w:hAnsiTheme="minorHAnsi" w:cstheme="minorHAnsi"/>
                <w:bCs/>
                <w:szCs w:val="24"/>
              </w:rPr>
            </w:pPr>
          </w:p>
        </w:tc>
        <w:tc>
          <w:tcPr>
            <w:tcW w:w="8454" w:type="dxa"/>
          </w:tcPr>
          <w:p w14:paraId="2D7D3D43" w14:textId="77777777" w:rsidR="000D4D90" w:rsidRPr="00A70634" w:rsidRDefault="000D4D90" w:rsidP="005D31DD">
            <w:pPr>
              <w:rPr>
                <w:rFonts w:asciiTheme="minorHAnsi" w:hAnsiTheme="minorHAnsi" w:cstheme="minorHAnsi"/>
                <w:bCs/>
                <w:szCs w:val="24"/>
              </w:rPr>
            </w:pPr>
            <w:r w:rsidRPr="00A70634">
              <w:rPr>
                <w:rFonts w:asciiTheme="minorHAnsi" w:hAnsiTheme="minorHAnsi" w:cstheme="minorHAnsi"/>
                <w:bCs/>
                <w:szCs w:val="24"/>
              </w:rPr>
              <w:t>Answer:</w:t>
            </w:r>
          </w:p>
        </w:tc>
      </w:tr>
    </w:tbl>
    <w:p w14:paraId="0832F40B" w14:textId="77777777" w:rsidR="000D4D90" w:rsidRDefault="000D4D90" w:rsidP="000D4D90">
      <w:pPr>
        <w:rPr>
          <w:rFonts w:asciiTheme="minorHAnsi" w:hAnsiTheme="minorHAnsi" w:cstheme="minorHAnsi"/>
          <w:b/>
          <w:szCs w:val="24"/>
        </w:rPr>
      </w:pPr>
    </w:p>
    <w:p w14:paraId="29DC2633" w14:textId="77777777" w:rsidR="000D4D90" w:rsidRDefault="000D4D90" w:rsidP="000D4D90">
      <w:pPr>
        <w:pStyle w:val="Heading1"/>
      </w:pPr>
    </w:p>
    <w:p w14:paraId="3BCC87F6" w14:textId="1073A8E0" w:rsidR="000D4D90" w:rsidRDefault="000D4D90" w:rsidP="00364F8C">
      <w:pPr>
        <w:pStyle w:val="Heading1"/>
        <w:numPr>
          <w:ilvl w:val="0"/>
          <w:numId w:val="48"/>
        </w:numPr>
        <w:tabs>
          <w:tab w:val="num" w:pos="360"/>
        </w:tabs>
        <w:ind w:left="0" w:firstLine="0"/>
        <w:rPr>
          <w:bCs/>
        </w:rPr>
      </w:pPr>
      <w:r>
        <w:rPr>
          <w:bCs/>
        </w:rPr>
        <w:t>Questions relating to current expenditure incentive mechanisms</w:t>
      </w:r>
      <w:r w:rsidR="009E3521">
        <w:rPr>
          <w:rStyle w:val="FootnoteReference"/>
          <w:bCs/>
        </w:rPr>
        <w:footnoteReference w:id="3"/>
      </w:r>
    </w:p>
    <w:p w14:paraId="7FFF0C73" w14:textId="77777777" w:rsidR="00364F8C" w:rsidRPr="00364F8C" w:rsidRDefault="00364F8C" w:rsidP="00364F8C">
      <w:pPr>
        <w:pStyle w:val="BodyText"/>
      </w:pP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562"/>
        <w:gridCol w:w="8454"/>
      </w:tblGrid>
      <w:tr w:rsidR="000D4D90" w14:paraId="0ED0616B" w14:textId="77777777" w:rsidTr="005D31DD">
        <w:tc>
          <w:tcPr>
            <w:tcW w:w="562" w:type="dxa"/>
          </w:tcPr>
          <w:p w14:paraId="3088AC54" w14:textId="77777777" w:rsidR="000D4D90" w:rsidRPr="00AB4742" w:rsidRDefault="000D4D90" w:rsidP="005D31DD">
            <w:pPr>
              <w:pStyle w:val="BodyText"/>
              <w:rPr>
                <w:b/>
                <w:lang w:val="en-US"/>
              </w:rPr>
            </w:pPr>
            <w:r w:rsidRPr="00AB4742">
              <w:rPr>
                <w:b/>
              </w:rPr>
              <w:t>C1.</w:t>
            </w:r>
          </w:p>
        </w:tc>
        <w:tc>
          <w:tcPr>
            <w:tcW w:w="8454" w:type="dxa"/>
          </w:tcPr>
          <w:p w14:paraId="0647E2B1" w14:textId="77777777" w:rsidR="000D4D90" w:rsidRPr="00BF77F9" w:rsidRDefault="000D4D90" w:rsidP="005D31DD">
            <w:pPr>
              <w:rPr>
                <w:b/>
              </w:rPr>
            </w:pPr>
            <w:r>
              <w:rPr>
                <w:b/>
              </w:rPr>
              <w:t>T</w:t>
            </w:r>
            <w:r w:rsidRPr="00AB4742">
              <w:rPr>
                <w:b/>
              </w:rPr>
              <w:t xml:space="preserve">he model </w:t>
            </w:r>
            <w:r>
              <w:rPr>
                <w:b/>
              </w:rPr>
              <w:t xml:space="preserve">and paper </w:t>
            </w:r>
            <w:r w:rsidRPr="00AB4742">
              <w:rPr>
                <w:b/>
              </w:rPr>
              <w:t>published with these questions</w:t>
            </w:r>
            <w:r>
              <w:rPr>
                <w:b/>
              </w:rPr>
              <w:t xml:space="preserve"> are intended to demonstrate the effects of the capex and opex IRIS incentives on investment choices. With this information now available, </w:t>
            </w:r>
            <w:r w:rsidRPr="00AB4742">
              <w:rPr>
                <w:b/>
                <w:lang w:val="en-US"/>
              </w:rPr>
              <w:t xml:space="preserve">do you consider that there is </w:t>
            </w:r>
            <w:r>
              <w:rPr>
                <w:b/>
                <w:lang w:val="en-US"/>
              </w:rPr>
              <w:t xml:space="preserve">broadly financial </w:t>
            </w:r>
            <w:r w:rsidRPr="00AB4742">
              <w:rPr>
                <w:b/>
                <w:lang w:val="en-US"/>
              </w:rPr>
              <w:t xml:space="preserve">equivalence between the incentives on opex and capex? </w:t>
            </w:r>
          </w:p>
        </w:tc>
      </w:tr>
      <w:tr w:rsidR="000D4D90" w14:paraId="1AF85B78" w14:textId="77777777" w:rsidTr="005D31DD">
        <w:tc>
          <w:tcPr>
            <w:tcW w:w="562" w:type="dxa"/>
          </w:tcPr>
          <w:p w14:paraId="6B35F36D" w14:textId="77777777" w:rsidR="000D4D90" w:rsidRDefault="000D4D90" w:rsidP="005D31DD">
            <w:pPr>
              <w:pStyle w:val="BodyText"/>
              <w:rPr>
                <w:lang w:val="en-US"/>
              </w:rPr>
            </w:pPr>
          </w:p>
        </w:tc>
        <w:tc>
          <w:tcPr>
            <w:tcW w:w="8454" w:type="dxa"/>
          </w:tcPr>
          <w:p w14:paraId="0FC88739" w14:textId="77777777" w:rsidR="000D4D90" w:rsidRPr="00FA1775" w:rsidRDefault="000D4D90" w:rsidP="005D31DD">
            <w:pPr>
              <w:rPr>
                <w:rFonts w:asciiTheme="minorHAnsi" w:hAnsiTheme="minorHAnsi" w:cstheme="minorHAnsi"/>
                <w:bCs/>
                <w:szCs w:val="24"/>
              </w:rPr>
            </w:pPr>
            <w:r w:rsidRPr="00FA1775">
              <w:rPr>
                <w:rFonts w:asciiTheme="minorHAnsi" w:hAnsiTheme="minorHAnsi" w:cstheme="minorHAnsi"/>
                <w:bCs/>
                <w:szCs w:val="24"/>
              </w:rPr>
              <w:t>Answer:</w:t>
            </w:r>
          </w:p>
        </w:tc>
      </w:tr>
      <w:tr w:rsidR="000D4D90" w14:paraId="595FFEB0" w14:textId="77777777" w:rsidTr="005D31DD">
        <w:tc>
          <w:tcPr>
            <w:tcW w:w="562" w:type="dxa"/>
          </w:tcPr>
          <w:p w14:paraId="44D9C231" w14:textId="77777777" w:rsidR="000D4D90" w:rsidRPr="00AB4742" w:rsidRDefault="000D4D90" w:rsidP="005D31DD">
            <w:pPr>
              <w:pStyle w:val="BodyText"/>
              <w:rPr>
                <w:rFonts w:asciiTheme="minorHAnsi" w:hAnsiTheme="minorHAnsi" w:cstheme="minorHAnsi"/>
                <w:b/>
                <w:szCs w:val="24"/>
              </w:rPr>
            </w:pPr>
            <w:r w:rsidRPr="00AB4742">
              <w:rPr>
                <w:rFonts w:asciiTheme="minorHAnsi" w:hAnsiTheme="minorHAnsi" w:cstheme="minorHAnsi"/>
                <w:b/>
                <w:szCs w:val="24"/>
              </w:rPr>
              <w:t>C2.</w:t>
            </w:r>
          </w:p>
        </w:tc>
        <w:tc>
          <w:tcPr>
            <w:tcW w:w="8454" w:type="dxa"/>
          </w:tcPr>
          <w:p w14:paraId="70FBA318" w14:textId="6684E596" w:rsidR="000D4D90" w:rsidRDefault="000D4D90" w:rsidP="005D31DD">
            <w:pPr>
              <w:rPr>
                <w:b/>
                <w:bCs/>
                <w:lang w:val="en-US"/>
              </w:rPr>
            </w:pPr>
            <w:r w:rsidRPr="005D4D9A">
              <w:rPr>
                <w:b/>
                <w:bCs/>
                <w:lang w:val="en-US"/>
              </w:rPr>
              <w:t xml:space="preserve">Some suppliers submitted </w:t>
            </w:r>
            <w:r>
              <w:rPr>
                <w:b/>
                <w:bCs/>
                <w:lang w:val="en-US"/>
              </w:rPr>
              <w:t xml:space="preserve">to us </w:t>
            </w:r>
            <w:r w:rsidRPr="005D4D9A">
              <w:rPr>
                <w:b/>
                <w:bCs/>
                <w:lang w:val="en-US"/>
              </w:rPr>
              <w:t xml:space="preserve">that expenditure allowances are not </w:t>
            </w:r>
            <w:r>
              <w:rPr>
                <w:b/>
                <w:bCs/>
                <w:lang w:val="en-US"/>
              </w:rPr>
              <w:t xml:space="preserve">currently </w:t>
            </w:r>
            <w:r w:rsidRPr="005D4D9A">
              <w:rPr>
                <w:b/>
                <w:bCs/>
                <w:lang w:val="en-US"/>
              </w:rPr>
              <w:t>substitutable</w:t>
            </w:r>
            <w:r>
              <w:rPr>
                <w:b/>
                <w:bCs/>
                <w:lang w:val="en-US"/>
              </w:rPr>
              <w:t xml:space="preserve"> between capex and opex (i.e., </w:t>
            </w:r>
            <w:r w:rsidR="002D71E0">
              <w:rPr>
                <w:b/>
                <w:bCs/>
                <w:lang w:val="en-US"/>
              </w:rPr>
              <w:t xml:space="preserve">the </w:t>
            </w:r>
            <w:r>
              <w:rPr>
                <w:b/>
                <w:bCs/>
                <w:lang w:val="en-US"/>
              </w:rPr>
              <w:t xml:space="preserve">incentives are not financially </w:t>
            </w:r>
            <w:r>
              <w:rPr>
                <w:b/>
                <w:bCs/>
                <w:lang w:val="en-US"/>
              </w:rPr>
              <w:lastRenderedPageBreak/>
              <w:t>neutral)</w:t>
            </w:r>
            <w:r>
              <w:rPr>
                <w:b/>
                <w:lang w:val="en-US"/>
              </w:rPr>
              <w:t>.</w:t>
            </w:r>
            <w:r>
              <w:rPr>
                <w:rStyle w:val="FootnoteReference"/>
                <w:b/>
                <w:lang w:val="en-US"/>
              </w:rPr>
              <w:footnoteReference w:id="4"/>
            </w:r>
            <w:r w:rsidRPr="005D4D9A">
              <w:rPr>
                <w:b/>
                <w:bCs/>
                <w:lang w:val="en-US"/>
              </w:rPr>
              <w:t xml:space="preserve"> </w:t>
            </w:r>
            <w:r>
              <w:rPr>
                <w:b/>
                <w:lang w:val="en-US"/>
              </w:rPr>
              <w:t>However,</w:t>
            </w:r>
            <w:r w:rsidRPr="005D4D9A">
              <w:rPr>
                <w:b/>
                <w:bCs/>
                <w:lang w:val="en-US"/>
              </w:rPr>
              <w:t xml:space="preserve"> with </w:t>
            </w:r>
            <w:r w:rsidRPr="005D4D9A">
              <w:rPr>
                <w:b/>
                <w:bCs/>
              </w:rPr>
              <w:t>equalised</w:t>
            </w:r>
            <w:r w:rsidRPr="005D4D9A">
              <w:rPr>
                <w:b/>
                <w:bCs/>
                <w:lang w:val="en-US"/>
              </w:rPr>
              <w:t xml:space="preserve"> incentive rates</w:t>
            </w:r>
            <w:r>
              <w:rPr>
                <w:b/>
                <w:bCs/>
                <w:lang w:val="en-US"/>
              </w:rPr>
              <w:t>,</w:t>
            </w:r>
            <w:r w:rsidRPr="005D4D9A">
              <w:rPr>
                <w:b/>
                <w:bCs/>
                <w:lang w:val="en-US"/>
              </w:rPr>
              <w:t xml:space="preserve"> the effect (over the relevant period of the saving</w:t>
            </w:r>
            <w:r>
              <w:rPr>
                <w:b/>
                <w:bCs/>
                <w:lang w:val="en-US"/>
              </w:rPr>
              <w:t xml:space="preserve"> or overspend</w:t>
            </w:r>
            <w:r w:rsidRPr="005D4D9A">
              <w:rPr>
                <w:b/>
                <w:bCs/>
                <w:lang w:val="en-US"/>
              </w:rPr>
              <w:t xml:space="preserve">) should make suppliers financially indifferent to substituting between opex and capex solutions. </w:t>
            </w:r>
          </w:p>
          <w:p w14:paraId="00ACD2FF" w14:textId="77777777" w:rsidR="000D4D90" w:rsidRDefault="000D4D90" w:rsidP="005D31DD">
            <w:pPr>
              <w:rPr>
                <w:b/>
                <w:bCs/>
                <w:lang w:val="en-US"/>
              </w:rPr>
            </w:pPr>
          </w:p>
          <w:p w14:paraId="01273D1C" w14:textId="3C6A1265" w:rsidR="000D4D90" w:rsidRPr="005D4D9A" w:rsidRDefault="009B3E9D" w:rsidP="005D31DD">
            <w:pPr>
              <w:rPr>
                <w:b/>
                <w:bCs/>
              </w:rPr>
            </w:pPr>
            <w:r>
              <w:rPr>
                <w:b/>
                <w:bCs/>
                <w:lang w:val="en-US"/>
              </w:rPr>
              <w:t xml:space="preserve">If </w:t>
            </w:r>
            <w:r w:rsidR="000D4D90" w:rsidRPr="005D4D9A">
              <w:rPr>
                <w:b/>
                <w:bCs/>
                <w:lang w:val="en-US"/>
              </w:rPr>
              <w:t xml:space="preserve">you consider capex and opex are not substitutable under </w:t>
            </w:r>
            <w:r w:rsidR="000D4D90">
              <w:rPr>
                <w:b/>
                <w:bCs/>
                <w:lang w:val="en-US"/>
              </w:rPr>
              <w:t xml:space="preserve">the </w:t>
            </w:r>
            <w:r w:rsidR="000D4D90" w:rsidRPr="005D4D9A">
              <w:rPr>
                <w:b/>
                <w:bCs/>
                <w:lang w:val="en-US"/>
              </w:rPr>
              <w:t xml:space="preserve">current IRIS settings, please provide some examples from your business </w:t>
            </w:r>
            <w:r w:rsidR="000D4D90">
              <w:rPr>
                <w:b/>
                <w:lang w:val="en-US"/>
              </w:rPr>
              <w:t xml:space="preserve">demonstrating why you were not </w:t>
            </w:r>
            <w:r w:rsidR="000D4D90" w:rsidRPr="00216AC8">
              <w:rPr>
                <w:b/>
                <w:lang w:val="en-US"/>
              </w:rPr>
              <w:t>financially indifferent in choosing</w:t>
            </w:r>
            <w:r w:rsidR="000D4D90">
              <w:rPr>
                <w:b/>
                <w:lang w:val="en-US"/>
              </w:rPr>
              <w:t xml:space="preserve"> between </w:t>
            </w:r>
            <w:r w:rsidR="000D4D90" w:rsidRPr="00216AC8">
              <w:rPr>
                <w:b/>
                <w:lang w:val="en-US"/>
              </w:rPr>
              <w:t>opex and capex solutions</w:t>
            </w:r>
            <w:r>
              <w:rPr>
                <w:b/>
                <w:lang w:val="en-US"/>
              </w:rPr>
              <w:t>.</w:t>
            </w:r>
          </w:p>
        </w:tc>
      </w:tr>
      <w:tr w:rsidR="000D4D90" w14:paraId="5899EF82" w14:textId="77777777" w:rsidTr="005D31DD">
        <w:tc>
          <w:tcPr>
            <w:tcW w:w="562" w:type="dxa"/>
          </w:tcPr>
          <w:p w14:paraId="52BA8F05" w14:textId="77777777" w:rsidR="000D4D90" w:rsidRDefault="000D4D90" w:rsidP="005D31DD">
            <w:pPr>
              <w:pStyle w:val="BodyText"/>
              <w:rPr>
                <w:lang w:val="en-US"/>
              </w:rPr>
            </w:pPr>
          </w:p>
        </w:tc>
        <w:tc>
          <w:tcPr>
            <w:tcW w:w="8454" w:type="dxa"/>
          </w:tcPr>
          <w:p w14:paraId="5A0DA5AE" w14:textId="77777777" w:rsidR="000D4D90" w:rsidRDefault="000D4D90" w:rsidP="005D31DD">
            <w:pPr>
              <w:pStyle w:val="BodyText"/>
              <w:rPr>
                <w:lang w:val="en-US"/>
              </w:rPr>
            </w:pPr>
            <w:r>
              <w:rPr>
                <w:lang w:val="en-US"/>
              </w:rPr>
              <w:t>Answer:</w:t>
            </w:r>
          </w:p>
        </w:tc>
      </w:tr>
      <w:tr w:rsidR="000D4D90" w14:paraId="67D4B919" w14:textId="77777777" w:rsidTr="005D31DD">
        <w:tc>
          <w:tcPr>
            <w:tcW w:w="562" w:type="dxa"/>
          </w:tcPr>
          <w:p w14:paraId="24862C43" w14:textId="77777777" w:rsidR="000D4D90" w:rsidRPr="00AB4742" w:rsidRDefault="000D4D90" w:rsidP="005D31DD">
            <w:pPr>
              <w:pStyle w:val="BodyText"/>
              <w:rPr>
                <w:b/>
                <w:bCs/>
                <w:lang w:val="en-US"/>
              </w:rPr>
            </w:pPr>
            <w:r w:rsidRPr="00AB4742">
              <w:rPr>
                <w:b/>
                <w:bCs/>
                <w:lang w:val="en-US"/>
              </w:rPr>
              <w:t>C3.</w:t>
            </w:r>
          </w:p>
        </w:tc>
        <w:tc>
          <w:tcPr>
            <w:tcW w:w="8454" w:type="dxa"/>
          </w:tcPr>
          <w:p w14:paraId="4A5CDE9B" w14:textId="603B281B" w:rsidR="000D4D90" w:rsidRPr="00BF77F9" w:rsidRDefault="000D4D90" w:rsidP="005D31DD">
            <w:pPr>
              <w:rPr>
                <w:b/>
                <w:bCs/>
              </w:rPr>
            </w:pPr>
            <w:r w:rsidRPr="00AB4742">
              <w:rPr>
                <w:b/>
                <w:bCs/>
              </w:rPr>
              <w:t xml:space="preserve">How </w:t>
            </w:r>
            <w:r>
              <w:rPr>
                <w:b/>
                <w:bCs/>
              </w:rPr>
              <w:t>important</w:t>
            </w:r>
            <w:r w:rsidRPr="00AB4742">
              <w:rPr>
                <w:b/>
                <w:bCs/>
              </w:rPr>
              <w:t xml:space="preserve"> is the fact that IRIS does not capture the impact of savings that extend beyond the IRIS horizon</w:t>
            </w:r>
            <w:r>
              <w:rPr>
                <w:b/>
              </w:rPr>
              <w:t xml:space="preserve"> (i.e., the carry-forward term of five years)</w:t>
            </w:r>
            <w:r w:rsidRPr="00AB4742">
              <w:rPr>
                <w:b/>
              </w:rPr>
              <w:t>?</w:t>
            </w:r>
            <w:r w:rsidRPr="00AB4742">
              <w:rPr>
                <w:b/>
                <w:bCs/>
              </w:rPr>
              <w:t xml:space="preserve"> </w:t>
            </w:r>
            <w:r w:rsidR="00034B5E">
              <w:rPr>
                <w:b/>
                <w:bCs/>
              </w:rPr>
              <w:t xml:space="preserve">Can </w:t>
            </w:r>
            <w:r w:rsidRPr="00AB4742">
              <w:rPr>
                <w:b/>
                <w:bCs/>
              </w:rPr>
              <w:t xml:space="preserve">you </w:t>
            </w:r>
            <w:r w:rsidR="00034B5E">
              <w:rPr>
                <w:b/>
                <w:bCs/>
              </w:rPr>
              <w:t xml:space="preserve">provide us with </w:t>
            </w:r>
            <w:r w:rsidRPr="00AB4742">
              <w:rPr>
                <w:b/>
                <w:bCs/>
              </w:rPr>
              <w:t xml:space="preserve">examples of projects where future savings are not included within the IRIS horizon? </w:t>
            </w:r>
            <w:r>
              <w:rPr>
                <w:b/>
              </w:rPr>
              <w:t>Could you propose potential</w:t>
            </w:r>
            <w:r w:rsidRPr="00AB4742">
              <w:rPr>
                <w:b/>
                <w:bCs/>
              </w:rPr>
              <w:t xml:space="preserve"> solutions to this problem (including through the IRIS mechanisms)</w:t>
            </w:r>
            <w:r>
              <w:rPr>
                <w:b/>
                <w:bCs/>
              </w:rPr>
              <w:t>?</w:t>
            </w:r>
          </w:p>
        </w:tc>
      </w:tr>
      <w:tr w:rsidR="000D4D90" w14:paraId="15E82B82" w14:textId="77777777" w:rsidTr="005D31DD">
        <w:tc>
          <w:tcPr>
            <w:tcW w:w="562" w:type="dxa"/>
          </w:tcPr>
          <w:p w14:paraId="66CDD749" w14:textId="77777777" w:rsidR="000D4D90" w:rsidRDefault="000D4D90" w:rsidP="005D31DD">
            <w:pPr>
              <w:pStyle w:val="BodyText"/>
              <w:rPr>
                <w:lang w:val="en-US"/>
              </w:rPr>
            </w:pPr>
          </w:p>
        </w:tc>
        <w:tc>
          <w:tcPr>
            <w:tcW w:w="8454" w:type="dxa"/>
          </w:tcPr>
          <w:p w14:paraId="01C8F83F" w14:textId="77777777" w:rsidR="000D4D90" w:rsidRDefault="000D4D90" w:rsidP="005D31DD">
            <w:pPr>
              <w:pStyle w:val="BodyText"/>
              <w:rPr>
                <w:lang w:val="en-US"/>
              </w:rPr>
            </w:pPr>
            <w:r>
              <w:rPr>
                <w:lang w:val="en-US"/>
              </w:rPr>
              <w:t>Answer:</w:t>
            </w:r>
          </w:p>
        </w:tc>
      </w:tr>
      <w:tr w:rsidR="000D4D90" w14:paraId="6CE60C17" w14:textId="77777777" w:rsidTr="005D31DD">
        <w:tc>
          <w:tcPr>
            <w:tcW w:w="562" w:type="dxa"/>
          </w:tcPr>
          <w:p w14:paraId="06D9CA90" w14:textId="77777777" w:rsidR="000D4D90" w:rsidRPr="00AB4742" w:rsidRDefault="000D4D90" w:rsidP="005D31DD">
            <w:pPr>
              <w:pStyle w:val="BodyText"/>
              <w:rPr>
                <w:b/>
                <w:bCs/>
                <w:lang w:val="en-US"/>
              </w:rPr>
            </w:pPr>
            <w:r w:rsidRPr="00AB4742">
              <w:rPr>
                <w:b/>
                <w:bCs/>
                <w:lang w:val="en-US"/>
              </w:rPr>
              <w:t>C4.</w:t>
            </w:r>
          </w:p>
        </w:tc>
        <w:tc>
          <w:tcPr>
            <w:tcW w:w="8454" w:type="dxa"/>
          </w:tcPr>
          <w:p w14:paraId="6C3CA07F" w14:textId="231EB3A3" w:rsidR="000D4D90" w:rsidRPr="00BF77F9" w:rsidRDefault="00F43021" w:rsidP="005D31DD">
            <w:pPr>
              <w:rPr>
                <w:b/>
                <w:bCs/>
              </w:rPr>
            </w:pPr>
            <w:r w:rsidRPr="00A955D8">
              <w:rPr>
                <w:b/>
                <w:bCs/>
              </w:rPr>
              <w:t>Do you consider IRIS in your business decision</w:t>
            </w:r>
            <w:r w:rsidR="00995619">
              <w:rPr>
                <w:b/>
                <w:bCs/>
              </w:rPr>
              <w:t>-</w:t>
            </w:r>
            <w:r w:rsidRPr="00A955D8">
              <w:rPr>
                <w:b/>
                <w:bCs/>
              </w:rPr>
              <w:t>making processes</w:t>
            </w:r>
            <w:r w:rsidRPr="00AB4742">
              <w:rPr>
                <w:b/>
                <w:bCs/>
              </w:rPr>
              <w:t>?</w:t>
            </w:r>
            <w:r>
              <w:rPr>
                <w:b/>
                <w:bCs/>
              </w:rPr>
              <w:t xml:space="preserve">  If so, w</w:t>
            </w:r>
            <w:r w:rsidR="000D4D90" w:rsidRPr="00AB4742">
              <w:rPr>
                <w:b/>
                <w:bCs/>
              </w:rPr>
              <w:t>hich stage</w:t>
            </w:r>
            <w:r w:rsidR="000D4D90">
              <w:rPr>
                <w:b/>
                <w:bCs/>
              </w:rPr>
              <w:t>(s)</w:t>
            </w:r>
            <w:r w:rsidR="000D4D90" w:rsidRPr="00AB4742">
              <w:rPr>
                <w:b/>
                <w:bCs/>
              </w:rPr>
              <w:t xml:space="preserve"> of </w:t>
            </w:r>
            <w:r w:rsidR="000D4D90">
              <w:rPr>
                <w:b/>
                <w:bCs/>
              </w:rPr>
              <w:t xml:space="preserve">your </w:t>
            </w:r>
            <w:r w:rsidR="000D4D90" w:rsidRPr="00AB4742">
              <w:rPr>
                <w:b/>
                <w:bCs/>
              </w:rPr>
              <w:t>decision</w:t>
            </w:r>
            <w:r w:rsidR="00995619">
              <w:rPr>
                <w:b/>
                <w:bCs/>
              </w:rPr>
              <w:t>-</w:t>
            </w:r>
            <w:r w:rsidR="000D4D90" w:rsidRPr="00AB4742">
              <w:rPr>
                <w:b/>
                <w:bCs/>
              </w:rPr>
              <w:t xml:space="preserve">making </w:t>
            </w:r>
            <w:r w:rsidR="000D4D90">
              <w:rPr>
                <w:b/>
                <w:bCs/>
              </w:rPr>
              <w:t xml:space="preserve">processes consider </w:t>
            </w:r>
            <w:r w:rsidR="000D4D90" w:rsidRPr="00AB4742">
              <w:rPr>
                <w:b/>
                <w:bCs/>
              </w:rPr>
              <w:t xml:space="preserve">IRIS </w:t>
            </w:r>
            <w:r w:rsidR="000D4D90">
              <w:rPr>
                <w:b/>
                <w:bCs/>
              </w:rPr>
              <w:t>when contemplating</w:t>
            </w:r>
            <w:r w:rsidR="000D4D90" w:rsidRPr="00AB4742">
              <w:rPr>
                <w:b/>
                <w:bCs/>
              </w:rPr>
              <w:t xml:space="preserve"> substitutable solutions (whether opex or capex)? </w:t>
            </w:r>
          </w:p>
        </w:tc>
      </w:tr>
      <w:tr w:rsidR="000D4D90" w14:paraId="1B129483" w14:textId="77777777" w:rsidTr="005D31DD">
        <w:tc>
          <w:tcPr>
            <w:tcW w:w="562" w:type="dxa"/>
          </w:tcPr>
          <w:p w14:paraId="506AB42F" w14:textId="77777777" w:rsidR="000D4D90" w:rsidRDefault="000D4D90" w:rsidP="005D31DD">
            <w:pPr>
              <w:pStyle w:val="BodyText"/>
              <w:rPr>
                <w:lang w:val="en-US"/>
              </w:rPr>
            </w:pPr>
          </w:p>
        </w:tc>
        <w:tc>
          <w:tcPr>
            <w:tcW w:w="8454" w:type="dxa"/>
          </w:tcPr>
          <w:p w14:paraId="288F4338" w14:textId="77777777" w:rsidR="000D4D90" w:rsidRDefault="000D4D90" w:rsidP="005D31DD">
            <w:pPr>
              <w:pStyle w:val="BodyText"/>
              <w:rPr>
                <w:lang w:val="en-US"/>
              </w:rPr>
            </w:pPr>
            <w:r>
              <w:rPr>
                <w:lang w:val="en-US"/>
              </w:rPr>
              <w:t>Answer:</w:t>
            </w:r>
          </w:p>
        </w:tc>
      </w:tr>
      <w:tr w:rsidR="000D4D90" w14:paraId="6E250BB1" w14:textId="77777777" w:rsidTr="005D31DD">
        <w:tc>
          <w:tcPr>
            <w:tcW w:w="562" w:type="dxa"/>
          </w:tcPr>
          <w:p w14:paraId="32D81EE9" w14:textId="77777777" w:rsidR="000D4D90" w:rsidRPr="00AB4742" w:rsidRDefault="000D4D90" w:rsidP="005D31DD">
            <w:pPr>
              <w:pStyle w:val="BodyText"/>
              <w:rPr>
                <w:b/>
                <w:bCs/>
                <w:lang w:val="en-US"/>
              </w:rPr>
            </w:pPr>
            <w:r w:rsidRPr="00AB4742">
              <w:rPr>
                <w:b/>
                <w:bCs/>
                <w:lang w:val="en-US"/>
              </w:rPr>
              <w:t>C5.</w:t>
            </w:r>
          </w:p>
        </w:tc>
        <w:tc>
          <w:tcPr>
            <w:tcW w:w="8454" w:type="dxa"/>
          </w:tcPr>
          <w:p w14:paraId="2826A8C3" w14:textId="422583A7" w:rsidR="000D4D90" w:rsidRPr="00BF77F9" w:rsidRDefault="000D4D90" w:rsidP="005D31DD">
            <w:pPr>
              <w:rPr>
                <w:b/>
                <w:bCs/>
              </w:rPr>
            </w:pPr>
            <w:r w:rsidRPr="00AB4742">
              <w:rPr>
                <w:b/>
                <w:bCs/>
              </w:rPr>
              <w:t xml:space="preserve">Suppliers have noted that the complexity of the current incentive mechanisms is a problem in the </w:t>
            </w:r>
            <w:r>
              <w:rPr>
                <w:b/>
                <w:bCs/>
              </w:rPr>
              <w:t>regulatory</w:t>
            </w:r>
            <w:r w:rsidRPr="00AB4742">
              <w:rPr>
                <w:b/>
                <w:bCs/>
              </w:rPr>
              <w:t xml:space="preserve"> regime. How could</w:t>
            </w:r>
            <w:r w:rsidR="009F03AB">
              <w:rPr>
                <w:b/>
                <w:bCs/>
              </w:rPr>
              <w:t xml:space="preserve"> the</w:t>
            </w:r>
            <w:r w:rsidRPr="00AB4742">
              <w:rPr>
                <w:b/>
                <w:bCs/>
              </w:rPr>
              <w:t xml:space="preserve"> </w:t>
            </w:r>
            <w:r>
              <w:rPr>
                <w:b/>
                <w:bCs/>
              </w:rPr>
              <w:t>incentive mechanisms</w:t>
            </w:r>
            <w:r w:rsidRPr="00AB4742">
              <w:rPr>
                <w:b/>
                <w:bCs/>
              </w:rPr>
              <w:t xml:space="preserve"> be simplified while still achieving the desired outcomes?</w:t>
            </w:r>
            <w:r>
              <w:rPr>
                <w:rStyle w:val="FootnoteReference"/>
                <w:b/>
                <w:bCs/>
              </w:rPr>
              <w:footnoteReference w:id="5"/>
            </w:r>
          </w:p>
        </w:tc>
      </w:tr>
      <w:tr w:rsidR="000D4D90" w14:paraId="0B8FC831" w14:textId="77777777" w:rsidTr="005D31DD">
        <w:tc>
          <w:tcPr>
            <w:tcW w:w="562" w:type="dxa"/>
          </w:tcPr>
          <w:p w14:paraId="1E3E70C0" w14:textId="77777777" w:rsidR="000D4D90" w:rsidRDefault="000D4D90" w:rsidP="005D31DD">
            <w:pPr>
              <w:pStyle w:val="BodyText"/>
              <w:rPr>
                <w:lang w:val="en-US"/>
              </w:rPr>
            </w:pPr>
          </w:p>
        </w:tc>
        <w:tc>
          <w:tcPr>
            <w:tcW w:w="8454" w:type="dxa"/>
          </w:tcPr>
          <w:p w14:paraId="5C783B82" w14:textId="77777777" w:rsidR="000D4D90" w:rsidRDefault="000D4D90" w:rsidP="005D31DD">
            <w:pPr>
              <w:pStyle w:val="BodyText"/>
              <w:rPr>
                <w:lang w:val="en-US"/>
              </w:rPr>
            </w:pPr>
            <w:r>
              <w:rPr>
                <w:lang w:val="en-US"/>
              </w:rPr>
              <w:t>Answer:</w:t>
            </w:r>
          </w:p>
        </w:tc>
      </w:tr>
      <w:tr w:rsidR="000D4D90" w14:paraId="7C919315" w14:textId="77777777" w:rsidTr="005D31DD">
        <w:tc>
          <w:tcPr>
            <w:tcW w:w="562" w:type="dxa"/>
          </w:tcPr>
          <w:p w14:paraId="25FFAABD" w14:textId="77777777" w:rsidR="000D4D90" w:rsidRPr="00AB4742" w:rsidRDefault="000D4D90" w:rsidP="005D31DD">
            <w:pPr>
              <w:pStyle w:val="BodyText"/>
              <w:rPr>
                <w:b/>
                <w:bCs/>
                <w:lang w:val="en-US"/>
              </w:rPr>
            </w:pPr>
            <w:r w:rsidRPr="00AB4742">
              <w:rPr>
                <w:b/>
                <w:bCs/>
                <w:lang w:val="en-US"/>
              </w:rPr>
              <w:t>C6.</w:t>
            </w:r>
          </w:p>
        </w:tc>
        <w:tc>
          <w:tcPr>
            <w:tcW w:w="8454" w:type="dxa"/>
          </w:tcPr>
          <w:p w14:paraId="5C45CB35" w14:textId="0242210B" w:rsidR="000D4D90" w:rsidRPr="00BF77F9" w:rsidRDefault="000D4D90" w:rsidP="005D31DD">
            <w:pPr>
              <w:rPr>
                <w:b/>
                <w:bCs/>
              </w:rPr>
            </w:pPr>
            <w:r w:rsidRPr="00AB4742">
              <w:rPr>
                <w:b/>
                <w:bCs/>
              </w:rPr>
              <w:t>Changing the current IRIS mechanism</w:t>
            </w:r>
            <w:r w:rsidR="00340760">
              <w:rPr>
                <w:b/>
                <w:bCs/>
              </w:rPr>
              <w:t>s</w:t>
            </w:r>
            <w:r w:rsidRPr="00AB4742">
              <w:rPr>
                <w:b/>
                <w:bCs/>
              </w:rPr>
              <w:t xml:space="preserve"> to </w:t>
            </w:r>
            <w:r w:rsidR="00A24564">
              <w:rPr>
                <w:b/>
                <w:bCs/>
              </w:rPr>
              <w:t>apply differ</w:t>
            </w:r>
            <w:r w:rsidR="004D0DD4">
              <w:rPr>
                <w:b/>
                <w:bCs/>
              </w:rPr>
              <w:t>ent</w:t>
            </w:r>
            <w:r w:rsidR="00A24564">
              <w:rPr>
                <w:b/>
                <w:bCs/>
              </w:rPr>
              <w:t xml:space="preserve"> incentive rates to </w:t>
            </w:r>
            <w:r>
              <w:rPr>
                <w:b/>
                <w:bCs/>
              </w:rPr>
              <w:t>d</w:t>
            </w:r>
            <w:r w:rsidRPr="00AB4742">
              <w:rPr>
                <w:b/>
                <w:bCs/>
              </w:rPr>
              <w:t xml:space="preserve">ifferent types of expenditure (such as connection capex) </w:t>
            </w:r>
            <w:r>
              <w:rPr>
                <w:b/>
                <w:bCs/>
              </w:rPr>
              <w:t>would</w:t>
            </w:r>
            <w:r w:rsidRPr="00AB4742">
              <w:rPr>
                <w:b/>
                <w:bCs/>
              </w:rPr>
              <w:t xml:space="preserve"> likely increase the complexity of the incentive schemes. </w:t>
            </w:r>
            <w:r>
              <w:rPr>
                <w:b/>
                <w:bCs/>
              </w:rPr>
              <w:t>Would</w:t>
            </w:r>
            <w:r w:rsidRPr="00AB4742">
              <w:rPr>
                <w:b/>
                <w:bCs/>
              </w:rPr>
              <w:t xml:space="preserve"> the </w:t>
            </w:r>
            <w:r w:rsidR="005A09FD">
              <w:rPr>
                <w:b/>
                <w:bCs/>
              </w:rPr>
              <w:t xml:space="preserve">benefits of this change outweigh the </w:t>
            </w:r>
            <w:r w:rsidRPr="00AB4742">
              <w:rPr>
                <w:b/>
                <w:bCs/>
              </w:rPr>
              <w:t>increased complexity</w:t>
            </w:r>
            <w:r>
              <w:rPr>
                <w:b/>
                <w:bCs/>
              </w:rPr>
              <w:t>?</w:t>
            </w:r>
          </w:p>
        </w:tc>
      </w:tr>
      <w:tr w:rsidR="000D4D90" w14:paraId="767B0637" w14:textId="77777777" w:rsidTr="005D31DD">
        <w:tc>
          <w:tcPr>
            <w:tcW w:w="562" w:type="dxa"/>
          </w:tcPr>
          <w:p w14:paraId="77C47CDE" w14:textId="77777777" w:rsidR="000D4D90" w:rsidRDefault="000D4D90" w:rsidP="005D31DD">
            <w:pPr>
              <w:pStyle w:val="BodyText"/>
              <w:rPr>
                <w:lang w:val="en-US"/>
              </w:rPr>
            </w:pPr>
          </w:p>
        </w:tc>
        <w:tc>
          <w:tcPr>
            <w:tcW w:w="8454" w:type="dxa"/>
          </w:tcPr>
          <w:p w14:paraId="47F754BF" w14:textId="77777777" w:rsidR="000D4D90" w:rsidRDefault="000D4D90" w:rsidP="005D31DD">
            <w:pPr>
              <w:pStyle w:val="BodyText"/>
              <w:rPr>
                <w:lang w:val="en-US"/>
              </w:rPr>
            </w:pPr>
            <w:r>
              <w:rPr>
                <w:lang w:val="en-US"/>
              </w:rPr>
              <w:t>Answer:</w:t>
            </w:r>
          </w:p>
        </w:tc>
      </w:tr>
      <w:tr w:rsidR="000D4D90" w:rsidRPr="00AB4742" w14:paraId="3702D5CF" w14:textId="77777777" w:rsidTr="005D31DD">
        <w:tc>
          <w:tcPr>
            <w:tcW w:w="562" w:type="dxa"/>
          </w:tcPr>
          <w:p w14:paraId="68AA5C39" w14:textId="77777777" w:rsidR="000D4D90" w:rsidRPr="00AB4742" w:rsidRDefault="000D4D90" w:rsidP="005D31DD">
            <w:pPr>
              <w:pStyle w:val="BodyText"/>
              <w:rPr>
                <w:b/>
                <w:bCs/>
                <w:lang w:val="en-US"/>
              </w:rPr>
            </w:pPr>
            <w:r w:rsidRPr="00AB4742">
              <w:rPr>
                <w:b/>
                <w:bCs/>
                <w:lang w:val="en-US"/>
              </w:rPr>
              <w:t>C7.</w:t>
            </w:r>
          </w:p>
        </w:tc>
        <w:tc>
          <w:tcPr>
            <w:tcW w:w="8454" w:type="dxa"/>
          </w:tcPr>
          <w:p w14:paraId="6AA0D471" w14:textId="77777777" w:rsidR="000D4D90" w:rsidRPr="00BF77F9" w:rsidRDefault="000D4D90" w:rsidP="005D31DD">
            <w:pPr>
              <w:rPr>
                <w:b/>
                <w:bCs/>
              </w:rPr>
            </w:pPr>
            <w:r w:rsidRPr="00AB4742">
              <w:rPr>
                <w:b/>
                <w:bCs/>
                <w:lang w:val="en-US"/>
              </w:rPr>
              <w:t xml:space="preserve">If we were to remove or make </w:t>
            </w:r>
            <w:r>
              <w:rPr>
                <w:b/>
                <w:bCs/>
                <w:lang w:val="en-US"/>
              </w:rPr>
              <w:t>significant</w:t>
            </w:r>
            <w:r w:rsidRPr="00AB4742">
              <w:rPr>
                <w:b/>
                <w:bCs/>
                <w:lang w:val="en-US"/>
              </w:rPr>
              <w:t xml:space="preserve"> changes to IRIS, what would an appropriate alternative approach be that would better promote </w:t>
            </w:r>
            <w:r>
              <w:rPr>
                <w:b/>
                <w:bCs/>
                <w:lang w:val="en-US"/>
              </w:rPr>
              <w:t xml:space="preserve">one or more of </w:t>
            </w:r>
            <w:r w:rsidRPr="00AB4742">
              <w:rPr>
                <w:b/>
                <w:bCs/>
                <w:lang w:val="en-US"/>
              </w:rPr>
              <w:t xml:space="preserve">the </w:t>
            </w:r>
            <w:r>
              <w:rPr>
                <w:b/>
                <w:bCs/>
                <w:lang w:val="en-US"/>
              </w:rPr>
              <w:t>overarching objectives of our IM Review</w:t>
            </w:r>
            <w:r w:rsidRPr="00AB4742">
              <w:rPr>
                <w:b/>
                <w:bCs/>
                <w:lang w:val="en-US"/>
              </w:rPr>
              <w:t>?</w:t>
            </w:r>
            <w:r>
              <w:rPr>
                <w:rStyle w:val="FootnoteReference"/>
                <w:b/>
                <w:bCs/>
                <w:lang w:val="en-US"/>
              </w:rPr>
              <w:footnoteReference w:id="6"/>
            </w:r>
          </w:p>
        </w:tc>
      </w:tr>
      <w:tr w:rsidR="000D4D90" w14:paraId="31B2A430" w14:textId="77777777" w:rsidTr="005D31DD">
        <w:tc>
          <w:tcPr>
            <w:tcW w:w="562" w:type="dxa"/>
          </w:tcPr>
          <w:p w14:paraId="02D1291D" w14:textId="77777777" w:rsidR="000D4D90" w:rsidRDefault="000D4D90" w:rsidP="005D31DD">
            <w:pPr>
              <w:pStyle w:val="BodyText"/>
              <w:rPr>
                <w:lang w:val="en-US"/>
              </w:rPr>
            </w:pPr>
          </w:p>
        </w:tc>
        <w:tc>
          <w:tcPr>
            <w:tcW w:w="8454" w:type="dxa"/>
          </w:tcPr>
          <w:p w14:paraId="2D22F8E1" w14:textId="77777777" w:rsidR="000D4D90" w:rsidRDefault="000D4D90" w:rsidP="005D31DD">
            <w:pPr>
              <w:pStyle w:val="BodyText"/>
              <w:rPr>
                <w:lang w:val="en-US"/>
              </w:rPr>
            </w:pPr>
            <w:r>
              <w:rPr>
                <w:lang w:val="en-US"/>
              </w:rPr>
              <w:t>Answer:</w:t>
            </w:r>
          </w:p>
        </w:tc>
      </w:tr>
      <w:tr w:rsidR="000D4D90" w14:paraId="691C9953" w14:textId="77777777" w:rsidTr="005D31DD">
        <w:tc>
          <w:tcPr>
            <w:tcW w:w="562" w:type="dxa"/>
          </w:tcPr>
          <w:p w14:paraId="2D5184C1" w14:textId="77777777" w:rsidR="000D4D90" w:rsidRPr="00AB4742" w:rsidRDefault="000D4D90" w:rsidP="005D31DD">
            <w:pPr>
              <w:pStyle w:val="BodyText"/>
              <w:rPr>
                <w:b/>
                <w:bCs/>
                <w:lang w:val="en-US"/>
              </w:rPr>
            </w:pPr>
            <w:r w:rsidRPr="00AB4742">
              <w:rPr>
                <w:b/>
                <w:bCs/>
                <w:lang w:val="en-US"/>
              </w:rPr>
              <w:lastRenderedPageBreak/>
              <w:t>C8.</w:t>
            </w:r>
          </w:p>
        </w:tc>
        <w:tc>
          <w:tcPr>
            <w:tcW w:w="8454" w:type="dxa"/>
          </w:tcPr>
          <w:p w14:paraId="2B5EA63F" w14:textId="77777777" w:rsidR="000D4D90" w:rsidRPr="00BF77F9" w:rsidRDefault="000D4D90" w:rsidP="005D31DD">
            <w:pPr>
              <w:rPr>
                <w:b/>
                <w:bCs/>
              </w:rPr>
            </w:pPr>
            <w:r w:rsidRPr="00AB4742">
              <w:rPr>
                <w:b/>
                <w:bCs/>
              </w:rPr>
              <w:t xml:space="preserve">If we were to move to a totex approach, we would need an amended incentive mechanism. What could an incentive mechanism look like? </w:t>
            </w:r>
            <w:r>
              <w:rPr>
                <w:b/>
                <w:bCs/>
              </w:rPr>
              <w:t xml:space="preserve">One example is </w:t>
            </w:r>
            <w:r w:rsidRPr="00AB4742">
              <w:rPr>
                <w:b/>
                <w:bCs/>
              </w:rPr>
              <w:t>Ofgem’s totex incentive mechanism (TIM)</w:t>
            </w:r>
            <w:r>
              <w:rPr>
                <w:b/>
                <w:bCs/>
              </w:rPr>
              <w:t>.</w:t>
            </w:r>
            <w:r>
              <w:rPr>
                <w:rStyle w:val="FootnoteReference"/>
                <w:b/>
                <w:bCs/>
              </w:rPr>
              <w:footnoteReference w:id="7"/>
            </w:r>
          </w:p>
        </w:tc>
      </w:tr>
      <w:tr w:rsidR="000D4D90" w14:paraId="6EBE08DA" w14:textId="77777777" w:rsidTr="005D31DD">
        <w:tc>
          <w:tcPr>
            <w:tcW w:w="562" w:type="dxa"/>
          </w:tcPr>
          <w:p w14:paraId="0932E836" w14:textId="77777777" w:rsidR="000D4D90" w:rsidRDefault="000D4D90" w:rsidP="005D31DD">
            <w:pPr>
              <w:pStyle w:val="BodyText"/>
              <w:rPr>
                <w:lang w:val="en-US"/>
              </w:rPr>
            </w:pPr>
          </w:p>
        </w:tc>
        <w:tc>
          <w:tcPr>
            <w:tcW w:w="8454" w:type="dxa"/>
          </w:tcPr>
          <w:p w14:paraId="0103180B" w14:textId="77777777" w:rsidR="000D4D90" w:rsidRDefault="000D4D90" w:rsidP="005D31DD">
            <w:pPr>
              <w:pStyle w:val="BodyText"/>
              <w:rPr>
                <w:lang w:val="en-US"/>
              </w:rPr>
            </w:pPr>
            <w:r>
              <w:rPr>
                <w:lang w:val="en-US"/>
              </w:rPr>
              <w:t>Answer:</w:t>
            </w:r>
          </w:p>
        </w:tc>
      </w:tr>
      <w:tr w:rsidR="000D4D90" w14:paraId="16BA9F9A" w14:textId="77777777" w:rsidTr="005D31DD">
        <w:tc>
          <w:tcPr>
            <w:tcW w:w="562" w:type="dxa"/>
          </w:tcPr>
          <w:p w14:paraId="0B668F82" w14:textId="77777777" w:rsidR="000D4D90" w:rsidRPr="00AB4742" w:rsidRDefault="000D4D90" w:rsidP="005D31DD">
            <w:pPr>
              <w:pStyle w:val="BodyText"/>
              <w:rPr>
                <w:b/>
                <w:bCs/>
                <w:lang w:val="en-US"/>
              </w:rPr>
            </w:pPr>
            <w:r w:rsidRPr="00AB4742">
              <w:rPr>
                <w:b/>
                <w:bCs/>
                <w:lang w:val="en-US"/>
              </w:rPr>
              <w:t>C9.</w:t>
            </w:r>
          </w:p>
        </w:tc>
        <w:tc>
          <w:tcPr>
            <w:tcW w:w="8454" w:type="dxa"/>
          </w:tcPr>
          <w:p w14:paraId="789C1410" w14:textId="77777777" w:rsidR="000D4D90" w:rsidRPr="00BF77F9" w:rsidRDefault="000D4D90" w:rsidP="005D31DD">
            <w:pPr>
              <w:rPr>
                <w:b/>
                <w:bCs/>
              </w:rPr>
            </w:pPr>
            <w:r w:rsidRPr="00AB4742">
              <w:rPr>
                <w:b/>
                <w:bCs/>
              </w:rPr>
              <w:t>For Transpower’s IPP,</w:t>
            </w:r>
            <w:r>
              <w:rPr>
                <w:b/>
                <w:bCs/>
              </w:rPr>
              <w:t xml:space="preserve"> we understand from stakeholders that</w:t>
            </w:r>
            <w:r w:rsidRPr="00AB4742">
              <w:rPr>
                <w:b/>
                <w:bCs/>
              </w:rPr>
              <w:t xml:space="preserve"> the determination of the ‘baseline adjustment term’ has introduced significant complexity and uncertainty, potentially undermining incentives to achieve efficiency savings. If we were to remove this adjustment term, what other adjustments to the </w:t>
            </w:r>
            <w:r>
              <w:rPr>
                <w:b/>
                <w:bCs/>
              </w:rPr>
              <w:t>I</w:t>
            </w:r>
            <w:r w:rsidRPr="00AB4742">
              <w:rPr>
                <w:b/>
                <w:bCs/>
              </w:rPr>
              <w:t xml:space="preserve">PP IRIS mechanism do you consider </w:t>
            </w:r>
            <w:r>
              <w:rPr>
                <w:b/>
                <w:bCs/>
              </w:rPr>
              <w:t>would be</w:t>
            </w:r>
            <w:r w:rsidRPr="00AB4742">
              <w:rPr>
                <w:b/>
                <w:bCs/>
              </w:rPr>
              <w:t xml:space="preserve"> necessary to achieve its purpose? </w:t>
            </w:r>
          </w:p>
        </w:tc>
      </w:tr>
      <w:tr w:rsidR="000D4D90" w14:paraId="2382217F" w14:textId="77777777" w:rsidTr="005D31DD">
        <w:tc>
          <w:tcPr>
            <w:tcW w:w="562" w:type="dxa"/>
          </w:tcPr>
          <w:p w14:paraId="10899F1B" w14:textId="77777777" w:rsidR="000D4D90" w:rsidRDefault="000D4D90" w:rsidP="005D31DD">
            <w:pPr>
              <w:pStyle w:val="BodyText"/>
              <w:rPr>
                <w:rFonts w:asciiTheme="minorHAnsi" w:hAnsiTheme="minorHAnsi" w:cstheme="minorHAnsi"/>
                <w:b/>
                <w:szCs w:val="24"/>
              </w:rPr>
            </w:pPr>
          </w:p>
        </w:tc>
        <w:tc>
          <w:tcPr>
            <w:tcW w:w="8454" w:type="dxa"/>
          </w:tcPr>
          <w:p w14:paraId="0AA97F37" w14:textId="77777777" w:rsidR="000D4D90" w:rsidRPr="00044255" w:rsidRDefault="000D4D90" w:rsidP="005D31DD">
            <w:pPr>
              <w:rPr>
                <w:rFonts w:asciiTheme="minorHAnsi" w:hAnsiTheme="minorHAnsi" w:cstheme="minorHAnsi"/>
                <w:bCs/>
                <w:szCs w:val="24"/>
              </w:rPr>
            </w:pPr>
            <w:r>
              <w:rPr>
                <w:rFonts w:asciiTheme="minorHAnsi" w:hAnsiTheme="minorHAnsi" w:cstheme="minorHAnsi"/>
                <w:bCs/>
                <w:szCs w:val="24"/>
              </w:rPr>
              <w:t>Answer:</w:t>
            </w:r>
          </w:p>
        </w:tc>
      </w:tr>
    </w:tbl>
    <w:p w14:paraId="524BC7AC" w14:textId="77777777" w:rsidR="000D4D90" w:rsidRDefault="000D4D90" w:rsidP="000D4D90">
      <w:pPr>
        <w:rPr>
          <w:rFonts w:asciiTheme="minorHAnsi" w:hAnsiTheme="minorHAnsi" w:cstheme="minorHAnsi"/>
          <w:b/>
          <w:szCs w:val="24"/>
        </w:rPr>
      </w:pPr>
    </w:p>
    <w:p w14:paraId="3634776C" w14:textId="4B909C31" w:rsidR="000D4D90" w:rsidRDefault="000D4D90" w:rsidP="000D4D90">
      <w:pPr>
        <w:pStyle w:val="Heading1"/>
        <w:numPr>
          <w:ilvl w:val="0"/>
          <w:numId w:val="48"/>
        </w:numPr>
        <w:tabs>
          <w:tab w:val="num" w:pos="360"/>
        </w:tabs>
        <w:ind w:left="0" w:firstLine="0"/>
      </w:pPr>
      <w:r>
        <w:t>Questions relating to i</w:t>
      </w:r>
      <w:r w:rsidRPr="00BE41F2">
        <w:t>nnovation</w:t>
      </w:r>
      <w:r>
        <w:t xml:space="preserve"> and sandboxing</w:t>
      </w:r>
      <w:r w:rsidR="00281914">
        <w:rPr>
          <w:rStyle w:val="FootnoteReference"/>
        </w:rPr>
        <w:footnoteReference w:id="8"/>
      </w:r>
    </w:p>
    <w:p w14:paraId="6F82AB33" w14:textId="77777777" w:rsidR="00364F8C" w:rsidRPr="00364F8C" w:rsidRDefault="00364F8C" w:rsidP="00364F8C">
      <w:pPr>
        <w:pStyle w:val="BodyText"/>
      </w:pP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562"/>
        <w:gridCol w:w="8454"/>
      </w:tblGrid>
      <w:tr w:rsidR="000D4D90" w14:paraId="64137E9F" w14:textId="77777777" w:rsidTr="005D31DD">
        <w:tc>
          <w:tcPr>
            <w:tcW w:w="562" w:type="dxa"/>
          </w:tcPr>
          <w:p w14:paraId="15D64B0B" w14:textId="77777777" w:rsidR="000D4D90" w:rsidRDefault="000D4D90" w:rsidP="005D31DD">
            <w:pPr>
              <w:pStyle w:val="BodyText"/>
              <w:rPr>
                <w:lang w:val="en-US"/>
              </w:rPr>
            </w:pPr>
            <w:r>
              <w:rPr>
                <w:b/>
              </w:rPr>
              <w:t>D</w:t>
            </w:r>
            <w:r w:rsidRPr="007D51C0">
              <w:rPr>
                <w:b/>
              </w:rPr>
              <w:t>1.</w:t>
            </w:r>
          </w:p>
        </w:tc>
        <w:tc>
          <w:tcPr>
            <w:tcW w:w="8454" w:type="dxa"/>
          </w:tcPr>
          <w:p w14:paraId="5909B28C" w14:textId="77777777" w:rsidR="000D4D90" w:rsidRPr="009367E2" w:rsidRDefault="000D4D90" w:rsidP="005D31DD">
            <w:pPr>
              <w:rPr>
                <w:b/>
                <w:bCs/>
                <w:sz w:val="22"/>
                <w:lang w:eastAsia="en-NZ"/>
              </w:rPr>
            </w:pPr>
            <w:r w:rsidRPr="009367E2">
              <w:rPr>
                <w:b/>
                <w:bCs/>
              </w:rPr>
              <w:t xml:space="preserve">Currently, the </w:t>
            </w:r>
            <w:r>
              <w:rPr>
                <w:b/>
                <w:bCs/>
              </w:rPr>
              <w:t>implementation details</w:t>
            </w:r>
            <w:r w:rsidRPr="009367E2">
              <w:rPr>
                <w:b/>
                <w:bCs/>
              </w:rPr>
              <w:t xml:space="preserve"> of the innovation project allowance and the size of the allowance paid out following successful project</w:t>
            </w:r>
            <w:r>
              <w:rPr>
                <w:b/>
                <w:bCs/>
              </w:rPr>
              <w:t>s ar</w:t>
            </w:r>
            <w:r w:rsidRPr="009367E2">
              <w:rPr>
                <w:b/>
                <w:bCs/>
              </w:rPr>
              <w:t xml:space="preserve">e determined as part of the DPP </w:t>
            </w:r>
            <w:r>
              <w:rPr>
                <w:b/>
                <w:bCs/>
              </w:rPr>
              <w:t xml:space="preserve">reset </w:t>
            </w:r>
            <w:r w:rsidRPr="009367E2">
              <w:rPr>
                <w:b/>
                <w:bCs/>
              </w:rPr>
              <w:t xml:space="preserve">rather than in the IMs. Are there any changes to </w:t>
            </w:r>
            <w:r>
              <w:rPr>
                <w:b/>
                <w:bCs/>
              </w:rPr>
              <w:t>the</w:t>
            </w:r>
            <w:r w:rsidRPr="009367E2">
              <w:rPr>
                <w:b/>
                <w:bCs/>
              </w:rPr>
              <w:t xml:space="preserve"> IM</w:t>
            </w:r>
            <w:r>
              <w:rPr>
                <w:b/>
                <w:bCs/>
              </w:rPr>
              <w:t>s</w:t>
            </w:r>
            <w:r>
              <w:rPr>
                <w:rStyle w:val="FootnoteReference"/>
                <w:b/>
                <w:bCs/>
              </w:rPr>
              <w:footnoteReference w:id="9"/>
            </w:r>
            <w:r>
              <w:rPr>
                <w:b/>
                <w:bCs/>
              </w:rPr>
              <w:t xml:space="preserve"> </w:t>
            </w:r>
            <w:r w:rsidRPr="009367E2">
              <w:rPr>
                <w:b/>
                <w:bCs/>
              </w:rPr>
              <w:t xml:space="preserve">we should consider to better enable innovation? </w:t>
            </w:r>
          </w:p>
        </w:tc>
      </w:tr>
      <w:tr w:rsidR="000D4D90" w14:paraId="53C73CE5" w14:textId="77777777" w:rsidTr="005D31DD">
        <w:tc>
          <w:tcPr>
            <w:tcW w:w="562" w:type="dxa"/>
          </w:tcPr>
          <w:p w14:paraId="5AED8AD4" w14:textId="77777777" w:rsidR="000D4D90" w:rsidRDefault="000D4D90" w:rsidP="005D31DD">
            <w:pPr>
              <w:pStyle w:val="BodyText"/>
              <w:rPr>
                <w:lang w:val="en-US"/>
              </w:rPr>
            </w:pPr>
          </w:p>
        </w:tc>
        <w:tc>
          <w:tcPr>
            <w:tcW w:w="8454" w:type="dxa"/>
          </w:tcPr>
          <w:p w14:paraId="65F3C486" w14:textId="77777777" w:rsidR="000D4D90" w:rsidRPr="00FA1775" w:rsidRDefault="000D4D90" w:rsidP="005D31DD">
            <w:pPr>
              <w:rPr>
                <w:rFonts w:asciiTheme="minorHAnsi" w:hAnsiTheme="minorHAnsi" w:cstheme="minorHAnsi"/>
                <w:bCs/>
                <w:szCs w:val="24"/>
              </w:rPr>
            </w:pPr>
            <w:r w:rsidRPr="00FA1775">
              <w:rPr>
                <w:rFonts w:asciiTheme="minorHAnsi" w:hAnsiTheme="minorHAnsi" w:cstheme="minorHAnsi"/>
                <w:bCs/>
                <w:szCs w:val="24"/>
              </w:rPr>
              <w:t>Answer:</w:t>
            </w:r>
          </w:p>
        </w:tc>
      </w:tr>
      <w:tr w:rsidR="000D4D90" w14:paraId="44961792" w14:textId="77777777" w:rsidTr="005D31DD">
        <w:tc>
          <w:tcPr>
            <w:tcW w:w="562" w:type="dxa"/>
          </w:tcPr>
          <w:p w14:paraId="1D77EC78" w14:textId="77777777" w:rsidR="000D4D90" w:rsidRDefault="000D4D90" w:rsidP="005D31DD">
            <w:pPr>
              <w:pStyle w:val="BodyText"/>
              <w:rPr>
                <w:rFonts w:asciiTheme="minorHAnsi" w:hAnsiTheme="minorHAnsi" w:cstheme="minorHAnsi"/>
                <w:b/>
                <w:szCs w:val="24"/>
              </w:rPr>
            </w:pPr>
            <w:r>
              <w:rPr>
                <w:rFonts w:asciiTheme="minorHAnsi" w:hAnsiTheme="minorHAnsi" w:cstheme="minorHAnsi"/>
                <w:b/>
                <w:szCs w:val="24"/>
              </w:rPr>
              <w:t>D2.</w:t>
            </w:r>
          </w:p>
        </w:tc>
        <w:tc>
          <w:tcPr>
            <w:tcW w:w="8454" w:type="dxa"/>
          </w:tcPr>
          <w:p w14:paraId="1CB771D1" w14:textId="77777777" w:rsidR="000D4D90" w:rsidRPr="00BF77F9" w:rsidRDefault="000D4D90" w:rsidP="005D31DD">
            <w:pPr>
              <w:rPr>
                <w:b/>
                <w:bCs/>
                <w:sz w:val="22"/>
                <w:lang w:eastAsia="en-NZ"/>
              </w:rPr>
            </w:pPr>
            <w:r w:rsidRPr="009367E2">
              <w:rPr>
                <w:b/>
                <w:bCs/>
              </w:rPr>
              <w:t>Are there innovative projects or initiatives in the supply of electricity distribution services that you consider the</w:t>
            </w:r>
            <w:r>
              <w:rPr>
                <w:b/>
                <w:bCs/>
              </w:rPr>
              <w:t xml:space="preserve"> current IM and DPP settings</w:t>
            </w:r>
            <w:r w:rsidRPr="009367E2">
              <w:rPr>
                <w:b/>
                <w:bCs/>
              </w:rPr>
              <w:t xml:space="preserve"> prevent you from doing? If so, it would be helpful if you could give examples of business cases </w:t>
            </w:r>
            <w:r>
              <w:rPr>
                <w:b/>
                <w:bCs/>
              </w:rPr>
              <w:t>you did not take forward</w:t>
            </w:r>
            <w:r w:rsidRPr="009367E2">
              <w:rPr>
                <w:b/>
                <w:bCs/>
              </w:rPr>
              <w:t xml:space="preserve"> or </w:t>
            </w:r>
            <w:r>
              <w:rPr>
                <w:b/>
                <w:bCs/>
              </w:rPr>
              <w:t>that you consider</w:t>
            </w:r>
            <w:r w:rsidRPr="009367E2">
              <w:rPr>
                <w:b/>
                <w:bCs/>
              </w:rPr>
              <w:t xml:space="preserve"> would not be possible under the current regime.</w:t>
            </w:r>
          </w:p>
        </w:tc>
      </w:tr>
      <w:tr w:rsidR="000D4D90" w14:paraId="4DF2AD9A" w14:textId="77777777" w:rsidTr="005D31DD">
        <w:tc>
          <w:tcPr>
            <w:tcW w:w="562" w:type="dxa"/>
          </w:tcPr>
          <w:p w14:paraId="4D13222A" w14:textId="77777777" w:rsidR="000D4D90" w:rsidRDefault="000D4D90" w:rsidP="005D31DD">
            <w:pPr>
              <w:pStyle w:val="BodyText"/>
              <w:rPr>
                <w:lang w:val="en-US"/>
              </w:rPr>
            </w:pPr>
          </w:p>
        </w:tc>
        <w:tc>
          <w:tcPr>
            <w:tcW w:w="8454" w:type="dxa"/>
          </w:tcPr>
          <w:p w14:paraId="72129533" w14:textId="77777777" w:rsidR="000D4D90" w:rsidRDefault="000D4D90" w:rsidP="005D31DD">
            <w:pPr>
              <w:pStyle w:val="BodyText"/>
              <w:rPr>
                <w:lang w:val="en-US"/>
              </w:rPr>
            </w:pPr>
            <w:r>
              <w:rPr>
                <w:lang w:val="en-US"/>
              </w:rPr>
              <w:t>Answer:</w:t>
            </w:r>
          </w:p>
        </w:tc>
      </w:tr>
      <w:tr w:rsidR="000D4D90" w14:paraId="0BCFB8DB" w14:textId="77777777" w:rsidTr="005D31DD">
        <w:tc>
          <w:tcPr>
            <w:tcW w:w="562" w:type="dxa"/>
          </w:tcPr>
          <w:p w14:paraId="71FAD252" w14:textId="77777777" w:rsidR="000D4D90" w:rsidRDefault="000D4D90" w:rsidP="005D31DD">
            <w:pPr>
              <w:pStyle w:val="BodyText"/>
              <w:rPr>
                <w:rFonts w:asciiTheme="minorHAnsi" w:hAnsiTheme="minorHAnsi" w:cstheme="minorHAnsi"/>
                <w:b/>
                <w:szCs w:val="24"/>
              </w:rPr>
            </w:pPr>
            <w:r>
              <w:rPr>
                <w:rFonts w:asciiTheme="minorHAnsi" w:hAnsiTheme="minorHAnsi" w:cstheme="minorHAnsi"/>
                <w:b/>
                <w:szCs w:val="24"/>
              </w:rPr>
              <w:t>D3.</w:t>
            </w:r>
          </w:p>
        </w:tc>
        <w:tc>
          <w:tcPr>
            <w:tcW w:w="8454" w:type="dxa"/>
          </w:tcPr>
          <w:p w14:paraId="3E638AC7" w14:textId="77777777" w:rsidR="000D4D90" w:rsidRPr="00BF77F9" w:rsidRDefault="000D4D90" w:rsidP="005D31DD">
            <w:pPr>
              <w:pStyle w:val="paragraph"/>
              <w:spacing w:before="0" w:beforeAutospacing="0" w:after="0" w:afterAutospacing="0"/>
              <w:textAlignment w:val="baseline"/>
              <w:rPr>
                <w:rFonts w:asciiTheme="minorHAnsi" w:hAnsiTheme="minorHAnsi" w:cstheme="minorBidi"/>
                <w:b/>
                <w:bCs/>
                <w:lang w:val="en-US"/>
              </w:rPr>
            </w:pPr>
            <w:r w:rsidRPr="009367E2">
              <w:rPr>
                <w:rStyle w:val="normaltextrun"/>
                <w:rFonts w:asciiTheme="minorHAnsi" w:hAnsiTheme="minorHAnsi" w:cstheme="minorBidi"/>
                <w:b/>
                <w:bCs/>
                <w:color w:val="262626"/>
                <w:position w:val="1"/>
              </w:rPr>
              <w:t>Innovative activities and projects can be riskier than business-as-usual activities and projects</w:t>
            </w:r>
            <w:r>
              <w:rPr>
                <w:rStyle w:val="normaltextrun"/>
                <w:rFonts w:asciiTheme="minorHAnsi" w:hAnsiTheme="minorHAnsi" w:cstheme="minorBidi"/>
                <w:b/>
                <w:bCs/>
                <w:color w:val="262626"/>
                <w:position w:val="1"/>
              </w:rPr>
              <w:t>.</w:t>
            </w:r>
            <w:r w:rsidRPr="009367E2">
              <w:rPr>
                <w:rStyle w:val="normaltextrun"/>
                <w:rFonts w:asciiTheme="minorHAnsi" w:hAnsiTheme="minorHAnsi" w:cstheme="minorBidi"/>
                <w:b/>
                <w:bCs/>
                <w:color w:val="262626"/>
                <w:position w:val="1"/>
              </w:rPr>
              <w:t xml:space="preserve"> </w:t>
            </w:r>
            <w:r>
              <w:rPr>
                <w:rStyle w:val="normaltextrun"/>
                <w:rFonts w:asciiTheme="minorHAnsi" w:hAnsiTheme="minorHAnsi" w:cstheme="minorBidi"/>
                <w:b/>
                <w:bCs/>
                <w:color w:val="262626"/>
                <w:position w:val="1"/>
              </w:rPr>
              <w:t>C</w:t>
            </w:r>
            <w:r w:rsidRPr="009367E2">
              <w:rPr>
                <w:rStyle w:val="normaltextrun"/>
                <w:rFonts w:asciiTheme="minorHAnsi" w:hAnsiTheme="minorHAnsi" w:cstheme="minorBidi"/>
                <w:b/>
                <w:bCs/>
                <w:color w:val="262626"/>
                <w:position w:val="1"/>
              </w:rPr>
              <w:t>an you describe the downside risks associated with innovation under the current regulatory rules, and if possible, quantify those risks?</w:t>
            </w:r>
          </w:p>
        </w:tc>
      </w:tr>
      <w:tr w:rsidR="000D4D90" w14:paraId="3FA3D8AE" w14:textId="77777777" w:rsidTr="005D31DD">
        <w:tc>
          <w:tcPr>
            <w:tcW w:w="562" w:type="dxa"/>
          </w:tcPr>
          <w:p w14:paraId="3AF364C1" w14:textId="77777777" w:rsidR="000D4D90" w:rsidRDefault="000D4D90" w:rsidP="005D31DD">
            <w:pPr>
              <w:pStyle w:val="BodyText"/>
              <w:rPr>
                <w:rFonts w:asciiTheme="minorHAnsi" w:hAnsiTheme="minorHAnsi" w:cstheme="minorHAnsi"/>
                <w:b/>
                <w:szCs w:val="24"/>
              </w:rPr>
            </w:pPr>
          </w:p>
        </w:tc>
        <w:tc>
          <w:tcPr>
            <w:tcW w:w="8454" w:type="dxa"/>
          </w:tcPr>
          <w:p w14:paraId="266D069F" w14:textId="77777777" w:rsidR="000D4D90" w:rsidRPr="009367E2" w:rsidRDefault="000D4D90" w:rsidP="005D31DD">
            <w:pPr>
              <w:rPr>
                <w:rFonts w:asciiTheme="minorHAnsi" w:hAnsiTheme="minorHAnsi" w:cstheme="minorHAnsi"/>
                <w:bCs/>
                <w:szCs w:val="24"/>
              </w:rPr>
            </w:pPr>
            <w:r w:rsidRPr="009367E2">
              <w:rPr>
                <w:rFonts w:asciiTheme="minorHAnsi" w:hAnsiTheme="minorHAnsi" w:cstheme="minorHAnsi"/>
                <w:bCs/>
                <w:szCs w:val="24"/>
              </w:rPr>
              <w:t>Answer:</w:t>
            </w:r>
          </w:p>
        </w:tc>
      </w:tr>
      <w:tr w:rsidR="000D4D90" w14:paraId="4F3E9DB3" w14:textId="77777777" w:rsidTr="005D31DD">
        <w:tc>
          <w:tcPr>
            <w:tcW w:w="562" w:type="dxa"/>
          </w:tcPr>
          <w:p w14:paraId="0BBC59AA" w14:textId="77777777" w:rsidR="000D4D90" w:rsidRDefault="000D4D90" w:rsidP="005D31DD">
            <w:pPr>
              <w:pStyle w:val="BodyText"/>
              <w:rPr>
                <w:rFonts w:asciiTheme="minorHAnsi" w:hAnsiTheme="minorHAnsi" w:cstheme="minorHAnsi"/>
                <w:b/>
                <w:szCs w:val="24"/>
              </w:rPr>
            </w:pPr>
            <w:r>
              <w:rPr>
                <w:rFonts w:asciiTheme="minorHAnsi" w:hAnsiTheme="minorHAnsi" w:cstheme="minorHAnsi"/>
                <w:b/>
                <w:szCs w:val="24"/>
              </w:rPr>
              <w:t>D4.</w:t>
            </w:r>
          </w:p>
        </w:tc>
        <w:tc>
          <w:tcPr>
            <w:tcW w:w="8454" w:type="dxa"/>
          </w:tcPr>
          <w:p w14:paraId="53C8890D" w14:textId="4BA405C7" w:rsidR="000D4D90" w:rsidRPr="008E5576" w:rsidRDefault="000D4D90" w:rsidP="005D31DD">
            <w:pPr>
              <w:pStyle w:val="paragraph"/>
              <w:spacing w:before="0" w:beforeAutospacing="0" w:after="0" w:afterAutospacing="0"/>
              <w:textAlignment w:val="baseline"/>
              <w:rPr>
                <w:rFonts w:asciiTheme="minorHAnsi" w:hAnsiTheme="minorHAnsi" w:cstheme="minorHAnsi"/>
                <w:b/>
                <w:lang w:val="en-US"/>
              </w:rPr>
            </w:pPr>
            <w:r w:rsidRPr="00BF77F9">
              <w:rPr>
                <w:rStyle w:val="normaltextrun"/>
                <w:rFonts w:asciiTheme="minorHAnsi" w:hAnsiTheme="minorHAnsi" w:cstheme="minorBidi"/>
                <w:b/>
                <w:bCs/>
                <w:color w:val="262626"/>
                <w:position w:val="1"/>
              </w:rPr>
              <w:t xml:space="preserve">Given that </w:t>
            </w:r>
            <w:r w:rsidRPr="008E5576">
              <w:rPr>
                <w:rStyle w:val="normaltextrun"/>
                <w:rFonts w:ascii="Calibri" w:hAnsi="Calibri" w:cs="Calibri"/>
                <w:b/>
                <w:color w:val="262626"/>
                <w:position w:val="1"/>
              </w:rPr>
              <w:t xml:space="preserve">innovation is risky, who </w:t>
            </w:r>
            <w:r w:rsidR="00370329" w:rsidRPr="008E5576">
              <w:rPr>
                <w:rStyle w:val="normaltextrun"/>
                <w:rFonts w:ascii="Calibri" w:hAnsi="Calibri" w:cs="Calibri"/>
                <w:b/>
                <w:color w:val="262626"/>
                <w:position w:val="1"/>
              </w:rPr>
              <w:t>do you consider</w:t>
            </w:r>
            <w:r w:rsidRPr="008E5576">
              <w:rPr>
                <w:rStyle w:val="normaltextrun"/>
                <w:rFonts w:ascii="Calibri" w:hAnsi="Calibri" w:cs="Calibri"/>
                <w:b/>
                <w:color w:val="262626"/>
                <w:position w:val="1"/>
              </w:rPr>
              <w:t xml:space="preserve"> is better suited to bear the downside r</w:t>
            </w:r>
            <w:r w:rsidRPr="00BF77F9">
              <w:rPr>
                <w:rStyle w:val="normaltextrun"/>
                <w:rFonts w:asciiTheme="minorHAnsi" w:hAnsiTheme="minorHAnsi" w:cstheme="minorBidi"/>
                <w:b/>
                <w:bCs/>
                <w:color w:val="262626"/>
                <w:position w:val="1"/>
              </w:rPr>
              <w:t>isk</w:t>
            </w:r>
            <w:r>
              <w:rPr>
                <w:rStyle w:val="normaltextrun"/>
                <w:rFonts w:asciiTheme="minorHAnsi" w:hAnsiTheme="minorHAnsi" w:cstheme="minorBidi"/>
                <w:b/>
                <w:bCs/>
                <w:color w:val="262626"/>
                <w:position w:val="1"/>
              </w:rPr>
              <w:t xml:space="preserve"> </w:t>
            </w:r>
            <w:r w:rsidRPr="00BF77F9">
              <w:rPr>
                <w:rStyle w:val="normaltextrun"/>
                <w:rFonts w:asciiTheme="minorHAnsi" w:hAnsiTheme="minorHAnsi" w:cstheme="minorBidi"/>
                <w:b/>
                <w:bCs/>
                <w:color w:val="262626"/>
                <w:position w:val="1"/>
              </w:rPr>
              <w:t>under Part 4 regulation</w:t>
            </w:r>
            <w:r>
              <w:rPr>
                <w:rStyle w:val="normaltextrun"/>
                <w:rFonts w:asciiTheme="minorHAnsi" w:hAnsiTheme="minorHAnsi" w:cstheme="minorBidi"/>
                <w:b/>
                <w:bCs/>
                <w:color w:val="262626"/>
                <w:position w:val="1"/>
              </w:rPr>
              <w:t xml:space="preserve"> – </w:t>
            </w:r>
            <w:r w:rsidRPr="00BF77F9">
              <w:rPr>
                <w:rStyle w:val="normaltextrun"/>
                <w:rFonts w:asciiTheme="minorHAnsi" w:hAnsiTheme="minorHAnsi" w:cstheme="minorBidi"/>
                <w:b/>
                <w:bCs/>
                <w:color w:val="262626"/>
                <w:position w:val="1"/>
              </w:rPr>
              <w:t>suppliers or consumers</w:t>
            </w:r>
            <w:r>
              <w:rPr>
                <w:rStyle w:val="normaltextrun"/>
                <w:rFonts w:asciiTheme="minorHAnsi" w:hAnsiTheme="minorHAnsi" w:cstheme="minorBidi"/>
                <w:b/>
                <w:bCs/>
                <w:color w:val="262626"/>
                <w:position w:val="1"/>
              </w:rPr>
              <w:t>?</w:t>
            </w:r>
            <w:r w:rsidR="008E5576">
              <w:rPr>
                <w:rStyle w:val="normaltextrun"/>
                <w:rFonts w:asciiTheme="minorHAnsi" w:hAnsiTheme="minorHAnsi" w:cstheme="minorBidi"/>
                <w:b/>
                <w:bCs/>
                <w:color w:val="262626"/>
                <w:position w:val="1"/>
              </w:rPr>
              <w:t xml:space="preserve"> </w:t>
            </w:r>
            <w:r w:rsidR="008E5576">
              <w:rPr>
                <w:rStyle w:val="normaltextrun"/>
                <w:rFonts w:asciiTheme="minorHAnsi" w:hAnsiTheme="minorHAnsi" w:cstheme="minorHAnsi"/>
                <w:b/>
                <w:bCs/>
                <w:color w:val="262626"/>
                <w:position w:val="1"/>
              </w:rPr>
              <w:t>What is your rationale for this?</w:t>
            </w:r>
          </w:p>
        </w:tc>
      </w:tr>
      <w:tr w:rsidR="000D4D90" w14:paraId="14195444" w14:textId="77777777" w:rsidTr="005D31DD">
        <w:tc>
          <w:tcPr>
            <w:tcW w:w="562" w:type="dxa"/>
          </w:tcPr>
          <w:p w14:paraId="3034BE09" w14:textId="77777777" w:rsidR="000D4D90" w:rsidRDefault="000D4D90" w:rsidP="005D31DD">
            <w:pPr>
              <w:pStyle w:val="BodyText"/>
              <w:rPr>
                <w:rFonts w:asciiTheme="minorHAnsi" w:hAnsiTheme="minorHAnsi" w:cstheme="minorHAnsi"/>
                <w:b/>
                <w:szCs w:val="24"/>
              </w:rPr>
            </w:pPr>
          </w:p>
        </w:tc>
        <w:tc>
          <w:tcPr>
            <w:tcW w:w="8454" w:type="dxa"/>
          </w:tcPr>
          <w:p w14:paraId="726B2939" w14:textId="77777777" w:rsidR="000D4D90" w:rsidRPr="009367E2" w:rsidRDefault="000D4D90" w:rsidP="005D31DD">
            <w:pPr>
              <w:rPr>
                <w:rFonts w:asciiTheme="minorHAnsi" w:hAnsiTheme="minorHAnsi" w:cstheme="minorHAnsi"/>
                <w:bCs/>
                <w:szCs w:val="24"/>
              </w:rPr>
            </w:pPr>
            <w:r w:rsidRPr="009367E2">
              <w:rPr>
                <w:rFonts w:asciiTheme="minorHAnsi" w:hAnsiTheme="minorHAnsi" w:cstheme="minorHAnsi"/>
                <w:bCs/>
                <w:szCs w:val="24"/>
              </w:rPr>
              <w:t>Answer:</w:t>
            </w:r>
          </w:p>
        </w:tc>
      </w:tr>
      <w:tr w:rsidR="000D4D90" w14:paraId="5EB2AC1C" w14:textId="77777777" w:rsidTr="005D31DD">
        <w:tc>
          <w:tcPr>
            <w:tcW w:w="562" w:type="dxa"/>
          </w:tcPr>
          <w:p w14:paraId="2AC25F30" w14:textId="77777777" w:rsidR="000D4D90" w:rsidRDefault="000D4D90" w:rsidP="005D31DD">
            <w:pPr>
              <w:pStyle w:val="BodyText"/>
              <w:rPr>
                <w:rFonts w:asciiTheme="minorHAnsi" w:hAnsiTheme="minorHAnsi" w:cstheme="minorHAnsi"/>
                <w:b/>
                <w:szCs w:val="24"/>
              </w:rPr>
            </w:pPr>
            <w:r>
              <w:rPr>
                <w:rFonts w:asciiTheme="minorHAnsi" w:hAnsiTheme="minorHAnsi" w:cstheme="minorHAnsi"/>
                <w:b/>
                <w:szCs w:val="24"/>
              </w:rPr>
              <w:t>D5.</w:t>
            </w:r>
          </w:p>
        </w:tc>
        <w:tc>
          <w:tcPr>
            <w:tcW w:w="8454" w:type="dxa"/>
          </w:tcPr>
          <w:p w14:paraId="7DCA8DE6" w14:textId="153FF392" w:rsidR="000D4D90" w:rsidRPr="00975869" w:rsidRDefault="00AA6197" w:rsidP="005D31DD">
            <w:pPr>
              <w:pStyle w:val="paragraph"/>
              <w:spacing w:before="0" w:beforeAutospacing="0" w:after="0" w:afterAutospacing="0"/>
              <w:textAlignment w:val="baseline"/>
              <w:rPr>
                <w:rFonts w:asciiTheme="minorHAnsi" w:hAnsiTheme="minorHAnsi" w:cstheme="minorBidi"/>
                <w:b/>
                <w:bCs/>
                <w:lang w:val="en-US"/>
              </w:rPr>
            </w:pPr>
            <w:r>
              <w:rPr>
                <w:rStyle w:val="normaltextrun"/>
                <w:rFonts w:asciiTheme="minorHAnsi" w:hAnsiTheme="minorHAnsi" w:cstheme="minorBidi"/>
                <w:b/>
                <w:bCs/>
                <w:color w:val="262626" w:themeColor="text1" w:themeTint="D9"/>
              </w:rPr>
              <w:t>W</w:t>
            </w:r>
            <w:r w:rsidRPr="00975869">
              <w:rPr>
                <w:rStyle w:val="normaltextrun"/>
                <w:rFonts w:asciiTheme="minorHAnsi" w:hAnsiTheme="minorHAnsi" w:cstheme="minorBidi"/>
                <w:b/>
                <w:bCs/>
                <w:color w:val="262626" w:themeColor="text1" w:themeTint="D9"/>
              </w:rPr>
              <w:t>hat should compensation look like</w:t>
            </w:r>
            <w:r>
              <w:rPr>
                <w:rStyle w:val="normaltextrun"/>
                <w:rFonts w:asciiTheme="minorHAnsi" w:hAnsiTheme="minorHAnsi" w:cstheme="minorBidi"/>
                <w:b/>
                <w:bCs/>
                <w:color w:val="262626" w:themeColor="text1" w:themeTint="D9"/>
              </w:rPr>
              <w:t xml:space="preserve"> f</w:t>
            </w:r>
            <w:r w:rsidR="000F478A">
              <w:rPr>
                <w:rStyle w:val="normaltextrun"/>
                <w:rFonts w:asciiTheme="minorHAnsi" w:hAnsiTheme="minorHAnsi" w:cstheme="minorBidi"/>
                <w:b/>
                <w:bCs/>
                <w:color w:val="262626" w:themeColor="text1" w:themeTint="D9"/>
              </w:rPr>
              <w:t>or the downside risk retained by suppliers</w:t>
            </w:r>
            <w:r w:rsidR="000D4D90">
              <w:rPr>
                <w:rStyle w:val="normaltextrun"/>
                <w:rFonts w:asciiTheme="minorHAnsi" w:hAnsiTheme="minorHAnsi" w:cstheme="minorBidi"/>
                <w:b/>
                <w:bCs/>
                <w:color w:val="262626" w:themeColor="text1" w:themeTint="D9"/>
              </w:rPr>
              <w:t>?</w:t>
            </w:r>
            <w:r w:rsidR="000D4D90" w:rsidRPr="00975869">
              <w:rPr>
                <w:rStyle w:val="normaltextrun"/>
                <w:rFonts w:asciiTheme="minorHAnsi" w:hAnsiTheme="minorHAnsi" w:cstheme="minorBidi"/>
                <w:b/>
                <w:bCs/>
                <w:color w:val="262626" w:themeColor="text1" w:themeTint="D9"/>
              </w:rPr>
              <w:t xml:space="preserve"> </w:t>
            </w:r>
            <w:r w:rsidR="000D4D90">
              <w:rPr>
                <w:rStyle w:val="normaltextrun"/>
                <w:rFonts w:asciiTheme="minorHAnsi" w:hAnsiTheme="minorHAnsi" w:cstheme="minorBidi"/>
                <w:b/>
                <w:bCs/>
                <w:color w:val="262626" w:themeColor="text1" w:themeTint="D9"/>
              </w:rPr>
              <w:t>W</w:t>
            </w:r>
            <w:r w:rsidR="000D4D90" w:rsidRPr="00975869">
              <w:rPr>
                <w:rStyle w:val="normaltextrun"/>
                <w:rFonts w:asciiTheme="minorHAnsi" w:hAnsiTheme="minorHAnsi" w:cstheme="minorBidi"/>
                <w:b/>
                <w:bCs/>
                <w:color w:val="262626" w:themeColor="text1" w:themeTint="D9"/>
              </w:rPr>
              <w:t xml:space="preserve">hat level of compensation is required </w:t>
            </w:r>
            <w:r w:rsidR="000D4D90" w:rsidRPr="001742B5">
              <w:rPr>
                <w:rStyle w:val="normaltextrun"/>
                <w:rFonts w:asciiTheme="minorHAnsi" w:hAnsiTheme="minorHAnsi" w:cstheme="minorHAnsi"/>
                <w:b/>
                <w:bCs/>
                <w:color w:val="262626" w:themeColor="text1" w:themeTint="D9"/>
              </w:rPr>
              <w:t>to</w:t>
            </w:r>
            <w:r w:rsidR="000D4D90" w:rsidRPr="00975869">
              <w:rPr>
                <w:rStyle w:val="normaltextrun"/>
                <w:rFonts w:asciiTheme="minorHAnsi" w:hAnsiTheme="minorHAnsi" w:cstheme="minorBidi"/>
                <w:b/>
                <w:bCs/>
                <w:color w:val="262626" w:themeColor="text1" w:themeTint="D9"/>
              </w:rPr>
              <w:t xml:space="preserve"> enable efficient innovation considering </w:t>
            </w:r>
            <w:r w:rsidR="000D4D90" w:rsidRPr="00B9556D">
              <w:rPr>
                <w:rStyle w:val="normaltextrun"/>
                <w:rFonts w:asciiTheme="minorHAnsi" w:hAnsiTheme="minorHAnsi" w:cstheme="minorHAnsi"/>
                <w:b/>
                <w:bCs/>
                <w:color w:val="262626" w:themeColor="text1" w:themeTint="D9"/>
              </w:rPr>
              <w:t>these</w:t>
            </w:r>
            <w:r w:rsidR="000D4D90">
              <w:rPr>
                <w:rStyle w:val="normaltextrun"/>
                <w:b/>
                <w:bCs/>
                <w:color w:val="262626" w:themeColor="text1" w:themeTint="D9"/>
              </w:rPr>
              <w:t xml:space="preserve"> </w:t>
            </w:r>
            <w:r w:rsidR="000D4D90" w:rsidRPr="00975869">
              <w:rPr>
                <w:rStyle w:val="normaltextrun"/>
                <w:rFonts w:asciiTheme="minorHAnsi" w:hAnsiTheme="minorHAnsi" w:cstheme="minorBidi"/>
                <w:b/>
                <w:bCs/>
                <w:color w:val="262626" w:themeColor="text1" w:themeTint="D9"/>
              </w:rPr>
              <w:t xml:space="preserve">downside </w:t>
            </w:r>
            <w:r w:rsidR="000D4D90" w:rsidRPr="001742B5">
              <w:rPr>
                <w:rStyle w:val="normaltextrun"/>
                <w:rFonts w:asciiTheme="minorHAnsi" w:hAnsiTheme="minorHAnsi" w:cstheme="minorHAnsi"/>
                <w:b/>
                <w:bCs/>
                <w:color w:val="262626" w:themeColor="text1" w:themeTint="D9"/>
              </w:rPr>
              <w:t>risks</w:t>
            </w:r>
            <w:r w:rsidR="000D4D90" w:rsidRPr="00975869">
              <w:rPr>
                <w:rStyle w:val="normaltextrun"/>
                <w:rFonts w:asciiTheme="minorHAnsi" w:hAnsiTheme="minorHAnsi" w:cstheme="minorBidi"/>
                <w:b/>
                <w:bCs/>
                <w:color w:val="262626" w:themeColor="text1" w:themeTint="D9"/>
              </w:rPr>
              <w:t>?</w:t>
            </w:r>
          </w:p>
        </w:tc>
      </w:tr>
      <w:tr w:rsidR="000D4D90" w14:paraId="33733CB6" w14:textId="77777777" w:rsidTr="005D31DD">
        <w:tc>
          <w:tcPr>
            <w:tcW w:w="562" w:type="dxa"/>
          </w:tcPr>
          <w:p w14:paraId="07819C3F" w14:textId="77777777" w:rsidR="000D4D90" w:rsidRDefault="000D4D90" w:rsidP="005D31DD">
            <w:pPr>
              <w:pStyle w:val="BodyText"/>
              <w:rPr>
                <w:rFonts w:asciiTheme="minorHAnsi" w:hAnsiTheme="minorHAnsi" w:cstheme="minorHAnsi"/>
                <w:b/>
                <w:szCs w:val="24"/>
              </w:rPr>
            </w:pPr>
          </w:p>
        </w:tc>
        <w:tc>
          <w:tcPr>
            <w:tcW w:w="8454" w:type="dxa"/>
          </w:tcPr>
          <w:p w14:paraId="1253C9D9" w14:textId="77777777" w:rsidR="000D4D90" w:rsidRPr="00EB6A1F" w:rsidRDefault="000D4D90" w:rsidP="005D31DD">
            <w:pPr>
              <w:rPr>
                <w:rFonts w:asciiTheme="minorHAnsi" w:hAnsiTheme="minorHAnsi" w:cstheme="minorHAnsi"/>
                <w:bCs/>
                <w:szCs w:val="24"/>
              </w:rPr>
            </w:pPr>
            <w:r w:rsidRPr="00EB6A1F">
              <w:rPr>
                <w:rFonts w:asciiTheme="minorHAnsi" w:hAnsiTheme="minorHAnsi" w:cstheme="minorHAnsi"/>
                <w:bCs/>
                <w:szCs w:val="24"/>
              </w:rPr>
              <w:t>Answer:</w:t>
            </w:r>
          </w:p>
        </w:tc>
      </w:tr>
      <w:tr w:rsidR="000D4D90" w14:paraId="010DA486" w14:textId="77777777" w:rsidTr="005D31DD">
        <w:tc>
          <w:tcPr>
            <w:tcW w:w="562" w:type="dxa"/>
          </w:tcPr>
          <w:p w14:paraId="66ECD267" w14:textId="77777777" w:rsidR="000D4D90" w:rsidRDefault="000D4D90" w:rsidP="005D31DD">
            <w:pPr>
              <w:pStyle w:val="BodyText"/>
              <w:rPr>
                <w:rFonts w:asciiTheme="minorHAnsi" w:hAnsiTheme="minorHAnsi" w:cstheme="minorHAnsi"/>
                <w:b/>
                <w:szCs w:val="24"/>
              </w:rPr>
            </w:pPr>
            <w:r>
              <w:rPr>
                <w:rFonts w:asciiTheme="minorHAnsi" w:hAnsiTheme="minorHAnsi" w:cstheme="minorHAnsi"/>
                <w:b/>
                <w:szCs w:val="24"/>
              </w:rPr>
              <w:t>D6.</w:t>
            </w:r>
          </w:p>
        </w:tc>
        <w:tc>
          <w:tcPr>
            <w:tcW w:w="8454" w:type="dxa"/>
          </w:tcPr>
          <w:p w14:paraId="2650B3C7" w14:textId="77777777" w:rsidR="000D4D90" w:rsidRPr="00975869" w:rsidRDefault="000D4D90" w:rsidP="005D31DD">
            <w:pPr>
              <w:pStyle w:val="paragraph"/>
              <w:spacing w:before="0" w:beforeAutospacing="0" w:after="0" w:afterAutospacing="0"/>
              <w:textAlignment w:val="baseline"/>
              <w:rPr>
                <w:rFonts w:asciiTheme="minorHAnsi" w:hAnsiTheme="minorHAnsi" w:cstheme="minorBidi"/>
                <w:b/>
                <w:bCs/>
              </w:rPr>
            </w:pPr>
            <w:r w:rsidRPr="00975869">
              <w:rPr>
                <w:rStyle w:val="normaltextrun"/>
                <w:rFonts w:asciiTheme="minorHAnsi" w:hAnsiTheme="minorHAnsi" w:cstheme="minorBidi"/>
                <w:b/>
                <w:bCs/>
                <w:color w:val="242424"/>
                <w:position w:val="1"/>
                <w:lang w:val="en-GB"/>
              </w:rPr>
              <w:t xml:space="preserve">What are they key ingredients </w:t>
            </w:r>
            <w:r>
              <w:rPr>
                <w:rStyle w:val="normaltextrun"/>
                <w:rFonts w:asciiTheme="minorHAnsi" w:hAnsiTheme="minorHAnsi" w:cstheme="minorBidi"/>
                <w:b/>
                <w:bCs/>
                <w:color w:val="242424"/>
                <w:position w:val="1"/>
                <w:lang w:val="en-GB"/>
              </w:rPr>
              <w:t xml:space="preserve">of </w:t>
            </w:r>
            <w:r w:rsidRPr="00975869">
              <w:rPr>
                <w:rStyle w:val="normaltextrun"/>
                <w:rFonts w:asciiTheme="minorHAnsi" w:hAnsiTheme="minorHAnsi" w:cstheme="minorBidi"/>
                <w:b/>
                <w:bCs/>
                <w:color w:val="242424"/>
                <w:position w:val="1"/>
                <w:lang w:val="en-GB"/>
              </w:rPr>
              <w:t>a</w:t>
            </w:r>
            <w:r>
              <w:rPr>
                <w:rStyle w:val="normaltextrun"/>
                <w:rFonts w:asciiTheme="minorHAnsi" w:hAnsiTheme="minorHAnsi" w:cstheme="minorBidi"/>
                <w:b/>
                <w:bCs/>
                <w:color w:val="242424"/>
                <w:position w:val="1"/>
                <w:lang w:val="en-GB"/>
              </w:rPr>
              <w:t>n</w:t>
            </w:r>
            <w:r w:rsidRPr="00975869">
              <w:rPr>
                <w:rStyle w:val="normaltextrun"/>
                <w:rFonts w:asciiTheme="minorHAnsi" w:hAnsiTheme="minorHAnsi" w:cstheme="minorBidi"/>
                <w:b/>
                <w:bCs/>
                <w:color w:val="242424"/>
                <w:position w:val="1"/>
                <w:lang w:val="en-GB"/>
              </w:rPr>
              <w:t xml:space="preserve"> </w:t>
            </w:r>
            <w:r>
              <w:rPr>
                <w:rStyle w:val="normaltextrun"/>
                <w:rFonts w:asciiTheme="minorHAnsi" w:hAnsiTheme="minorHAnsi" w:cstheme="minorBidi"/>
                <w:b/>
                <w:bCs/>
                <w:color w:val="242424"/>
                <w:position w:val="1"/>
                <w:lang w:val="en-GB"/>
              </w:rPr>
              <w:t>effective</w:t>
            </w:r>
            <w:r w:rsidRPr="00975869">
              <w:rPr>
                <w:rStyle w:val="normaltextrun"/>
                <w:rFonts w:asciiTheme="minorHAnsi" w:hAnsiTheme="minorHAnsi" w:cstheme="minorBidi"/>
                <w:b/>
                <w:bCs/>
                <w:color w:val="242424"/>
                <w:position w:val="1"/>
                <w:lang w:val="en-GB"/>
              </w:rPr>
              <w:t xml:space="preserve"> regulatory sandbox?  What aspects of the regulatory sandboxes implemented by the AER</w:t>
            </w:r>
            <w:r>
              <w:rPr>
                <w:rStyle w:val="FootnoteReference"/>
                <w:rFonts w:asciiTheme="minorHAnsi" w:hAnsiTheme="minorHAnsi" w:cstheme="minorBidi"/>
                <w:b/>
                <w:bCs/>
                <w:color w:val="242424"/>
                <w:position w:val="1"/>
                <w:lang w:val="en-GB"/>
              </w:rPr>
              <w:footnoteReference w:id="10"/>
            </w:r>
            <w:r w:rsidRPr="00975869">
              <w:rPr>
                <w:rStyle w:val="normaltextrun"/>
                <w:rFonts w:asciiTheme="minorHAnsi" w:hAnsiTheme="minorHAnsi" w:cstheme="minorBidi"/>
                <w:b/>
                <w:bCs/>
                <w:color w:val="242424"/>
                <w:position w:val="1"/>
                <w:lang w:val="en-GB"/>
              </w:rPr>
              <w:t>, OEB</w:t>
            </w:r>
            <w:r w:rsidRPr="00975869">
              <w:rPr>
                <w:rStyle w:val="FootnoteReference"/>
                <w:rFonts w:asciiTheme="minorHAnsi" w:hAnsiTheme="minorHAnsi" w:cstheme="minorBidi"/>
                <w:b/>
                <w:bCs/>
                <w:color w:val="242424"/>
                <w:position w:val="1"/>
                <w:lang w:val="en-GB"/>
              </w:rPr>
              <w:footnoteReference w:id="11"/>
            </w:r>
            <w:r w:rsidRPr="00975869">
              <w:rPr>
                <w:rStyle w:val="normaltextrun"/>
                <w:rFonts w:asciiTheme="minorHAnsi" w:hAnsiTheme="minorHAnsi" w:cstheme="minorBidi"/>
                <w:b/>
                <w:bCs/>
                <w:color w:val="242424"/>
                <w:position w:val="1"/>
                <w:lang w:val="en-GB"/>
              </w:rPr>
              <w:t xml:space="preserve"> and Ofgem</w:t>
            </w:r>
            <w:r w:rsidRPr="00975869">
              <w:rPr>
                <w:rStyle w:val="FootnoteReference"/>
                <w:rFonts w:asciiTheme="minorHAnsi" w:hAnsiTheme="minorHAnsi" w:cstheme="minorBidi"/>
                <w:b/>
                <w:bCs/>
                <w:color w:val="242424"/>
                <w:position w:val="1"/>
                <w:lang w:val="en-GB"/>
              </w:rPr>
              <w:footnoteReference w:id="12"/>
            </w:r>
            <w:r w:rsidRPr="00975869">
              <w:rPr>
                <w:rStyle w:val="normaltextrun"/>
                <w:rFonts w:asciiTheme="minorHAnsi" w:hAnsiTheme="minorHAnsi" w:cstheme="minorBidi"/>
                <w:b/>
                <w:bCs/>
                <w:color w:val="242424"/>
                <w:position w:val="1"/>
                <w:lang w:val="en-GB"/>
              </w:rPr>
              <w:t xml:space="preserve"> do you consider </w:t>
            </w:r>
            <w:r>
              <w:rPr>
                <w:rStyle w:val="normaltextrun"/>
                <w:rFonts w:asciiTheme="minorHAnsi" w:hAnsiTheme="minorHAnsi" w:cstheme="minorBidi"/>
                <w:b/>
                <w:bCs/>
                <w:color w:val="242424"/>
                <w:position w:val="1"/>
                <w:lang w:val="en-GB"/>
              </w:rPr>
              <w:t>should</w:t>
            </w:r>
            <w:r w:rsidRPr="00975869">
              <w:rPr>
                <w:rStyle w:val="normaltextrun"/>
                <w:rFonts w:asciiTheme="minorHAnsi" w:hAnsiTheme="minorHAnsi" w:cstheme="minorBidi"/>
                <w:b/>
                <w:bCs/>
                <w:color w:val="242424"/>
                <w:position w:val="1"/>
                <w:lang w:val="en-GB"/>
              </w:rPr>
              <w:t xml:space="preserve"> be implemented under Part 4 regulation</w:t>
            </w:r>
            <w:r w:rsidRPr="00975869">
              <w:rPr>
                <w:rStyle w:val="normaltextrun"/>
                <w:rFonts w:asciiTheme="minorHAnsi" w:hAnsiTheme="minorHAnsi" w:cstheme="minorBidi"/>
                <w:b/>
                <w:bCs/>
                <w:color w:val="242424"/>
                <w:lang w:val="en-GB"/>
              </w:rPr>
              <w:t xml:space="preserve"> and why are these elements important for your business</w:t>
            </w:r>
            <w:r w:rsidRPr="00975869">
              <w:rPr>
                <w:rStyle w:val="normaltextrun"/>
                <w:rFonts w:asciiTheme="minorHAnsi" w:hAnsiTheme="minorHAnsi" w:cstheme="minorBidi"/>
                <w:b/>
                <w:bCs/>
                <w:color w:val="242424"/>
                <w:position w:val="1"/>
                <w:lang w:val="en-GB"/>
              </w:rPr>
              <w:t>?</w:t>
            </w:r>
          </w:p>
        </w:tc>
      </w:tr>
      <w:tr w:rsidR="000D4D90" w14:paraId="49493F39" w14:textId="77777777" w:rsidTr="005D31DD">
        <w:tc>
          <w:tcPr>
            <w:tcW w:w="562" w:type="dxa"/>
          </w:tcPr>
          <w:p w14:paraId="036D6A3F" w14:textId="77777777" w:rsidR="000D4D90" w:rsidRDefault="000D4D90" w:rsidP="005D31DD">
            <w:pPr>
              <w:pStyle w:val="BodyText"/>
              <w:rPr>
                <w:rFonts w:asciiTheme="minorHAnsi" w:hAnsiTheme="minorHAnsi" w:cstheme="minorHAnsi"/>
                <w:b/>
                <w:szCs w:val="24"/>
              </w:rPr>
            </w:pPr>
          </w:p>
        </w:tc>
        <w:tc>
          <w:tcPr>
            <w:tcW w:w="8454" w:type="dxa"/>
          </w:tcPr>
          <w:p w14:paraId="1791A3E5" w14:textId="77777777" w:rsidR="000D4D90" w:rsidRPr="00EB6A1F" w:rsidRDefault="000D4D90" w:rsidP="005D31DD">
            <w:pPr>
              <w:rPr>
                <w:rFonts w:asciiTheme="minorHAnsi" w:hAnsiTheme="minorHAnsi" w:cstheme="minorHAnsi"/>
                <w:bCs/>
                <w:szCs w:val="24"/>
              </w:rPr>
            </w:pPr>
            <w:r w:rsidRPr="00EB6A1F">
              <w:rPr>
                <w:rFonts w:asciiTheme="minorHAnsi" w:hAnsiTheme="minorHAnsi" w:cstheme="minorHAnsi"/>
                <w:bCs/>
                <w:szCs w:val="24"/>
              </w:rPr>
              <w:t>Answer:</w:t>
            </w:r>
          </w:p>
        </w:tc>
      </w:tr>
      <w:tr w:rsidR="000D4D90" w14:paraId="28833925" w14:textId="77777777" w:rsidTr="005D31DD">
        <w:tc>
          <w:tcPr>
            <w:tcW w:w="562" w:type="dxa"/>
          </w:tcPr>
          <w:p w14:paraId="1A0B3CAA" w14:textId="77777777" w:rsidR="000D4D90" w:rsidRDefault="000D4D90" w:rsidP="005D31DD">
            <w:pPr>
              <w:pStyle w:val="BodyText"/>
              <w:rPr>
                <w:rFonts w:asciiTheme="minorHAnsi" w:hAnsiTheme="minorHAnsi" w:cstheme="minorHAnsi"/>
                <w:b/>
                <w:szCs w:val="24"/>
              </w:rPr>
            </w:pPr>
            <w:r>
              <w:rPr>
                <w:rFonts w:asciiTheme="minorHAnsi" w:hAnsiTheme="minorHAnsi" w:cstheme="minorHAnsi"/>
                <w:b/>
                <w:szCs w:val="24"/>
              </w:rPr>
              <w:t>D7.</w:t>
            </w:r>
          </w:p>
        </w:tc>
        <w:tc>
          <w:tcPr>
            <w:tcW w:w="8454" w:type="dxa"/>
          </w:tcPr>
          <w:p w14:paraId="3C231256" w14:textId="77777777" w:rsidR="000D4D90" w:rsidRPr="00975869" w:rsidRDefault="000D4D90" w:rsidP="005D31DD">
            <w:pPr>
              <w:pStyle w:val="paragraph"/>
              <w:spacing w:before="0" w:beforeAutospacing="0" w:after="0" w:afterAutospacing="0"/>
              <w:textAlignment w:val="baseline"/>
              <w:rPr>
                <w:rFonts w:asciiTheme="minorHAnsi" w:hAnsiTheme="minorHAnsi" w:cstheme="minorHAnsi"/>
                <w:b/>
                <w:bCs/>
              </w:rPr>
            </w:pPr>
            <w:r w:rsidRPr="00975869">
              <w:rPr>
                <w:rStyle w:val="normaltextrun"/>
                <w:rFonts w:asciiTheme="minorHAnsi" w:hAnsiTheme="minorHAnsi" w:cstheme="minorBidi"/>
                <w:b/>
                <w:bCs/>
                <w:color w:val="242424"/>
                <w:position w:val="1"/>
                <w:lang w:val="en-GB"/>
              </w:rPr>
              <w:t>To what extent should a regulatory sandbox regime under Part 4 focus on each of the following: advice, rule exemptions, trial rule changes and financial incentives?</w:t>
            </w:r>
          </w:p>
        </w:tc>
      </w:tr>
      <w:tr w:rsidR="000D4D90" w14:paraId="5D22C14B" w14:textId="77777777" w:rsidTr="005D31DD">
        <w:tc>
          <w:tcPr>
            <w:tcW w:w="562" w:type="dxa"/>
          </w:tcPr>
          <w:p w14:paraId="4D341A5B" w14:textId="77777777" w:rsidR="000D4D90" w:rsidRDefault="000D4D90" w:rsidP="005D31DD">
            <w:pPr>
              <w:pStyle w:val="BodyText"/>
              <w:rPr>
                <w:rFonts w:asciiTheme="minorHAnsi" w:hAnsiTheme="minorHAnsi" w:cstheme="minorHAnsi"/>
                <w:b/>
                <w:szCs w:val="24"/>
              </w:rPr>
            </w:pPr>
          </w:p>
        </w:tc>
        <w:tc>
          <w:tcPr>
            <w:tcW w:w="8454" w:type="dxa"/>
          </w:tcPr>
          <w:p w14:paraId="62E3EDB2" w14:textId="77777777" w:rsidR="000D4D90" w:rsidRPr="004E7861" w:rsidRDefault="000D4D90" w:rsidP="005D31DD">
            <w:pPr>
              <w:rPr>
                <w:rFonts w:asciiTheme="minorHAnsi" w:hAnsiTheme="minorHAnsi" w:cstheme="minorHAnsi"/>
                <w:bCs/>
                <w:szCs w:val="24"/>
              </w:rPr>
            </w:pPr>
            <w:r w:rsidRPr="004E7861">
              <w:rPr>
                <w:rFonts w:asciiTheme="minorHAnsi" w:hAnsiTheme="minorHAnsi" w:cstheme="minorHAnsi"/>
                <w:bCs/>
                <w:szCs w:val="24"/>
              </w:rPr>
              <w:t>Answer:</w:t>
            </w:r>
          </w:p>
        </w:tc>
      </w:tr>
      <w:tr w:rsidR="000D4D90" w14:paraId="073B6C92" w14:textId="77777777" w:rsidTr="005D31DD">
        <w:tc>
          <w:tcPr>
            <w:tcW w:w="562" w:type="dxa"/>
          </w:tcPr>
          <w:p w14:paraId="195E4F36" w14:textId="77777777" w:rsidR="000D4D90" w:rsidRDefault="000D4D90" w:rsidP="005D31DD">
            <w:pPr>
              <w:pStyle w:val="BodyText"/>
              <w:rPr>
                <w:rFonts w:asciiTheme="minorHAnsi" w:hAnsiTheme="minorHAnsi" w:cstheme="minorHAnsi"/>
                <w:b/>
                <w:szCs w:val="24"/>
              </w:rPr>
            </w:pPr>
            <w:r>
              <w:rPr>
                <w:rFonts w:asciiTheme="minorHAnsi" w:hAnsiTheme="minorHAnsi" w:cstheme="minorHAnsi"/>
                <w:b/>
                <w:szCs w:val="24"/>
              </w:rPr>
              <w:t>D8.</w:t>
            </w:r>
          </w:p>
        </w:tc>
        <w:tc>
          <w:tcPr>
            <w:tcW w:w="8454" w:type="dxa"/>
          </w:tcPr>
          <w:p w14:paraId="521192D9" w14:textId="77777777" w:rsidR="000D4D90" w:rsidRPr="00975869" w:rsidRDefault="000D4D90" w:rsidP="005D31DD">
            <w:pPr>
              <w:pStyle w:val="paragraph"/>
              <w:spacing w:before="0" w:beforeAutospacing="0" w:after="0" w:afterAutospacing="0"/>
              <w:textAlignment w:val="baseline"/>
              <w:rPr>
                <w:b/>
                <w:bCs/>
              </w:rPr>
            </w:pPr>
            <w:r w:rsidRPr="00975869">
              <w:rPr>
                <w:rFonts w:asciiTheme="minorHAnsi" w:hAnsiTheme="minorHAnsi" w:cstheme="minorBidi"/>
                <w:b/>
                <w:bCs/>
                <w:lang w:val="en-US"/>
              </w:rPr>
              <w:t xml:space="preserve">What projects do you have planned that would benefit from the implementation of a regulatory sandbox? </w:t>
            </w:r>
          </w:p>
        </w:tc>
      </w:tr>
      <w:tr w:rsidR="000D4D90" w14:paraId="6560F180" w14:textId="77777777" w:rsidTr="005D31DD">
        <w:tc>
          <w:tcPr>
            <w:tcW w:w="562" w:type="dxa"/>
          </w:tcPr>
          <w:p w14:paraId="0DC0D96F" w14:textId="77777777" w:rsidR="000D4D90" w:rsidRDefault="000D4D90" w:rsidP="005D31DD">
            <w:pPr>
              <w:pStyle w:val="BodyText"/>
              <w:rPr>
                <w:rFonts w:asciiTheme="minorHAnsi" w:hAnsiTheme="minorHAnsi" w:cstheme="minorHAnsi"/>
                <w:b/>
                <w:szCs w:val="24"/>
              </w:rPr>
            </w:pPr>
          </w:p>
        </w:tc>
        <w:tc>
          <w:tcPr>
            <w:tcW w:w="8454" w:type="dxa"/>
          </w:tcPr>
          <w:p w14:paraId="3A623A3C" w14:textId="77777777" w:rsidR="000D4D90" w:rsidRPr="004E7861" w:rsidRDefault="000D4D90" w:rsidP="005D31DD">
            <w:pPr>
              <w:rPr>
                <w:rFonts w:asciiTheme="minorHAnsi" w:hAnsiTheme="minorHAnsi" w:cstheme="minorHAnsi"/>
                <w:bCs/>
                <w:szCs w:val="24"/>
              </w:rPr>
            </w:pPr>
            <w:r w:rsidRPr="004E7861">
              <w:rPr>
                <w:rFonts w:asciiTheme="minorHAnsi" w:hAnsiTheme="minorHAnsi" w:cstheme="minorHAnsi"/>
                <w:bCs/>
                <w:szCs w:val="24"/>
              </w:rPr>
              <w:t>Answer:</w:t>
            </w:r>
          </w:p>
        </w:tc>
      </w:tr>
    </w:tbl>
    <w:p w14:paraId="531DB64E" w14:textId="77777777" w:rsidR="000D4D90" w:rsidRDefault="000D4D90" w:rsidP="000D4D90">
      <w:pPr>
        <w:rPr>
          <w:b/>
        </w:rPr>
      </w:pPr>
    </w:p>
    <w:p w14:paraId="35E7C360" w14:textId="77777777" w:rsidR="000D4D90" w:rsidRDefault="000D4D90" w:rsidP="000D4D90">
      <w:pPr>
        <w:rPr>
          <w:rFonts w:asciiTheme="minorHAnsi" w:hAnsiTheme="minorHAnsi" w:cstheme="minorHAnsi"/>
          <w:b/>
          <w:szCs w:val="24"/>
        </w:rPr>
      </w:pPr>
    </w:p>
    <w:p w14:paraId="173F0914" w14:textId="77777777" w:rsidR="000D4D90" w:rsidRDefault="000D4D90" w:rsidP="000D4D90">
      <w:pPr>
        <w:rPr>
          <w:rFonts w:asciiTheme="minorHAnsi" w:hAnsiTheme="minorHAnsi" w:cstheme="minorHAnsi"/>
          <w:b/>
          <w:szCs w:val="24"/>
        </w:rPr>
      </w:pPr>
    </w:p>
    <w:p w14:paraId="684BF784" w14:textId="77777777" w:rsidR="000D4D90" w:rsidRDefault="000D4D90" w:rsidP="000D4D90">
      <w:pPr>
        <w:rPr>
          <w:rFonts w:asciiTheme="minorHAnsi" w:hAnsiTheme="minorHAnsi" w:cstheme="minorHAnsi"/>
          <w:b/>
          <w:szCs w:val="24"/>
        </w:rPr>
      </w:pPr>
    </w:p>
    <w:p w14:paraId="45636615" w14:textId="77777777" w:rsidR="000D4D90" w:rsidRDefault="000D4D90" w:rsidP="000D4D90">
      <w:pPr>
        <w:rPr>
          <w:rFonts w:asciiTheme="minorHAnsi" w:hAnsiTheme="minorHAnsi" w:cstheme="minorHAnsi"/>
          <w:b/>
          <w:szCs w:val="24"/>
        </w:rPr>
      </w:pPr>
    </w:p>
    <w:p w14:paraId="11501962" w14:textId="77777777" w:rsidR="000D4D90" w:rsidRDefault="000D4D90" w:rsidP="000D4D90">
      <w:pPr>
        <w:rPr>
          <w:rFonts w:asciiTheme="minorHAnsi" w:hAnsiTheme="minorHAnsi" w:cstheme="minorHAnsi"/>
          <w:b/>
          <w:szCs w:val="24"/>
        </w:rPr>
      </w:pPr>
    </w:p>
    <w:p w14:paraId="48EA91B4" w14:textId="77777777" w:rsidR="000D4D90" w:rsidRDefault="000D4D90" w:rsidP="000D4D90">
      <w:pPr>
        <w:pStyle w:val="paragraph"/>
        <w:spacing w:before="0" w:beforeAutospacing="0" w:after="0" w:afterAutospacing="0"/>
        <w:rPr>
          <w:rStyle w:val="normaltextrun"/>
          <w:rFonts w:ascii="Arial" w:hAnsi="Arial" w:cs="Arial"/>
          <w:lang w:val="en-US"/>
        </w:rPr>
      </w:pPr>
    </w:p>
    <w:p w14:paraId="69E47CB5" w14:textId="77777777" w:rsidR="000D4D90" w:rsidRDefault="000D4D90" w:rsidP="000D4D90">
      <w:pPr>
        <w:pStyle w:val="paragraph"/>
        <w:spacing w:before="0" w:beforeAutospacing="0" w:after="0" w:afterAutospacing="0"/>
        <w:rPr>
          <w:rStyle w:val="normaltextrun"/>
          <w:rFonts w:ascii="Arial" w:hAnsi="Arial" w:cs="Arial"/>
          <w:lang w:val="en-US"/>
        </w:rPr>
      </w:pPr>
    </w:p>
    <w:p w14:paraId="7D910F2E" w14:textId="77777777" w:rsidR="000D4D90" w:rsidRDefault="000D4D90" w:rsidP="000D4D90">
      <w:pPr>
        <w:pStyle w:val="paragraph"/>
        <w:spacing w:before="0" w:beforeAutospacing="0" w:after="0" w:afterAutospacing="0"/>
        <w:rPr>
          <w:rStyle w:val="normaltextrun"/>
          <w:rFonts w:ascii="Arial" w:hAnsi="Arial" w:cs="Arial"/>
          <w:lang w:val="en-US"/>
        </w:rPr>
      </w:pPr>
    </w:p>
    <w:p w14:paraId="41005956" w14:textId="77777777" w:rsidR="000D4D90" w:rsidRDefault="000D4D90" w:rsidP="000D4D90">
      <w:pPr>
        <w:pStyle w:val="paragraph"/>
        <w:spacing w:before="0" w:beforeAutospacing="0" w:after="0" w:afterAutospacing="0"/>
        <w:ind w:left="1466"/>
        <w:textAlignment w:val="baseline"/>
        <w:rPr>
          <w:rStyle w:val="normaltextrun"/>
          <w:rFonts w:ascii="Arial" w:hAnsi="Arial" w:cs="Arial"/>
          <w:lang w:val="en-US"/>
        </w:rPr>
      </w:pPr>
    </w:p>
    <w:p w14:paraId="45701B5F" w14:textId="77777777" w:rsidR="000D4D90" w:rsidRDefault="000D4D90" w:rsidP="000D4D90"/>
    <w:p w14:paraId="6C42C848" w14:textId="77777777" w:rsidR="00BD4A38" w:rsidRDefault="00BD4A38"/>
    <w:sectPr w:rsidR="00BD4A3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6FB6" w14:textId="77777777" w:rsidR="00B52771" w:rsidRDefault="00B52771" w:rsidP="000D4D90">
      <w:r>
        <w:separator/>
      </w:r>
    </w:p>
  </w:endnote>
  <w:endnote w:type="continuationSeparator" w:id="0">
    <w:p w14:paraId="25897EA2" w14:textId="77777777" w:rsidR="00B52771" w:rsidRDefault="00B52771" w:rsidP="000D4D90">
      <w:r>
        <w:continuationSeparator/>
      </w:r>
    </w:p>
  </w:endnote>
  <w:endnote w:type="continuationNotice" w:id="1">
    <w:p w14:paraId="738F71D0" w14:textId="77777777" w:rsidR="00B52771" w:rsidRDefault="00B52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2B73" w14:textId="77777777" w:rsidR="005D31DD" w:rsidRDefault="005D3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074291"/>
      <w:docPartObj>
        <w:docPartGallery w:val="Page Numbers (Bottom of Page)"/>
        <w:docPartUnique/>
      </w:docPartObj>
    </w:sdtPr>
    <w:sdtEndPr>
      <w:rPr>
        <w:noProof/>
      </w:rPr>
    </w:sdtEndPr>
    <w:sdtContent>
      <w:p w14:paraId="5A0D9B91" w14:textId="77777777" w:rsidR="005D31DD" w:rsidRDefault="000D4D90">
        <w:pPr>
          <w:pStyle w:val="Footer"/>
        </w:pPr>
        <w:r>
          <w:fldChar w:fldCharType="begin"/>
        </w:r>
        <w:r>
          <w:instrText xml:space="preserve"> PAGE   \* MERGEFORMAT </w:instrText>
        </w:r>
        <w:r>
          <w:fldChar w:fldCharType="separate"/>
        </w:r>
        <w:r>
          <w:rPr>
            <w:noProof/>
          </w:rPr>
          <w:t>2</w:t>
        </w:r>
        <w:r>
          <w:rPr>
            <w:noProof/>
          </w:rPr>
          <w:fldChar w:fldCharType="end"/>
        </w:r>
      </w:p>
    </w:sdtContent>
  </w:sdt>
  <w:p w14:paraId="57160096" w14:textId="77777777" w:rsidR="005D31DD" w:rsidRDefault="005D3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ABA3" w14:textId="77777777" w:rsidR="005D31DD" w:rsidRDefault="005D3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0F58" w14:textId="77777777" w:rsidR="00B52771" w:rsidRDefault="00B52771" w:rsidP="000D4D90">
      <w:r>
        <w:separator/>
      </w:r>
    </w:p>
  </w:footnote>
  <w:footnote w:type="continuationSeparator" w:id="0">
    <w:p w14:paraId="19DCBA78" w14:textId="77777777" w:rsidR="00B52771" w:rsidRDefault="00B52771" w:rsidP="000D4D90">
      <w:r>
        <w:continuationSeparator/>
      </w:r>
    </w:p>
  </w:footnote>
  <w:footnote w:type="continuationNotice" w:id="1">
    <w:p w14:paraId="0CD7CC54" w14:textId="77777777" w:rsidR="00B52771" w:rsidRDefault="00B52771"/>
  </w:footnote>
  <w:footnote w:id="2">
    <w:p w14:paraId="660E9029" w14:textId="775D4CBA" w:rsidR="000D4D90" w:rsidRDefault="000D4D90" w:rsidP="000D4D90">
      <w:pPr>
        <w:pStyle w:val="FootnoteText"/>
        <w:jc w:val="both"/>
      </w:pPr>
      <w:r>
        <w:rPr>
          <w:rStyle w:val="FootnoteReference"/>
        </w:rPr>
        <w:footnoteRef/>
      </w:r>
      <w:r>
        <w:t xml:space="preserve">  </w:t>
      </w:r>
      <w:hyperlink r:id="rId1" w:history="1">
        <w:r w:rsidRPr="00552DCD">
          <w:rPr>
            <w:rStyle w:val="Hyperlink"/>
          </w:rPr>
          <w:t>https://comcom.govt.nz/__data/assets/pdf_file/0025/296233/Staff-paper-for-Workshop-Forecasting-and-incentivising-efficient-expenditure-for-EDBs-1-November-2022.pdf</w:t>
        </w:r>
      </w:hyperlink>
    </w:p>
  </w:footnote>
  <w:footnote w:id="3">
    <w:p w14:paraId="251571ED" w14:textId="653F0FB4" w:rsidR="009E3521" w:rsidRDefault="009E3521">
      <w:pPr>
        <w:pStyle w:val="FootnoteText"/>
      </w:pPr>
      <w:r>
        <w:rPr>
          <w:rStyle w:val="FootnoteReference"/>
        </w:rPr>
        <w:footnoteRef/>
      </w:r>
      <w:r>
        <w:t xml:space="preserve"> </w:t>
      </w:r>
      <w:r>
        <w:tab/>
        <w:t>See “IRIS equivalence staff paper”</w:t>
      </w:r>
    </w:p>
  </w:footnote>
  <w:footnote w:id="4">
    <w:p w14:paraId="57BD6609" w14:textId="179C84A9" w:rsidR="000D4D90" w:rsidRDefault="000D4D90" w:rsidP="000D4D90">
      <w:pPr>
        <w:pStyle w:val="FootnoteText"/>
      </w:pPr>
      <w:r>
        <w:rPr>
          <w:rStyle w:val="FootnoteReference"/>
        </w:rPr>
        <w:footnoteRef/>
      </w:r>
      <w:r>
        <w:t xml:space="preserve"> </w:t>
      </w:r>
      <w:r>
        <w:tab/>
      </w:r>
      <w:r w:rsidR="00393CC4">
        <w:t>We set a revenue cap for each n</w:t>
      </w:r>
      <w:r>
        <w:t>on-exempt EDB</w:t>
      </w:r>
      <w:r w:rsidR="00393CC4">
        <w:t xml:space="preserve"> within which they may choose opex and capex </w:t>
      </w:r>
      <w:r>
        <w:t xml:space="preserve">as they see fit. </w:t>
      </w:r>
      <w:r w:rsidR="001A61E6">
        <w:t>We have separate incentive mechanisms for opex and capex</w:t>
      </w:r>
      <w:r w:rsidR="0088249E">
        <w:t xml:space="preserve">, so the EDBs choice </w:t>
      </w:r>
      <w:r w:rsidR="00B0383A">
        <w:t>affects the incentive amount they receive</w:t>
      </w:r>
      <w:r w:rsidR="001A61E6">
        <w:t xml:space="preserve">. </w:t>
      </w:r>
      <w:r>
        <w:t xml:space="preserve">If incentive amounts </w:t>
      </w:r>
      <w:r w:rsidR="00C06414">
        <w:t>for opex and capex are</w:t>
      </w:r>
      <w:r>
        <w:t xml:space="preserve"> equivalent, then these EDBs </w:t>
      </w:r>
      <w:r w:rsidR="006026C0">
        <w:t>sh</w:t>
      </w:r>
      <w:r>
        <w:t>ould be financially indifferent between opex and capex.</w:t>
      </w:r>
    </w:p>
  </w:footnote>
  <w:footnote w:id="5">
    <w:p w14:paraId="18004BC0" w14:textId="4C18D0BF" w:rsidR="000D4D90" w:rsidRDefault="000D4D90" w:rsidP="000D4D90">
      <w:pPr>
        <w:pStyle w:val="FootnoteText"/>
      </w:pPr>
      <w:r>
        <w:rPr>
          <w:rStyle w:val="FootnoteReference"/>
        </w:rPr>
        <w:footnoteRef/>
      </w:r>
      <w:r>
        <w:t xml:space="preserve"> </w:t>
      </w:r>
      <w:r>
        <w:tab/>
      </w:r>
      <w:r w:rsidR="00BB3727">
        <w:t xml:space="preserve">The desired outcomes are set out in </w:t>
      </w:r>
      <w:r w:rsidR="000F22E4">
        <w:t>Section</w:t>
      </w:r>
      <w:r w:rsidR="00BB3727">
        <w:t xml:space="preserve"> </w:t>
      </w:r>
      <w:r w:rsidR="00F00938">
        <w:t xml:space="preserve">52A (1) </w:t>
      </w:r>
      <w:r w:rsidR="00C33BF3">
        <w:t>(a)–(d)</w:t>
      </w:r>
      <w:r w:rsidR="000F2741">
        <w:t xml:space="preserve"> of </w:t>
      </w:r>
      <w:r w:rsidR="00DE70CF">
        <w:t xml:space="preserve">Part 4 of </w:t>
      </w:r>
      <w:r w:rsidR="000F2741">
        <w:t>the Commerce Act</w:t>
      </w:r>
      <w:r w:rsidR="0078186B">
        <w:t xml:space="preserve"> 1986</w:t>
      </w:r>
      <w:r>
        <w:t>.</w:t>
      </w:r>
    </w:p>
  </w:footnote>
  <w:footnote w:id="6">
    <w:p w14:paraId="5E66CE7A" w14:textId="2E225D2D" w:rsidR="000D4D90" w:rsidRDefault="000D4D90" w:rsidP="000D4D90">
      <w:pPr>
        <w:pStyle w:val="FootnoteText"/>
      </w:pPr>
      <w:r>
        <w:rPr>
          <w:rStyle w:val="FootnoteReference"/>
        </w:rPr>
        <w:footnoteRef/>
      </w:r>
      <w:r>
        <w:t xml:space="preserve"> </w:t>
      </w:r>
      <w:r>
        <w:tab/>
        <w:t xml:space="preserve">The three overarching objectives for the IM Review are set out at para X20 of the </w:t>
      </w:r>
      <w:hyperlink r:id="rId2" w:history="1">
        <w:r w:rsidRPr="00A448A5">
          <w:rPr>
            <w:rStyle w:val="Hyperlink"/>
          </w:rPr>
          <w:t xml:space="preserve">Part 4 Input Methodologies Review 2023 </w:t>
        </w:r>
        <w:r>
          <w:rPr>
            <w:rStyle w:val="Hyperlink"/>
          </w:rPr>
          <w:t>decision-making f</w:t>
        </w:r>
        <w:r w:rsidRPr="00A448A5">
          <w:rPr>
            <w:rStyle w:val="Hyperlink"/>
          </w:rPr>
          <w:t>ramework paper</w:t>
        </w:r>
      </w:hyperlink>
      <w:r>
        <w:t>, which we published</w:t>
      </w:r>
      <w:r>
        <w:rPr>
          <w:b/>
          <w:bCs/>
        </w:rPr>
        <w:t xml:space="preserve"> </w:t>
      </w:r>
      <w:r>
        <w:t>on 13 October 2022.</w:t>
      </w:r>
    </w:p>
  </w:footnote>
  <w:footnote w:id="7">
    <w:p w14:paraId="290C1456" w14:textId="2E1F2C38" w:rsidR="000D4D90" w:rsidRDefault="000D4D90" w:rsidP="000D4D90">
      <w:pPr>
        <w:pStyle w:val="FootnoteText"/>
      </w:pPr>
      <w:r>
        <w:rPr>
          <w:rStyle w:val="FootnoteReference"/>
        </w:rPr>
        <w:footnoteRef/>
      </w:r>
      <w:r>
        <w:t xml:space="preserve"> </w:t>
      </w:r>
      <w:r>
        <w:tab/>
      </w:r>
      <w:r w:rsidR="0083223D">
        <w:t xml:space="preserve">See section 10 of </w:t>
      </w:r>
      <w:r w:rsidR="00A22D80">
        <w:t>Ofgems’</w:t>
      </w:r>
      <w:r w:rsidR="0083223D">
        <w:t xml:space="preserve"> </w:t>
      </w:r>
      <w:r w:rsidR="0033508A">
        <w:t xml:space="preserve">Decision – RIIO-2 Final Determinations – Core Document </w:t>
      </w:r>
      <w:r w:rsidR="0083223D">
        <w:t xml:space="preserve"> </w:t>
      </w:r>
      <w:hyperlink r:id="rId3" w:history="1">
        <w:r w:rsidR="0083223D" w:rsidRPr="00897213">
          <w:rPr>
            <w:rStyle w:val="Hyperlink"/>
          </w:rPr>
          <w:t>https://www.ofgem.gov.uk/sites/default/files/docs/2020/12/final_determinations_-_core_document.pdf</w:t>
        </w:r>
      </w:hyperlink>
      <w:r>
        <w:t>.</w:t>
      </w:r>
    </w:p>
  </w:footnote>
  <w:footnote w:id="8">
    <w:p w14:paraId="672ED8F5" w14:textId="6765039E" w:rsidR="00281914" w:rsidRDefault="00281914">
      <w:pPr>
        <w:pStyle w:val="FootnoteText"/>
      </w:pPr>
      <w:r>
        <w:rPr>
          <w:rStyle w:val="FootnoteReference"/>
        </w:rPr>
        <w:footnoteRef/>
      </w:r>
      <w:r>
        <w:t xml:space="preserve"> </w:t>
      </w:r>
      <w:r>
        <w:tab/>
      </w:r>
      <w:r w:rsidR="00342BCC">
        <w:t>See “</w:t>
      </w:r>
      <w:r w:rsidR="00547801">
        <w:t xml:space="preserve">Forecasting and </w:t>
      </w:r>
      <w:r w:rsidR="009D44AB">
        <w:t xml:space="preserve">incentivising efficient expenditure for </w:t>
      </w:r>
      <w:r w:rsidR="00796EAE">
        <w:t>EDB</w:t>
      </w:r>
      <w:r w:rsidR="00081AB4">
        <w:t>s</w:t>
      </w:r>
      <w:r w:rsidR="00342BCC">
        <w:t xml:space="preserve">” slides </w:t>
      </w:r>
      <w:r w:rsidR="00E148D9">
        <w:t>54-59:</w:t>
      </w:r>
      <w:r w:rsidR="0050498F" w:rsidRPr="0050498F">
        <w:t xml:space="preserve"> </w:t>
      </w:r>
      <w:hyperlink r:id="rId4" w:history="1">
        <w:r w:rsidR="0050498F" w:rsidRPr="0050498F">
          <w:rPr>
            <w:rStyle w:val="Hyperlink"/>
          </w:rPr>
          <w:t>https://comcom.govt.nz/__data/assets/pdf_file/0029/298055/Forecasting-and-incentivising-efficient-expenditure-for-EDBs-Full-slide-deck-07-November-2022.pdf</w:t>
        </w:r>
      </w:hyperlink>
      <w:r w:rsidR="00A25FC6">
        <w:t xml:space="preserve"> </w:t>
      </w:r>
    </w:p>
  </w:footnote>
  <w:footnote w:id="9">
    <w:p w14:paraId="4F74DDF0" w14:textId="1FAF9636" w:rsidR="000D4D90" w:rsidRDefault="000D4D90" w:rsidP="000D4D90">
      <w:pPr>
        <w:pStyle w:val="FootnoteText"/>
      </w:pPr>
      <w:r>
        <w:rPr>
          <w:rStyle w:val="FootnoteReference"/>
        </w:rPr>
        <w:footnoteRef/>
      </w:r>
      <w:r>
        <w:t xml:space="preserve"> </w:t>
      </w:r>
      <w:r>
        <w:tab/>
        <w:t xml:space="preserve">See clause 3.1.3(1)(x) and the definitions of ‘innovation project’ and ‘innovation project allowance’ under clause 1.1.4(2) of the Electricity Distribution Services Input Methodologies Determination 2012: </w:t>
      </w:r>
      <w:hyperlink r:id="rId5" w:history="1">
        <w:r w:rsidRPr="003F3A22">
          <w:rPr>
            <w:rStyle w:val="Hyperlink"/>
          </w:rPr>
          <w:t>https://comcom.govt.nz/__data/assets/pdf_file/0017/60542/Electricity-distribution-services-input-methodologies-determination-2012-consolidated-20-May-2020-20-May-2020.pdf</w:t>
        </w:r>
      </w:hyperlink>
    </w:p>
  </w:footnote>
  <w:footnote w:id="10">
    <w:p w14:paraId="517330F4" w14:textId="3DBD3BE5" w:rsidR="000D4D90" w:rsidRDefault="000D4D90" w:rsidP="000D4D90">
      <w:pPr>
        <w:pStyle w:val="FootnoteText"/>
      </w:pPr>
      <w:r>
        <w:rPr>
          <w:rStyle w:val="FootnoteReference"/>
        </w:rPr>
        <w:footnoteRef/>
      </w:r>
      <w:r>
        <w:t xml:space="preserve"> </w:t>
      </w:r>
      <w:r>
        <w:tab/>
        <w:t xml:space="preserve">Regulatory Sandboxing – Energy Innovation Toolkit: </w:t>
      </w:r>
      <w:hyperlink r:id="rId6" w:anchor=":~:text=Regulatory%20sandboxing%20aims%20to%20help,cheaper%20energy%20options%20for%20consumers" w:history="1">
        <w:r w:rsidRPr="00F41276">
          <w:rPr>
            <w:rStyle w:val="Hyperlink"/>
          </w:rPr>
          <w:t>https://www.aer.gov.au/networks-pipelines/regulatory-sandboxing-%E2%80%93-energy-innovation-toolkit#:~:text=Regulatory%20sandboxing%20aims%20to%20help,cheaper%20energy%20options%20for%20consumers</w:t>
        </w:r>
      </w:hyperlink>
    </w:p>
  </w:footnote>
  <w:footnote w:id="11">
    <w:p w14:paraId="4B29E8A4" w14:textId="2742838B" w:rsidR="000D4D90" w:rsidRDefault="000D4D90" w:rsidP="000D4D90">
      <w:pPr>
        <w:pStyle w:val="FootnoteText"/>
      </w:pPr>
      <w:r>
        <w:rPr>
          <w:rStyle w:val="FootnoteReference"/>
        </w:rPr>
        <w:footnoteRef/>
      </w:r>
      <w:r>
        <w:t xml:space="preserve"> </w:t>
      </w:r>
      <w:r>
        <w:tab/>
        <w:t xml:space="preserve">OEB Innovation Sandbox: </w:t>
      </w:r>
      <w:hyperlink r:id="rId7" w:history="1">
        <w:r w:rsidRPr="00F41276">
          <w:rPr>
            <w:rStyle w:val="Hyperlink"/>
          </w:rPr>
          <w:t>https://www.oeb.ca/_html/sandbox/index.php</w:t>
        </w:r>
      </w:hyperlink>
      <w:r>
        <w:t xml:space="preserve"> </w:t>
      </w:r>
    </w:p>
  </w:footnote>
  <w:footnote w:id="12">
    <w:p w14:paraId="21CEB9EA" w14:textId="3046CD66" w:rsidR="000D4D90" w:rsidRDefault="000D4D90" w:rsidP="000D4D90">
      <w:pPr>
        <w:pStyle w:val="FootnoteText"/>
      </w:pPr>
      <w:r>
        <w:rPr>
          <w:rStyle w:val="FootnoteReference"/>
        </w:rPr>
        <w:footnoteRef/>
      </w:r>
      <w:r>
        <w:t xml:space="preserve"> </w:t>
      </w:r>
      <w:r>
        <w:tab/>
        <w:t xml:space="preserve">Ofgem – What is a regulatory sandbox?: </w:t>
      </w:r>
      <w:hyperlink r:id="rId8" w:history="1">
        <w:r w:rsidRPr="00F41276">
          <w:rPr>
            <w:rStyle w:val="Hyperlink"/>
          </w:rPr>
          <w:t>https://www.ofgem.</w:t>
        </w:r>
        <w:bookmarkStart w:id="1" w:name="_Hlt119572085"/>
        <w:bookmarkStart w:id="2" w:name="_Hlt119572086"/>
        <w:r w:rsidRPr="00F41276">
          <w:rPr>
            <w:rStyle w:val="Hyperlink"/>
          </w:rPr>
          <w:t>g</w:t>
        </w:r>
        <w:bookmarkEnd w:id="1"/>
        <w:bookmarkEnd w:id="2"/>
        <w:r w:rsidRPr="00F41276">
          <w:rPr>
            <w:rStyle w:val="Hyperlink"/>
          </w:rPr>
          <w:t>ov.uk/publications/what-regulatory-sandbox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13C9" w14:textId="77777777" w:rsidR="005D31DD" w:rsidRDefault="005D3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2ADB" w14:textId="77777777" w:rsidR="005D31DD" w:rsidRDefault="005D3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2117" w14:textId="77777777" w:rsidR="005D31DD" w:rsidRDefault="005D3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8E6169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600C3F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17A2E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F2AC9"/>
    <w:multiLevelType w:val="hybridMultilevel"/>
    <w:tmpl w:val="08389C8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69375BB"/>
    <w:multiLevelType w:val="hybridMultilevel"/>
    <w:tmpl w:val="3030F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024E4D"/>
    <w:multiLevelType w:val="hybridMultilevel"/>
    <w:tmpl w:val="455099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435314D2"/>
    <w:multiLevelType w:val="hybridMultilevel"/>
    <w:tmpl w:val="FEC20E48"/>
    <w:lvl w:ilvl="0" w:tplc="24A2CDF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110F50"/>
    <w:multiLevelType w:val="hybridMultilevel"/>
    <w:tmpl w:val="2A3EF2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591E0F60"/>
    <w:multiLevelType w:val="hybridMultilevel"/>
    <w:tmpl w:val="AA062754"/>
    <w:lvl w:ilvl="0" w:tplc="A6C42CF8">
      <w:start w:val="1"/>
      <w:numFmt w:val="bullet"/>
      <w:pStyle w:val="Level1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9788F"/>
    <w:multiLevelType w:val="multilevel"/>
    <w:tmpl w:val="102E164E"/>
    <w:numStyleLink w:val="Outlinestyle"/>
  </w:abstractNum>
  <w:abstractNum w:abstractNumId="18" w15:restartNumberingAfterBreak="0">
    <w:nsid w:val="79AE6065"/>
    <w:multiLevelType w:val="multilevel"/>
    <w:tmpl w:val="FD2E6198"/>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7CCB3E2C"/>
    <w:multiLevelType w:val="hybridMultilevel"/>
    <w:tmpl w:val="94A29726"/>
    <w:lvl w:ilvl="0" w:tplc="26B6920E">
      <w:numFmt w:val="bullet"/>
      <w:pStyle w:val="Level2bullet"/>
      <w:lvlText w:val=""/>
      <w:lvlJc w:val="left"/>
      <w:pPr>
        <w:tabs>
          <w:tab w:val="num" w:pos="568"/>
        </w:tabs>
        <w:ind w:left="568"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8302535">
    <w:abstractNumId w:val="15"/>
  </w:num>
  <w:num w:numId="2" w16cid:durableId="913659624">
    <w:abstractNumId w:val="15"/>
  </w:num>
  <w:num w:numId="3" w16cid:durableId="464811190">
    <w:abstractNumId w:val="18"/>
  </w:num>
  <w:num w:numId="4" w16cid:durableId="2039887913">
    <w:abstractNumId w:val="18"/>
  </w:num>
  <w:num w:numId="5" w16cid:durableId="2081753345">
    <w:abstractNumId w:val="16"/>
  </w:num>
  <w:num w:numId="6" w16cid:durableId="1436246854">
    <w:abstractNumId w:val="19"/>
  </w:num>
  <w:num w:numId="7" w16cid:durableId="1595702021">
    <w:abstractNumId w:val="8"/>
  </w:num>
  <w:num w:numId="8" w16cid:durableId="2047366472">
    <w:abstractNumId w:val="5"/>
  </w:num>
  <w:num w:numId="9" w16cid:durableId="243225401">
    <w:abstractNumId w:val="2"/>
  </w:num>
  <w:num w:numId="10" w16cid:durableId="1544977409">
    <w:abstractNumId w:val="1"/>
  </w:num>
  <w:num w:numId="11" w16cid:durableId="1471245590">
    <w:abstractNumId w:val="0"/>
  </w:num>
  <w:num w:numId="12" w16cid:durableId="796527352">
    <w:abstractNumId w:val="6"/>
  </w:num>
  <w:num w:numId="13" w16cid:durableId="1702390176">
    <w:abstractNumId w:val="10"/>
  </w:num>
  <w:num w:numId="14" w16cid:durableId="686562305">
    <w:abstractNumId w:val="11"/>
  </w:num>
  <w:num w:numId="15" w16cid:durableId="1667129549">
    <w:abstractNumId w:val="17"/>
  </w:num>
  <w:num w:numId="16" w16cid:durableId="384136998">
    <w:abstractNumId w:val="17"/>
  </w:num>
  <w:num w:numId="17" w16cid:durableId="1969436248">
    <w:abstractNumId w:val="17"/>
  </w:num>
  <w:num w:numId="18" w16cid:durableId="479464761">
    <w:abstractNumId w:val="17"/>
  </w:num>
  <w:num w:numId="19" w16cid:durableId="735250395">
    <w:abstractNumId w:val="17"/>
  </w:num>
  <w:num w:numId="20" w16cid:durableId="1988893807">
    <w:abstractNumId w:val="9"/>
  </w:num>
  <w:num w:numId="21" w16cid:durableId="430011227">
    <w:abstractNumId w:val="9"/>
  </w:num>
  <w:num w:numId="22" w16cid:durableId="2103406265">
    <w:abstractNumId w:val="12"/>
  </w:num>
  <w:num w:numId="23" w16cid:durableId="1988824011">
    <w:abstractNumId w:val="14"/>
  </w:num>
  <w:num w:numId="24" w16cid:durableId="304358915">
    <w:abstractNumId w:val="14"/>
  </w:num>
  <w:num w:numId="25" w16cid:durableId="96369868">
    <w:abstractNumId w:val="15"/>
  </w:num>
  <w:num w:numId="26" w16cid:durableId="765538252">
    <w:abstractNumId w:val="15"/>
  </w:num>
  <w:num w:numId="27" w16cid:durableId="801004007">
    <w:abstractNumId w:val="18"/>
  </w:num>
  <w:num w:numId="28" w16cid:durableId="1232810046">
    <w:abstractNumId w:val="18"/>
  </w:num>
  <w:num w:numId="29" w16cid:durableId="1370186629">
    <w:abstractNumId w:val="16"/>
  </w:num>
  <w:num w:numId="30" w16cid:durableId="574899864">
    <w:abstractNumId w:val="19"/>
  </w:num>
  <w:num w:numId="31" w16cid:durableId="751850251">
    <w:abstractNumId w:val="8"/>
  </w:num>
  <w:num w:numId="32" w16cid:durableId="1897549875">
    <w:abstractNumId w:val="5"/>
  </w:num>
  <w:num w:numId="33" w16cid:durableId="881283514">
    <w:abstractNumId w:val="6"/>
  </w:num>
  <w:num w:numId="34" w16cid:durableId="336733276">
    <w:abstractNumId w:val="10"/>
  </w:num>
  <w:num w:numId="35" w16cid:durableId="799881897">
    <w:abstractNumId w:val="11"/>
  </w:num>
  <w:num w:numId="36" w16cid:durableId="12538139">
    <w:abstractNumId w:val="17"/>
  </w:num>
  <w:num w:numId="37" w16cid:durableId="121726558">
    <w:abstractNumId w:val="17"/>
  </w:num>
  <w:num w:numId="38" w16cid:durableId="13726691">
    <w:abstractNumId w:val="17"/>
  </w:num>
  <w:num w:numId="39" w16cid:durableId="1837381034">
    <w:abstractNumId w:val="17"/>
  </w:num>
  <w:num w:numId="40" w16cid:durableId="125633922">
    <w:abstractNumId w:val="17"/>
  </w:num>
  <w:num w:numId="41" w16cid:durableId="1075052691">
    <w:abstractNumId w:val="9"/>
  </w:num>
  <w:num w:numId="42" w16cid:durableId="1254247406">
    <w:abstractNumId w:val="9"/>
  </w:num>
  <w:num w:numId="43" w16cid:durableId="676999102">
    <w:abstractNumId w:val="12"/>
  </w:num>
  <w:num w:numId="44" w16cid:durableId="786318655">
    <w:abstractNumId w:val="14"/>
  </w:num>
  <w:num w:numId="45" w16cid:durableId="350451112">
    <w:abstractNumId w:val="14"/>
  </w:num>
  <w:num w:numId="46" w16cid:durableId="1897012628">
    <w:abstractNumId w:val="4"/>
  </w:num>
  <w:num w:numId="47" w16cid:durableId="2038769884">
    <w:abstractNumId w:val="13"/>
  </w:num>
  <w:num w:numId="48" w16cid:durableId="1214853559">
    <w:abstractNumId w:val="3"/>
  </w:num>
  <w:num w:numId="49" w16cid:durableId="1780098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90"/>
    <w:rsid w:val="00002358"/>
    <w:rsid w:val="00015739"/>
    <w:rsid w:val="0002153D"/>
    <w:rsid w:val="00026B03"/>
    <w:rsid w:val="00034B5E"/>
    <w:rsid w:val="00081AB4"/>
    <w:rsid w:val="00081EDA"/>
    <w:rsid w:val="000827A0"/>
    <w:rsid w:val="000949C6"/>
    <w:rsid w:val="000A2842"/>
    <w:rsid w:val="000B6D96"/>
    <w:rsid w:val="000C70E0"/>
    <w:rsid w:val="000C7EEC"/>
    <w:rsid w:val="000D4D90"/>
    <w:rsid w:val="000D5A1A"/>
    <w:rsid w:val="000F22E4"/>
    <w:rsid w:val="000F2538"/>
    <w:rsid w:val="000F2741"/>
    <w:rsid w:val="000F478A"/>
    <w:rsid w:val="000F72FA"/>
    <w:rsid w:val="00100731"/>
    <w:rsid w:val="0010280F"/>
    <w:rsid w:val="00142D0E"/>
    <w:rsid w:val="00150C78"/>
    <w:rsid w:val="00151A2B"/>
    <w:rsid w:val="00152AFB"/>
    <w:rsid w:val="001911EF"/>
    <w:rsid w:val="001A28B7"/>
    <w:rsid w:val="001A61E6"/>
    <w:rsid w:val="001B5209"/>
    <w:rsid w:val="001D2C2E"/>
    <w:rsid w:val="001F1512"/>
    <w:rsid w:val="00250A8D"/>
    <w:rsid w:val="00253596"/>
    <w:rsid w:val="00281914"/>
    <w:rsid w:val="002B640F"/>
    <w:rsid w:val="002C1443"/>
    <w:rsid w:val="002D1DFB"/>
    <w:rsid w:val="002D71E0"/>
    <w:rsid w:val="002E046A"/>
    <w:rsid w:val="00322311"/>
    <w:rsid w:val="003317B0"/>
    <w:rsid w:val="0033508A"/>
    <w:rsid w:val="003367ED"/>
    <w:rsid w:val="00340760"/>
    <w:rsid w:val="00342BCC"/>
    <w:rsid w:val="00364F8C"/>
    <w:rsid w:val="00370329"/>
    <w:rsid w:val="00374EC5"/>
    <w:rsid w:val="00393CC4"/>
    <w:rsid w:val="003B1871"/>
    <w:rsid w:val="003B40D9"/>
    <w:rsid w:val="003B4515"/>
    <w:rsid w:val="003E0C60"/>
    <w:rsid w:val="003F5386"/>
    <w:rsid w:val="00425E73"/>
    <w:rsid w:val="00466B4A"/>
    <w:rsid w:val="00470746"/>
    <w:rsid w:val="00481235"/>
    <w:rsid w:val="00481631"/>
    <w:rsid w:val="004A76BC"/>
    <w:rsid w:val="004B2283"/>
    <w:rsid w:val="004B4ABB"/>
    <w:rsid w:val="004D0DD4"/>
    <w:rsid w:val="004D4405"/>
    <w:rsid w:val="0050498F"/>
    <w:rsid w:val="005169E6"/>
    <w:rsid w:val="00535F52"/>
    <w:rsid w:val="00547801"/>
    <w:rsid w:val="005542B8"/>
    <w:rsid w:val="00554FF7"/>
    <w:rsid w:val="005762F1"/>
    <w:rsid w:val="005A09FD"/>
    <w:rsid w:val="005B45B4"/>
    <w:rsid w:val="005C42C5"/>
    <w:rsid w:val="005D31DD"/>
    <w:rsid w:val="005F0FB3"/>
    <w:rsid w:val="005F2D4A"/>
    <w:rsid w:val="006026C0"/>
    <w:rsid w:val="006164B8"/>
    <w:rsid w:val="00617425"/>
    <w:rsid w:val="0065086E"/>
    <w:rsid w:val="00665DB8"/>
    <w:rsid w:val="006751CC"/>
    <w:rsid w:val="006761ED"/>
    <w:rsid w:val="00700B01"/>
    <w:rsid w:val="007020E6"/>
    <w:rsid w:val="00716E60"/>
    <w:rsid w:val="0078186B"/>
    <w:rsid w:val="00781929"/>
    <w:rsid w:val="0079602A"/>
    <w:rsid w:val="00796EAE"/>
    <w:rsid w:val="007A6D4E"/>
    <w:rsid w:val="007A7353"/>
    <w:rsid w:val="007D2343"/>
    <w:rsid w:val="007E4300"/>
    <w:rsid w:val="007F6D99"/>
    <w:rsid w:val="0083223D"/>
    <w:rsid w:val="0088249E"/>
    <w:rsid w:val="008976A5"/>
    <w:rsid w:val="008D6334"/>
    <w:rsid w:val="008E5576"/>
    <w:rsid w:val="008F528C"/>
    <w:rsid w:val="0091392A"/>
    <w:rsid w:val="00944116"/>
    <w:rsid w:val="0095384E"/>
    <w:rsid w:val="009858D6"/>
    <w:rsid w:val="009866AF"/>
    <w:rsid w:val="00995619"/>
    <w:rsid w:val="009B3E9D"/>
    <w:rsid w:val="009D44AB"/>
    <w:rsid w:val="009D58E7"/>
    <w:rsid w:val="009E3521"/>
    <w:rsid w:val="009F03AB"/>
    <w:rsid w:val="009F7A70"/>
    <w:rsid w:val="00A0323E"/>
    <w:rsid w:val="00A22D80"/>
    <w:rsid w:val="00A24564"/>
    <w:rsid w:val="00A25FC6"/>
    <w:rsid w:val="00A63F31"/>
    <w:rsid w:val="00A90E91"/>
    <w:rsid w:val="00A96706"/>
    <w:rsid w:val="00AA51A6"/>
    <w:rsid w:val="00AA6197"/>
    <w:rsid w:val="00AA66EA"/>
    <w:rsid w:val="00AD5206"/>
    <w:rsid w:val="00AD5724"/>
    <w:rsid w:val="00AE1541"/>
    <w:rsid w:val="00AF5BF4"/>
    <w:rsid w:val="00B03838"/>
    <w:rsid w:val="00B0383A"/>
    <w:rsid w:val="00B13239"/>
    <w:rsid w:val="00B30025"/>
    <w:rsid w:val="00B41BDE"/>
    <w:rsid w:val="00B52771"/>
    <w:rsid w:val="00B65776"/>
    <w:rsid w:val="00B724A7"/>
    <w:rsid w:val="00B9359F"/>
    <w:rsid w:val="00B96459"/>
    <w:rsid w:val="00BB3727"/>
    <w:rsid w:val="00BD07C6"/>
    <w:rsid w:val="00BD4A38"/>
    <w:rsid w:val="00BE5030"/>
    <w:rsid w:val="00C06414"/>
    <w:rsid w:val="00C21809"/>
    <w:rsid w:val="00C2508A"/>
    <w:rsid w:val="00C33BF3"/>
    <w:rsid w:val="00C65552"/>
    <w:rsid w:val="00C734F8"/>
    <w:rsid w:val="00C77D0C"/>
    <w:rsid w:val="00CA37AA"/>
    <w:rsid w:val="00CF2073"/>
    <w:rsid w:val="00D01FA7"/>
    <w:rsid w:val="00D155A9"/>
    <w:rsid w:val="00D2359C"/>
    <w:rsid w:val="00D33C39"/>
    <w:rsid w:val="00D56F47"/>
    <w:rsid w:val="00D6298D"/>
    <w:rsid w:val="00D672C4"/>
    <w:rsid w:val="00D763EF"/>
    <w:rsid w:val="00D808C4"/>
    <w:rsid w:val="00DB0797"/>
    <w:rsid w:val="00DB07B5"/>
    <w:rsid w:val="00DB3771"/>
    <w:rsid w:val="00DE4ABB"/>
    <w:rsid w:val="00DE70CF"/>
    <w:rsid w:val="00DF0961"/>
    <w:rsid w:val="00DF76CE"/>
    <w:rsid w:val="00E14368"/>
    <w:rsid w:val="00E1472F"/>
    <w:rsid w:val="00E148D9"/>
    <w:rsid w:val="00E5057D"/>
    <w:rsid w:val="00E5082F"/>
    <w:rsid w:val="00E5626D"/>
    <w:rsid w:val="00E604A4"/>
    <w:rsid w:val="00E8587E"/>
    <w:rsid w:val="00E90308"/>
    <w:rsid w:val="00E930A4"/>
    <w:rsid w:val="00ED7E58"/>
    <w:rsid w:val="00F00938"/>
    <w:rsid w:val="00F055AE"/>
    <w:rsid w:val="00F43021"/>
    <w:rsid w:val="00F44E3D"/>
    <w:rsid w:val="00F52BE6"/>
    <w:rsid w:val="00F85624"/>
    <w:rsid w:val="00FA4F4E"/>
    <w:rsid w:val="00FB6B71"/>
    <w:rsid w:val="00FD2E6C"/>
    <w:rsid w:val="00FD75AD"/>
    <w:rsid w:val="00FF577B"/>
    <w:rsid w:val="013C9B75"/>
    <w:rsid w:val="047FD49B"/>
    <w:rsid w:val="0C7A4C3D"/>
    <w:rsid w:val="0C9B6CB6"/>
    <w:rsid w:val="19C01C96"/>
    <w:rsid w:val="291B5A0E"/>
    <w:rsid w:val="2FFD32B5"/>
    <w:rsid w:val="4B17D0CD"/>
    <w:rsid w:val="4B31F38A"/>
    <w:rsid w:val="4C57AEB2"/>
    <w:rsid w:val="556E168F"/>
    <w:rsid w:val="662CABAA"/>
    <w:rsid w:val="6A479F95"/>
    <w:rsid w:val="6D0A7D08"/>
    <w:rsid w:val="750FA6F7"/>
    <w:rsid w:val="75CE1A3B"/>
    <w:rsid w:val="76A15EC3"/>
    <w:rsid w:val="7B2C198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9F8C"/>
  <w15:chartTrackingRefBased/>
  <w15:docId w15:val="{135B65BD-B763-4110-8D34-FCE3A9A9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4D90"/>
    <w:pPr>
      <w:spacing w:after="0" w:line="240" w:lineRule="auto"/>
    </w:pPr>
    <w:rPr>
      <w:rFonts w:ascii="Calibri" w:hAnsi="Calibri" w:cs="Times New Roman"/>
      <w:sz w:val="24"/>
      <w:szCs w:val="20"/>
      <w:lang w:eastAsia="en-GB"/>
    </w:rPr>
  </w:style>
  <w:style w:type="paragraph" w:styleId="Heading1">
    <w:name w:val="heading 1"/>
    <w:basedOn w:val="Normal"/>
    <w:next w:val="BodyText"/>
    <w:link w:val="Heading1Char"/>
    <w:qFormat/>
    <w:rsid w:val="002C1443"/>
    <w:pPr>
      <w:keepNext/>
      <w:spacing w:after="120"/>
      <w:outlineLvl w:val="0"/>
    </w:pPr>
    <w:rPr>
      <w:b/>
      <w:sz w:val="28"/>
    </w:rPr>
  </w:style>
  <w:style w:type="paragraph" w:styleId="Heading2">
    <w:name w:val="heading 2"/>
    <w:basedOn w:val="Normal"/>
    <w:next w:val="BodyText"/>
    <w:link w:val="Heading2Char"/>
    <w:qFormat/>
    <w:rsid w:val="002C1443"/>
    <w:pPr>
      <w:keepNext/>
      <w:spacing w:after="120"/>
      <w:outlineLvl w:val="1"/>
    </w:pPr>
    <w:rPr>
      <w:b/>
    </w:rPr>
  </w:style>
  <w:style w:type="paragraph" w:styleId="Heading3">
    <w:name w:val="heading 3"/>
    <w:basedOn w:val="Normal"/>
    <w:next w:val="BodyText"/>
    <w:link w:val="Heading3Char"/>
    <w:qFormat/>
    <w:rsid w:val="002C1443"/>
    <w:pPr>
      <w:keepNext/>
      <w:spacing w:after="120"/>
      <w:outlineLvl w:val="2"/>
    </w:pPr>
    <w:rPr>
      <w:i/>
    </w:rPr>
  </w:style>
  <w:style w:type="paragraph" w:styleId="Heading4">
    <w:name w:val="heading 4"/>
    <w:basedOn w:val="Normal"/>
    <w:link w:val="Heading4Char"/>
    <w:semiHidden/>
    <w:qFormat/>
    <w:rsid w:val="002C1443"/>
    <w:pPr>
      <w:outlineLvl w:val="3"/>
    </w:pPr>
  </w:style>
  <w:style w:type="paragraph" w:styleId="Heading5">
    <w:name w:val="heading 5"/>
    <w:basedOn w:val="Normal"/>
    <w:link w:val="Heading5Char"/>
    <w:semiHidden/>
    <w:qFormat/>
    <w:rsid w:val="002C1443"/>
    <w:pPr>
      <w:outlineLvl w:val="4"/>
    </w:pPr>
  </w:style>
  <w:style w:type="paragraph" w:styleId="Heading6">
    <w:name w:val="heading 6"/>
    <w:basedOn w:val="Normal"/>
    <w:link w:val="Heading6Char"/>
    <w:semiHidden/>
    <w:qFormat/>
    <w:rsid w:val="002C1443"/>
    <w:pPr>
      <w:outlineLvl w:val="5"/>
    </w:pPr>
  </w:style>
  <w:style w:type="paragraph" w:styleId="Heading7">
    <w:name w:val="heading 7"/>
    <w:basedOn w:val="Normal"/>
    <w:next w:val="Normal"/>
    <w:link w:val="Heading7Char"/>
    <w:semiHidden/>
    <w:qFormat/>
    <w:rsid w:val="002C1443"/>
    <w:pPr>
      <w:outlineLvl w:val="6"/>
    </w:pPr>
  </w:style>
  <w:style w:type="paragraph" w:styleId="Heading8">
    <w:name w:val="heading 8"/>
    <w:basedOn w:val="Normal"/>
    <w:next w:val="Normal"/>
    <w:link w:val="Heading8Char"/>
    <w:semiHidden/>
    <w:qFormat/>
    <w:rsid w:val="002C1443"/>
    <w:pPr>
      <w:outlineLvl w:val="7"/>
    </w:pPr>
  </w:style>
  <w:style w:type="paragraph" w:styleId="Heading9">
    <w:name w:val="heading 9"/>
    <w:basedOn w:val="Normal"/>
    <w:next w:val="Normal"/>
    <w:link w:val="Heading9Char"/>
    <w:semiHidden/>
    <w:qFormat/>
    <w:rsid w:val="002C14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sheading">
    <w:name w:val="Attachments heading"/>
    <w:basedOn w:val="Normal"/>
    <w:next w:val="BodyText"/>
    <w:rsid w:val="002C1443"/>
    <w:pPr>
      <w:keepNext/>
      <w:pageBreakBefore/>
      <w:numPr>
        <w:numId w:val="26"/>
      </w:numPr>
      <w:spacing w:after="120"/>
    </w:pPr>
    <w:rPr>
      <w:b/>
      <w:sz w:val="28"/>
    </w:rPr>
  </w:style>
  <w:style w:type="paragraph" w:styleId="BodyText">
    <w:name w:val="Body Text"/>
    <w:basedOn w:val="Normal"/>
    <w:link w:val="BodyTextChar"/>
    <w:qFormat/>
    <w:rsid w:val="002C1443"/>
    <w:pPr>
      <w:spacing w:after="240" w:line="264" w:lineRule="atLeast"/>
    </w:pPr>
  </w:style>
  <w:style w:type="character" w:customStyle="1" w:styleId="BodyTextChar">
    <w:name w:val="Body Text Char"/>
    <w:basedOn w:val="DefaultParagraphFont"/>
    <w:link w:val="BodyText"/>
    <w:rsid w:val="002C1443"/>
    <w:rPr>
      <w:rFonts w:ascii="Calibri" w:eastAsia="Times New Roman" w:hAnsi="Calibri" w:cs="Times New Roman"/>
      <w:sz w:val="24"/>
      <w:szCs w:val="20"/>
      <w:lang w:eastAsia="en-GB"/>
    </w:rPr>
  </w:style>
  <w:style w:type="numbering" w:customStyle="1" w:styleId="Attachmentsliststyle">
    <w:name w:val="Attachments list style"/>
    <w:basedOn w:val="NoList"/>
    <w:uiPriority w:val="99"/>
    <w:rsid w:val="002C1443"/>
    <w:pPr>
      <w:numPr>
        <w:numId w:val="1"/>
      </w:numPr>
    </w:pPr>
  </w:style>
  <w:style w:type="paragraph" w:styleId="BalloonText">
    <w:name w:val="Balloon Text"/>
    <w:basedOn w:val="Normal"/>
    <w:link w:val="BalloonTextChar"/>
    <w:semiHidden/>
    <w:rsid w:val="002C1443"/>
    <w:rPr>
      <w:rFonts w:ascii="Tahoma" w:hAnsi="Tahoma" w:cs="Tahoma"/>
      <w:sz w:val="16"/>
      <w:szCs w:val="16"/>
    </w:rPr>
  </w:style>
  <w:style w:type="character" w:customStyle="1" w:styleId="BalloonTextChar">
    <w:name w:val="Balloon Text Char"/>
    <w:basedOn w:val="DefaultParagraphFont"/>
    <w:link w:val="BalloonText"/>
    <w:semiHidden/>
    <w:rsid w:val="002C1443"/>
    <w:rPr>
      <w:rFonts w:ascii="Tahoma" w:eastAsia="Times New Roman" w:hAnsi="Tahoma" w:cs="Tahoma"/>
      <w:sz w:val="16"/>
      <w:szCs w:val="16"/>
      <w:lang w:eastAsia="en-GB"/>
    </w:rPr>
  </w:style>
  <w:style w:type="paragraph" w:styleId="BodyTextIndent">
    <w:name w:val="Body Text Indent"/>
    <w:basedOn w:val="BodyText"/>
    <w:link w:val="BodyTextIndentChar"/>
    <w:qFormat/>
    <w:rsid w:val="002C1443"/>
    <w:pPr>
      <w:ind w:left="709"/>
    </w:pPr>
  </w:style>
  <w:style w:type="character" w:customStyle="1" w:styleId="BodyTextIndentChar">
    <w:name w:val="Body Text Indent Char"/>
    <w:basedOn w:val="DefaultParagraphFont"/>
    <w:link w:val="BodyTextIndent"/>
    <w:rsid w:val="002C1443"/>
    <w:rPr>
      <w:rFonts w:ascii="Calibri" w:eastAsia="Times New Roman" w:hAnsi="Calibri" w:cs="Times New Roman"/>
      <w:sz w:val="24"/>
      <w:szCs w:val="20"/>
      <w:lang w:eastAsia="en-GB"/>
    </w:rPr>
  </w:style>
  <w:style w:type="paragraph" w:customStyle="1" w:styleId="Bullet">
    <w:name w:val="Bullet"/>
    <w:basedOn w:val="Normal"/>
    <w:qFormat/>
    <w:rsid w:val="002C1443"/>
    <w:pPr>
      <w:numPr>
        <w:numId w:val="28"/>
      </w:numPr>
      <w:spacing w:before="120"/>
    </w:pPr>
  </w:style>
  <w:style w:type="numbering" w:customStyle="1" w:styleId="Bulletliststyle">
    <w:name w:val="Bullet list style"/>
    <w:basedOn w:val="NoList"/>
    <w:uiPriority w:val="99"/>
    <w:rsid w:val="002C1443"/>
    <w:pPr>
      <w:numPr>
        <w:numId w:val="3"/>
      </w:numPr>
    </w:pPr>
  </w:style>
  <w:style w:type="paragraph" w:styleId="Date">
    <w:name w:val="Date"/>
    <w:basedOn w:val="Normal"/>
    <w:next w:val="BodyText"/>
    <w:link w:val="DateChar"/>
    <w:semiHidden/>
    <w:rsid w:val="002C1443"/>
    <w:pPr>
      <w:spacing w:after="454"/>
    </w:pPr>
  </w:style>
  <w:style w:type="character" w:customStyle="1" w:styleId="DateChar">
    <w:name w:val="Date Char"/>
    <w:basedOn w:val="DefaultParagraphFont"/>
    <w:link w:val="Date"/>
    <w:semiHidden/>
    <w:rsid w:val="002C1443"/>
    <w:rPr>
      <w:rFonts w:ascii="Calibri" w:eastAsia="Times New Roman" w:hAnsi="Calibri" w:cs="Times New Roman"/>
      <w:sz w:val="24"/>
      <w:szCs w:val="20"/>
      <w:lang w:eastAsia="en-GB"/>
    </w:rPr>
  </w:style>
  <w:style w:type="paragraph" w:styleId="EnvelopeAddress">
    <w:name w:val="envelope address"/>
    <w:basedOn w:val="Normal"/>
    <w:semiHidden/>
    <w:rsid w:val="002C1443"/>
    <w:pPr>
      <w:framePr w:w="7920" w:h="1980" w:hRule="exact" w:hSpace="180" w:wrap="auto" w:hAnchor="page" w:xAlign="center" w:yAlign="bottom"/>
      <w:ind w:left="2880"/>
    </w:pPr>
    <w:rPr>
      <w:rFonts w:cs="Arial"/>
    </w:rPr>
  </w:style>
  <w:style w:type="paragraph" w:styleId="EnvelopeReturn">
    <w:name w:val="envelope return"/>
    <w:basedOn w:val="Normal"/>
    <w:semiHidden/>
    <w:rsid w:val="002C1443"/>
    <w:rPr>
      <w:rFonts w:cs="Arial"/>
      <w:color w:val="003366"/>
      <w:sz w:val="18"/>
      <w:szCs w:val="18"/>
    </w:rPr>
  </w:style>
  <w:style w:type="paragraph" w:styleId="Footer">
    <w:name w:val="footer"/>
    <w:basedOn w:val="Normal"/>
    <w:link w:val="FooterChar"/>
    <w:uiPriority w:val="99"/>
    <w:rsid w:val="002C1443"/>
    <w:pPr>
      <w:tabs>
        <w:tab w:val="center" w:pos="4536"/>
        <w:tab w:val="right" w:pos="9072"/>
      </w:tabs>
      <w:jc w:val="center"/>
    </w:pPr>
    <w:rPr>
      <w:sz w:val="20"/>
    </w:rPr>
  </w:style>
  <w:style w:type="character" w:customStyle="1" w:styleId="FooterChar">
    <w:name w:val="Footer Char"/>
    <w:basedOn w:val="DefaultParagraphFont"/>
    <w:link w:val="Footer"/>
    <w:uiPriority w:val="99"/>
    <w:rsid w:val="002C1443"/>
    <w:rPr>
      <w:rFonts w:ascii="Calibri" w:eastAsia="Times New Roman" w:hAnsi="Calibri" w:cs="Times New Roman"/>
      <w:sz w:val="20"/>
      <w:szCs w:val="20"/>
      <w:lang w:eastAsia="en-GB"/>
    </w:rPr>
  </w:style>
  <w:style w:type="character" w:styleId="FootnoteReference">
    <w:name w:val="footnote reference"/>
    <w:basedOn w:val="DefaultParagraphFont"/>
    <w:semiHidden/>
    <w:rsid w:val="002C1443"/>
    <w:rPr>
      <w:vertAlign w:val="superscript"/>
    </w:rPr>
  </w:style>
  <w:style w:type="paragraph" w:styleId="FootnoteText">
    <w:name w:val="footnote text"/>
    <w:basedOn w:val="Normal"/>
    <w:link w:val="FootnoteTextChar"/>
    <w:semiHidden/>
    <w:rsid w:val="002C1443"/>
    <w:pPr>
      <w:ind w:left="425" w:hanging="425"/>
    </w:pPr>
    <w:rPr>
      <w:sz w:val="20"/>
    </w:rPr>
  </w:style>
  <w:style w:type="character" w:customStyle="1" w:styleId="FootnoteTextChar">
    <w:name w:val="Footnote Text Char"/>
    <w:basedOn w:val="DefaultParagraphFont"/>
    <w:link w:val="FootnoteText"/>
    <w:semiHidden/>
    <w:rsid w:val="002C1443"/>
    <w:rPr>
      <w:rFonts w:ascii="Calibri" w:eastAsia="Times New Roman" w:hAnsi="Calibri" w:cs="Times New Roman"/>
      <w:sz w:val="20"/>
      <w:szCs w:val="20"/>
      <w:lang w:eastAsia="en-GB"/>
    </w:rPr>
  </w:style>
  <w:style w:type="paragraph" w:styleId="Header">
    <w:name w:val="header"/>
    <w:basedOn w:val="Normal"/>
    <w:link w:val="HeaderChar"/>
    <w:semiHidden/>
    <w:rsid w:val="002C1443"/>
    <w:pPr>
      <w:tabs>
        <w:tab w:val="center" w:pos="4153"/>
        <w:tab w:val="right" w:pos="8306"/>
      </w:tabs>
      <w:jc w:val="center"/>
    </w:pPr>
  </w:style>
  <w:style w:type="character" w:customStyle="1" w:styleId="HeaderChar">
    <w:name w:val="Header Char"/>
    <w:basedOn w:val="DefaultParagraphFont"/>
    <w:link w:val="Header"/>
    <w:semiHidden/>
    <w:rsid w:val="002C1443"/>
    <w:rPr>
      <w:rFonts w:ascii="Calibri" w:eastAsia="Times New Roman" w:hAnsi="Calibri" w:cs="Times New Roman"/>
      <w:sz w:val="24"/>
      <w:szCs w:val="20"/>
      <w:lang w:eastAsia="en-GB"/>
    </w:rPr>
  </w:style>
  <w:style w:type="character" w:customStyle="1" w:styleId="Heading1Char">
    <w:name w:val="Heading 1 Char"/>
    <w:basedOn w:val="DefaultParagraphFont"/>
    <w:link w:val="Heading1"/>
    <w:rsid w:val="002C1443"/>
    <w:rPr>
      <w:rFonts w:ascii="Calibri" w:eastAsia="Times New Roman" w:hAnsi="Calibri" w:cs="Times New Roman"/>
      <w:b/>
      <w:sz w:val="28"/>
      <w:szCs w:val="20"/>
      <w:lang w:eastAsia="en-GB"/>
    </w:rPr>
  </w:style>
  <w:style w:type="character" w:customStyle="1" w:styleId="Heading2Char">
    <w:name w:val="Heading 2 Char"/>
    <w:basedOn w:val="DefaultParagraphFont"/>
    <w:link w:val="Heading2"/>
    <w:rsid w:val="002C1443"/>
    <w:rPr>
      <w:rFonts w:ascii="Calibri" w:eastAsia="Times New Roman" w:hAnsi="Calibri" w:cs="Times New Roman"/>
      <w:b/>
      <w:sz w:val="24"/>
      <w:szCs w:val="20"/>
      <w:lang w:eastAsia="en-GB"/>
    </w:rPr>
  </w:style>
  <w:style w:type="character" w:customStyle="1" w:styleId="Heading3Char">
    <w:name w:val="Heading 3 Char"/>
    <w:basedOn w:val="DefaultParagraphFont"/>
    <w:link w:val="Heading3"/>
    <w:rsid w:val="002C1443"/>
    <w:rPr>
      <w:rFonts w:ascii="Calibri" w:eastAsia="Times New Roman" w:hAnsi="Calibri" w:cs="Times New Roman"/>
      <w:i/>
      <w:sz w:val="24"/>
      <w:szCs w:val="20"/>
      <w:lang w:eastAsia="en-GB"/>
    </w:rPr>
  </w:style>
  <w:style w:type="character" w:customStyle="1" w:styleId="Heading4Char">
    <w:name w:val="Heading 4 Char"/>
    <w:basedOn w:val="DefaultParagraphFont"/>
    <w:link w:val="Heading4"/>
    <w:semiHidden/>
    <w:rsid w:val="002C1443"/>
    <w:rPr>
      <w:rFonts w:ascii="Calibri" w:eastAsia="Times New Roman" w:hAnsi="Calibri" w:cs="Times New Roman"/>
      <w:sz w:val="24"/>
      <w:szCs w:val="20"/>
      <w:lang w:eastAsia="en-GB"/>
    </w:rPr>
  </w:style>
  <w:style w:type="character" w:customStyle="1" w:styleId="Heading5Char">
    <w:name w:val="Heading 5 Char"/>
    <w:basedOn w:val="DefaultParagraphFont"/>
    <w:link w:val="Heading5"/>
    <w:semiHidden/>
    <w:rsid w:val="002C1443"/>
    <w:rPr>
      <w:rFonts w:ascii="Calibri" w:eastAsia="Times New Roman" w:hAnsi="Calibri" w:cs="Times New Roman"/>
      <w:sz w:val="24"/>
      <w:szCs w:val="20"/>
      <w:lang w:eastAsia="en-GB"/>
    </w:rPr>
  </w:style>
  <w:style w:type="character" w:customStyle="1" w:styleId="Heading6Char">
    <w:name w:val="Heading 6 Char"/>
    <w:basedOn w:val="DefaultParagraphFont"/>
    <w:link w:val="Heading6"/>
    <w:semiHidden/>
    <w:rsid w:val="002C1443"/>
    <w:rPr>
      <w:rFonts w:ascii="Calibri" w:eastAsia="Times New Roman" w:hAnsi="Calibri" w:cs="Times New Roman"/>
      <w:sz w:val="24"/>
      <w:szCs w:val="20"/>
      <w:lang w:eastAsia="en-GB"/>
    </w:rPr>
  </w:style>
  <w:style w:type="character" w:customStyle="1" w:styleId="Heading7Char">
    <w:name w:val="Heading 7 Char"/>
    <w:basedOn w:val="DefaultParagraphFont"/>
    <w:link w:val="Heading7"/>
    <w:semiHidden/>
    <w:rsid w:val="002C1443"/>
    <w:rPr>
      <w:rFonts w:ascii="Calibri" w:eastAsia="Times New Roman" w:hAnsi="Calibri" w:cs="Times New Roman"/>
      <w:sz w:val="24"/>
      <w:szCs w:val="20"/>
      <w:lang w:eastAsia="en-GB"/>
    </w:rPr>
  </w:style>
  <w:style w:type="character" w:customStyle="1" w:styleId="Heading8Char">
    <w:name w:val="Heading 8 Char"/>
    <w:basedOn w:val="DefaultParagraphFont"/>
    <w:link w:val="Heading8"/>
    <w:semiHidden/>
    <w:rsid w:val="002C1443"/>
    <w:rPr>
      <w:rFonts w:ascii="Calibri" w:eastAsia="Times New Roman" w:hAnsi="Calibri" w:cs="Times New Roman"/>
      <w:sz w:val="24"/>
      <w:szCs w:val="20"/>
      <w:lang w:eastAsia="en-GB"/>
    </w:rPr>
  </w:style>
  <w:style w:type="character" w:customStyle="1" w:styleId="Heading9Char">
    <w:name w:val="Heading 9 Char"/>
    <w:basedOn w:val="DefaultParagraphFont"/>
    <w:link w:val="Heading9"/>
    <w:semiHidden/>
    <w:rsid w:val="002C1443"/>
    <w:rPr>
      <w:rFonts w:ascii="Calibri" w:eastAsia="Times New Roman" w:hAnsi="Calibri" w:cs="Times New Roman"/>
      <w:sz w:val="24"/>
      <w:szCs w:val="20"/>
      <w:lang w:eastAsia="en-GB"/>
    </w:rPr>
  </w:style>
  <w:style w:type="character" w:styleId="Hyperlink">
    <w:name w:val="Hyperlink"/>
    <w:basedOn w:val="DefaultParagraphFont"/>
    <w:rsid w:val="002C1443"/>
    <w:rPr>
      <w:color w:val="0000FF"/>
      <w:u w:val="single"/>
    </w:rPr>
  </w:style>
  <w:style w:type="paragraph" w:customStyle="1" w:styleId="ImanageHeader">
    <w:name w:val="ImanageHeader"/>
    <w:basedOn w:val="Normal"/>
    <w:semiHidden/>
    <w:rsid w:val="002C1443"/>
    <w:pPr>
      <w:jc w:val="right"/>
    </w:pPr>
    <w:rPr>
      <w:sz w:val="20"/>
    </w:rPr>
  </w:style>
  <w:style w:type="paragraph" w:customStyle="1" w:styleId="Level1bullet">
    <w:name w:val="Level 1 bullet"/>
    <w:basedOn w:val="Normal"/>
    <w:semiHidden/>
    <w:rsid w:val="002C1443"/>
    <w:pPr>
      <w:numPr>
        <w:numId w:val="29"/>
      </w:numPr>
      <w:spacing w:before="120"/>
    </w:pPr>
  </w:style>
  <w:style w:type="paragraph" w:customStyle="1" w:styleId="Level2bullet">
    <w:name w:val="Level 2 bullet"/>
    <w:basedOn w:val="Normal"/>
    <w:semiHidden/>
    <w:rsid w:val="002C1443"/>
    <w:pPr>
      <w:numPr>
        <w:numId w:val="30"/>
      </w:numPr>
      <w:spacing w:before="120"/>
    </w:pPr>
  </w:style>
  <w:style w:type="paragraph" w:customStyle="1" w:styleId="Level3bullet">
    <w:name w:val="Level 3 bullet"/>
    <w:basedOn w:val="Normal"/>
    <w:semiHidden/>
    <w:rsid w:val="002C1443"/>
    <w:pPr>
      <w:numPr>
        <w:numId w:val="31"/>
      </w:numPr>
      <w:spacing w:before="120"/>
    </w:pPr>
  </w:style>
  <w:style w:type="paragraph" w:styleId="List">
    <w:name w:val="List"/>
    <w:basedOn w:val="BodyText"/>
    <w:semiHidden/>
    <w:rsid w:val="002C1443"/>
    <w:pPr>
      <w:numPr>
        <w:numId w:val="32"/>
      </w:numPr>
    </w:pPr>
  </w:style>
  <w:style w:type="paragraph" w:styleId="ListBullet">
    <w:name w:val="List Bullet"/>
    <w:basedOn w:val="BodyText"/>
    <w:semiHidden/>
    <w:rsid w:val="002C1443"/>
  </w:style>
  <w:style w:type="paragraph" w:styleId="ListBullet2">
    <w:name w:val="List Bullet 2"/>
    <w:basedOn w:val="BodyText"/>
    <w:semiHidden/>
    <w:rsid w:val="002C1443"/>
  </w:style>
  <w:style w:type="paragraph" w:styleId="ListBullet3">
    <w:name w:val="List Bullet 3"/>
    <w:basedOn w:val="BodyText"/>
    <w:semiHidden/>
    <w:rsid w:val="002C1443"/>
  </w:style>
  <w:style w:type="paragraph" w:styleId="ListParagraph">
    <w:name w:val="List Paragraph"/>
    <w:basedOn w:val="Normal"/>
    <w:uiPriority w:val="34"/>
    <w:qFormat/>
    <w:rsid w:val="002C1443"/>
    <w:pPr>
      <w:ind w:left="720"/>
      <w:contextualSpacing/>
    </w:pPr>
  </w:style>
  <w:style w:type="paragraph" w:customStyle="1" w:styleId="Numberedlist">
    <w:name w:val="Numbered list"/>
    <w:basedOn w:val="Normal"/>
    <w:semiHidden/>
    <w:rsid w:val="002C1443"/>
    <w:pPr>
      <w:numPr>
        <w:numId w:val="33"/>
      </w:numPr>
    </w:pPr>
  </w:style>
  <w:style w:type="paragraph" w:customStyle="1" w:styleId="Outline1">
    <w:name w:val="Outline 1"/>
    <w:basedOn w:val="Normal"/>
    <w:semiHidden/>
    <w:rsid w:val="002C1443"/>
    <w:pPr>
      <w:spacing w:after="120"/>
    </w:pPr>
  </w:style>
  <w:style w:type="paragraph" w:customStyle="1" w:styleId="Outline1Heading">
    <w:name w:val="Outline 1 Heading"/>
    <w:basedOn w:val="Normal"/>
    <w:next w:val="Outline1"/>
    <w:semiHidden/>
    <w:rsid w:val="002C1443"/>
    <w:pPr>
      <w:keepNext/>
      <w:spacing w:before="240" w:after="60"/>
      <w:outlineLvl w:val="0"/>
    </w:pPr>
    <w:rPr>
      <w:b/>
    </w:rPr>
  </w:style>
  <w:style w:type="paragraph" w:customStyle="1" w:styleId="Outline2">
    <w:name w:val="Outline 2"/>
    <w:basedOn w:val="Normal"/>
    <w:semiHidden/>
    <w:rsid w:val="002C1443"/>
    <w:pPr>
      <w:numPr>
        <w:numId w:val="34"/>
      </w:numPr>
      <w:spacing w:after="120"/>
    </w:pPr>
  </w:style>
  <w:style w:type="numbering" w:customStyle="1" w:styleId="Outlinestyle">
    <w:name w:val="Outline style"/>
    <w:basedOn w:val="NoList"/>
    <w:uiPriority w:val="99"/>
    <w:rsid w:val="002C1443"/>
    <w:pPr>
      <w:numPr>
        <w:numId w:val="14"/>
      </w:numPr>
    </w:pPr>
  </w:style>
  <w:style w:type="character" w:styleId="PageNumber">
    <w:name w:val="page number"/>
    <w:basedOn w:val="DefaultParagraphFont"/>
    <w:semiHidden/>
    <w:rsid w:val="002C1443"/>
    <w:rPr>
      <w:rFonts w:ascii="Calibri" w:hAnsi="Calibri"/>
      <w:sz w:val="20"/>
    </w:rPr>
  </w:style>
  <w:style w:type="paragraph" w:customStyle="1" w:styleId="Para1">
    <w:name w:val="Para 1"/>
    <w:basedOn w:val="BodyText"/>
    <w:qFormat/>
    <w:rsid w:val="002C1443"/>
    <w:pPr>
      <w:numPr>
        <w:numId w:val="40"/>
      </w:numPr>
    </w:pPr>
  </w:style>
  <w:style w:type="paragraph" w:customStyle="1" w:styleId="Para2">
    <w:name w:val="Para 2"/>
    <w:basedOn w:val="BodyText"/>
    <w:qFormat/>
    <w:rsid w:val="002C1443"/>
    <w:pPr>
      <w:numPr>
        <w:ilvl w:val="1"/>
        <w:numId w:val="40"/>
      </w:numPr>
    </w:pPr>
  </w:style>
  <w:style w:type="paragraph" w:customStyle="1" w:styleId="Para3">
    <w:name w:val="Para 3"/>
    <w:basedOn w:val="Para2"/>
    <w:qFormat/>
    <w:rsid w:val="002C1443"/>
    <w:pPr>
      <w:numPr>
        <w:ilvl w:val="2"/>
      </w:numPr>
    </w:pPr>
  </w:style>
  <w:style w:type="paragraph" w:customStyle="1" w:styleId="Para4">
    <w:name w:val="Para 4"/>
    <w:basedOn w:val="Para3"/>
    <w:qFormat/>
    <w:rsid w:val="002C1443"/>
    <w:pPr>
      <w:numPr>
        <w:ilvl w:val="3"/>
      </w:numPr>
    </w:pPr>
  </w:style>
  <w:style w:type="paragraph" w:customStyle="1" w:styleId="Para5">
    <w:name w:val="Para 5"/>
    <w:basedOn w:val="Para4"/>
    <w:qFormat/>
    <w:rsid w:val="002C1443"/>
    <w:pPr>
      <w:numPr>
        <w:ilvl w:val="4"/>
      </w:numPr>
    </w:pPr>
  </w:style>
  <w:style w:type="paragraph" w:customStyle="1" w:styleId="Quotation">
    <w:name w:val="Quotation"/>
    <w:basedOn w:val="BodyText"/>
    <w:qFormat/>
    <w:rsid w:val="002C1443"/>
    <w:pPr>
      <w:ind w:left="709" w:right="709"/>
    </w:pPr>
    <w:rPr>
      <w:sz w:val="20"/>
    </w:rPr>
  </w:style>
  <w:style w:type="paragraph" w:customStyle="1" w:styleId="Singlespacedparagraph">
    <w:name w:val="Single spaced paragraph"/>
    <w:basedOn w:val="Normal"/>
    <w:qFormat/>
    <w:rsid w:val="002C1443"/>
  </w:style>
  <w:style w:type="paragraph" w:customStyle="1" w:styleId="Tablebodytext">
    <w:name w:val="Table body text"/>
    <w:basedOn w:val="BodyText"/>
    <w:qFormat/>
    <w:rsid w:val="002C1443"/>
    <w:rPr>
      <w:rFonts w:cs="Arial"/>
      <w:szCs w:val="17"/>
    </w:rPr>
  </w:style>
  <w:style w:type="paragraph" w:customStyle="1" w:styleId="Tablebullet">
    <w:name w:val="Table bullet"/>
    <w:basedOn w:val="Tablebodytext"/>
    <w:qFormat/>
    <w:rsid w:val="002C1443"/>
    <w:pPr>
      <w:numPr>
        <w:numId w:val="42"/>
      </w:numPr>
    </w:pPr>
  </w:style>
  <w:style w:type="numbering" w:customStyle="1" w:styleId="Tablebulletlist">
    <w:name w:val="Table bullet list"/>
    <w:uiPriority w:val="99"/>
    <w:rsid w:val="002C1443"/>
    <w:pPr>
      <w:numPr>
        <w:numId w:val="20"/>
      </w:numPr>
    </w:pPr>
  </w:style>
  <w:style w:type="table" w:styleId="TableGrid">
    <w:name w:val="Table Grid"/>
    <w:basedOn w:val="TableNormal"/>
    <w:rsid w:val="002C1443"/>
    <w:pPr>
      <w:spacing w:after="0" w:line="240" w:lineRule="auto"/>
    </w:pPr>
    <w:rPr>
      <w:rFonts w:ascii="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2C1443"/>
    <w:pPr>
      <w:keepNext/>
      <w:spacing w:after="60"/>
      <w:jc w:val="center"/>
    </w:pPr>
    <w:rPr>
      <w:b/>
    </w:rPr>
  </w:style>
  <w:style w:type="paragraph" w:customStyle="1" w:styleId="Tablenumberedlist">
    <w:name w:val="Table numbered list"/>
    <w:basedOn w:val="Tablebodytext"/>
    <w:qFormat/>
    <w:rsid w:val="002C1443"/>
    <w:pPr>
      <w:numPr>
        <w:numId w:val="43"/>
      </w:numPr>
    </w:pPr>
  </w:style>
  <w:style w:type="paragraph" w:styleId="TableofAuthorities">
    <w:name w:val="table of authorities"/>
    <w:basedOn w:val="Normal"/>
    <w:next w:val="Normal"/>
    <w:semiHidden/>
    <w:rsid w:val="002C1443"/>
    <w:pPr>
      <w:ind w:left="200" w:hanging="200"/>
    </w:pPr>
  </w:style>
  <w:style w:type="paragraph" w:styleId="Title">
    <w:name w:val="Title"/>
    <w:basedOn w:val="Normal"/>
    <w:next w:val="BodyText"/>
    <w:link w:val="TitleChar"/>
    <w:qFormat/>
    <w:rsid w:val="002C1443"/>
    <w:pPr>
      <w:keepNext/>
      <w:spacing w:after="240"/>
    </w:pPr>
    <w:rPr>
      <w:b/>
      <w:sz w:val="36"/>
    </w:rPr>
  </w:style>
  <w:style w:type="character" w:customStyle="1" w:styleId="TitleChar">
    <w:name w:val="Title Char"/>
    <w:basedOn w:val="DefaultParagraphFont"/>
    <w:link w:val="Title"/>
    <w:rsid w:val="002C1443"/>
    <w:rPr>
      <w:rFonts w:ascii="Calibri" w:eastAsia="Times New Roman" w:hAnsi="Calibri" w:cs="Times New Roman"/>
      <w:b/>
      <w:sz w:val="36"/>
      <w:szCs w:val="20"/>
      <w:lang w:eastAsia="en-GB"/>
    </w:rPr>
  </w:style>
  <w:style w:type="paragraph" w:styleId="TOC1">
    <w:name w:val="toc 1"/>
    <w:basedOn w:val="Normal"/>
    <w:autoRedefine/>
    <w:uiPriority w:val="39"/>
    <w:rsid w:val="002C1443"/>
    <w:pPr>
      <w:tabs>
        <w:tab w:val="right" w:leader="dot" w:pos="8930"/>
      </w:tabs>
      <w:ind w:right="425"/>
    </w:pPr>
    <w:rPr>
      <w:b/>
      <w:caps/>
      <w:sz w:val="22"/>
    </w:rPr>
  </w:style>
  <w:style w:type="paragraph" w:styleId="TOC2">
    <w:name w:val="toc 2"/>
    <w:basedOn w:val="TOC1"/>
    <w:autoRedefine/>
    <w:uiPriority w:val="39"/>
    <w:rsid w:val="002C1443"/>
    <w:pPr>
      <w:tabs>
        <w:tab w:val="clear" w:pos="8930"/>
        <w:tab w:val="right" w:leader="dot" w:pos="8931"/>
      </w:tabs>
      <w:ind w:left="425"/>
    </w:pPr>
    <w:rPr>
      <w:b w:val="0"/>
      <w:noProof/>
    </w:rPr>
  </w:style>
  <w:style w:type="paragraph" w:styleId="TOC3">
    <w:name w:val="toc 3"/>
    <w:basedOn w:val="TOC2"/>
    <w:autoRedefine/>
    <w:uiPriority w:val="39"/>
    <w:rsid w:val="002C1443"/>
    <w:pPr>
      <w:ind w:left="851"/>
    </w:pPr>
    <w:rPr>
      <w:i/>
      <w:caps w:val="0"/>
      <w:sz w:val="20"/>
    </w:rPr>
  </w:style>
  <w:style w:type="paragraph" w:customStyle="1" w:styleId="zContactdetails">
    <w:name w:val="z_Contact details"/>
    <w:basedOn w:val="BodyText"/>
    <w:semiHidden/>
    <w:rsid w:val="002C1443"/>
    <w:pPr>
      <w:spacing w:after="120"/>
    </w:pPr>
  </w:style>
  <w:style w:type="paragraph" w:customStyle="1" w:styleId="zContactheadings">
    <w:name w:val="z_Contact headings"/>
    <w:basedOn w:val="BodyText"/>
    <w:semiHidden/>
    <w:rsid w:val="002C1443"/>
    <w:pPr>
      <w:spacing w:after="120"/>
    </w:pPr>
    <w:rPr>
      <w:b/>
    </w:rPr>
  </w:style>
  <w:style w:type="paragraph" w:customStyle="1" w:styleId="zInstructions">
    <w:name w:val="z_Instructions"/>
    <w:basedOn w:val="BodyText"/>
    <w:semiHidden/>
    <w:rsid w:val="002C1443"/>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2C1443"/>
    <w:pPr>
      <w:numPr>
        <w:numId w:val="45"/>
      </w:numPr>
    </w:pPr>
  </w:style>
  <w:style w:type="numbering" w:customStyle="1" w:styleId="zInstructionsbulletlist">
    <w:name w:val="z_Instructions bullet list"/>
    <w:basedOn w:val="NoList"/>
    <w:uiPriority w:val="99"/>
    <w:rsid w:val="002C1443"/>
    <w:pPr>
      <w:numPr>
        <w:numId w:val="23"/>
      </w:numPr>
    </w:pPr>
  </w:style>
  <w:style w:type="paragraph" w:customStyle="1" w:styleId="zPagename">
    <w:name w:val="z_Page name"/>
    <w:basedOn w:val="Title"/>
    <w:next w:val="BodyText"/>
    <w:semiHidden/>
    <w:rsid w:val="002C1443"/>
    <w:pPr>
      <w:spacing w:before="720"/>
    </w:pPr>
  </w:style>
  <w:style w:type="paragraph" w:customStyle="1" w:styleId="paragraph">
    <w:name w:val="paragraph"/>
    <w:basedOn w:val="Normal"/>
    <w:rsid w:val="000D4D90"/>
    <w:pPr>
      <w:spacing w:before="100" w:beforeAutospacing="1" w:after="100" w:afterAutospacing="1"/>
    </w:pPr>
    <w:rPr>
      <w:rFonts w:ascii="Times New Roman" w:hAnsi="Times New Roman"/>
      <w:szCs w:val="24"/>
      <w:lang w:eastAsia="en-NZ"/>
    </w:rPr>
  </w:style>
  <w:style w:type="character" w:customStyle="1" w:styleId="normaltextrun">
    <w:name w:val="normaltextrun"/>
    <w:basedOn w:val="DefaultParagraphFont"/>
    <w:rsid w:val="000D4D90"/>
  </w:style>
  <w:style w:type="character" w:styleId="CommentReference">
    <w:name w:val="annotation reference"/>
    <w:basedOn w:val="DefaultParagraphFont"/>
    <w:uiPriority w:val="99"/>
    <w:semiHidden/>
    <w:unhideWhenUsed/>
    <w:rsid w:val="000D4D90"/>
    <w:rPr>
      <w:sz w:val="16"/>
      <w:szCs w:val="16"/>
    </w:rPr>
  </w:style>
  <w:style w:type="paragraph" w:styleId="CommentText">
    <w:name w:val="annotation text"/>
    <w:basedOn w:val="Normal"/>
    <w:link w:val="CommentTextChar"/>
    <w:uiPriority w:val="99"/>
    <w:unhideWhenUsed/>
    <w:rsid w:val="000D4D90"/>
    <w:rPr>
      <w:sz w:val="20"/>
    </w:rPr>
  </w:style>
  <w:style w:type="character" w:customStyle="1" w:styleId="CommentTextChar">
    <w:name w:val="Comment Text Char"/>
    <w:basedOn w:val="DefaultParagraphFont"/>
    <w:link w:val="CommentText"/>
    <w:uiPriority w:val="99"/>
    <w:rsid w:val="000D4D90"/>
    <w:rPr>
      <w:rFonts w:ascii="Calibri" w:hAnsi="Calibri" w:cs="Times New Roman"/>
      <w:sz w:val="20"/>
      <w:szCs w:val="20"/>
      <w:lang w:eastAsia="en-GB"/>
    </w:rPr>
  </w:style>
  <w:style w:type="character" w:styleId="Mention">
    <w:name w:val="Mention"/>
    <w:basedOn w:val="DefaultParagraphFont"/>
    <w:uiPriority w:val="99"/>
    <w:unhideWhenUsed/>
    <w:rsid w:val="000D4D90"/>
    <w:rPr>
      <w:color w:val="2B579A"/>
      <w:shd w:val="clear" w:color="auto" w:fill="E1DFDD"/>
    </w:rPr>
  </w:style>
  <w:style w:type="paragraph" w:styleId="NormalWeb">
    <w:name w:val="Normal (Web)"/>
    <w:basedOn w:val="Normal"/>
    <w:uiPriority w:val="99"/>
    <w:unhideWhenUsed/>
    <w:rsid w:val="000D4D90"/>
    <w:rPr>
      <w:rFonts w:eastAsiaTheme="minorHAnsi" w:cs="Calibri"/>
      <w:sz w:val="22"/>
      <w:szCs w:val="22"/>
      <w:lang w:eastAsia="en-NZ"/>
    </w:rPr>
  </w:style>
  <w:style w:type="character" w:styleId="FollowedHyperlink">
    <w:name w:val="FollowedHyperlink"/>
    <w:basedOn w:val="DefaultParagraphFont"/>
    <w:uiPriority w:val="99"/>
    <w:semiHidden/>
    <w:unhideWhenUsed/>
    <w:rsid w:val="00B9359F"/>
    <w:rPr>
      <w:color w:val="954F72" w:themeColor="followedHyperlink"/>
      <w:u w:val="single"/>
    </w:rPr>
  </w:style>
  <w:style w:type="character" w:styleId="UnresolvedMention">
    <w:name w:val="Unresolved Mention"/>
    <w:basedOn w:val="DefaultParagraphFont"/>
    <w:uiPriority w:val="99"/>
    <w:semiHidden/>
    <w:unhideWhenUsed/>
    <w:rsid w:val="00504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m.review@comcom.govt.nz"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comcom.govt.nz/regulated-industries/input-methodologies/input-methodologies-for-electricity-gas-and-airports/input-methodologies-projects/2023-input-methodologies-review?target=documents&amp;root=282671"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footnotes" Target="footnot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ofgem.gov.uk/publications/what-regulatory-sandbox" TargetMode="External"/><Relationship Id="rId3" Type="http://schemas.openxmlformats.org/officeDocument/2006/relationships/hyperlink" Target="https://www.ofgem.gov.uk/sites/default/files/docs/2020/12/final_determinations_-_core_document.pdf" TargetMode="External"/><Relationship Id="rId7" Type="http://schemas.openxmlformats.org/officeDocument/2006/relationships/hyperlink" Target="https://www.oeb.ca/_html/sandbox/index.php" TargetMode="External"/><Relationship Id="rId2" Type="http://schemas.openxmlformats.org/officeDocument/2006/relationships/hyperlink" Target="https://comcom.govt.nz/__data/assets/pdf_file/0034/294793/Input-methodologies-2023-Decision-Making-Framework-paper-12-October-2022.pdf" TargetMode="External"/><Relationship Id="rId1" Type="http://schemas.openxmlformats.org/officeDocument/2006/relationships/hyperlink" Target="https://comcom.govt.nz/__data/assets/pdf_file/0025/296233/Staff-paper-for-Workshop-Forecasting-and-incentivising-efficient-expenditure-for-EDBs-1-November-2022.pdf" TargetMode="External"/><Relationship Id="rId6" Type="http://schemas.openxmlformats.org/officeDocument/2006/relationships/hyperlink" Target="https://www.aer.gov.au/networks-pipelines/regulatory-sandboxing-%E2%80%93-energy-innovation-toolkit" TargetMode="External"/><Relationship Id="rId5" Type="http://schemas.openxmlformats.org/officeDocument/2006/relationships/hyperlink" Target="https://comcom.govt.nz/__data/assets/pdf_file/0017/60542/Electricity-distribution-services-input-methodologies-determination-2012-consolidated-20-May-2020-20-May-2020.pdf" TargetMode="External"/><Relationship Id="rId4" Type="http://schemas.openxmlformats.org/officeDocument/2006/relationships/hyperlink" Target="https://comcom.govt.nz/__data/assets/pdf_file/0029/298055/Forecasting-and-incentivising-efficient-expenditure-for-EDBs-Full-slide-deck-07-November-2022.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35BC-671B-476D-9520-E088C4AE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2022-11-23T00:57:00Z</dcterms:created>
  <dcterms:modified xsi:type="dcterms:W3CDTF">2022-11-23T00:57:00Z</dcterms:modified>
</cp:coreProperties>
</file>

<file path=docProps/custom2.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